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9DF559">
      <w:pPr>
        <w:pStyle w:val="16"/>
        <w:jc w:val="center"/>
        <w:rPr>
          <w:rFonts w:ascii="Times New Roman" w:hAnsi="Times New Roman" w:cs="Times New Roman"/>
          <w:sz w:val="56"/>
          <w:szCs w:val="56"/>
        </w:rPr>
      </w:pPr>
    </w:p>
    <w:p w14:paraId="710D104F">
      <w:pPr>
        <w:pStyle w:val="16"/>
        <w:jc w:val="center"/>
        <w:rPr>
          <w:rFonts w:ascii="Times New Roman" w:hAnsi="Times New Roman" w:cs="Times New Roman"/>
          <w:sz w:val="84"/>
          <w:szCs w:val="84"/>
        </w:rPr>
      </w:pPr>
    </w:p>
    <w:p w14:paraId="72362356">
      <w:pPr>
        <w:pStyle w:val="16"/>
        <w:jc w:val="center"/>
        <w:rPr>
          <w:rFonts w:ascii="Times New Roman" w:hAnsi="Times New Roman" w:cs="Times New Roman"/>
          <w:sz w:val="84"/>
          <w:szCs w:val="84"/>
        </w:rPr>
      </w:pPr>
    </w:p>
    <w:p w14:paraId="41DA0F1A">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default" w:ascii="Times New Roman" w:hAnsi="Times New Roman" w:eastAsia="方正小标宋简体" w:cs="Times New Roman"/>
          <w:sz w:val="72"/>
          <w:szCs w:val="72"/>
          <w:lang w:val="en-US"/>
        </w:rPr>
        <w:t>5</w:t>
      </w:r>
      <w:r>
        <w:rPr>
          <w:rFonts w:ascii="Times New Roman" w:hAnsi="Times New Roman" w:eastAsia="方正小标宋简体" w:cs="Times New Roman"/>
          <w:sz w:val="72"/>
          <w:szCs w:val="72"/>
        </w:rPr>
        <w:t>年度</w:t>
      </w:r>
    </w:p>
    <w:p w14:paraId="277D2467">
      <w:pPr>
        <w:pStyle w:val="16"/>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永州市应急管理局</w:t>
      </w:r>
    </w:p>
    <w:p w14:paraId="02521DC1">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12A04504">
      <w:pPr>
        <w:pStyle w:val="16"/>
        <w:jc w:val="both"/>
        <w:rPr>
          <w:rFonts w:ascii="Times New Roman" w:hAnsi="Times New Roman" w:cs="Times New Roman"/>
          <w:sz w:val="56"/>
          <w:szCs w:val="56"/>
        </w:rPr>
      </w:pPr>
    </w:p>
    <w:p w14:paraId="6795F17D">
      <w:pPr>
        <w:pStyle w:val="16"/>
        <w:rPr>
          <w:rFonts w:ascii="Times New Roman" w:hAnsi="Times New Roman" w:cs="Times New Roman"/>
          <w:sz w:val="56"/>
          <w:szCs w:val="56"/>
        </w:rPr>
      </w:pPr>
    </w:p>
    <w:p w14:paraId="29A9DE62">
      <w:pPr>
        <w:pStyle w:val="16"/>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8CA1B65">
      <w:pPr>
        <w:pStyle w:val="16"/>
        <w:spacing w:line="600" w:lineRule="exact"/>
        <w:jc w:val="both"/>
        <w:rPr>
          <w:rFonts w:ascii="Times New Roman" w:hAnsi="Times New Roman" w:cs="Times New Roman"/>
          <w:b/>
          <w:sz w:val="36"/>
          <w:szCs w:val="28"/>
        </w:rPr>
      </w:pPr>
    </w:p>
    <w:p w14:paraId="0324C0C5">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2968735">
      <w:pPr>
        <w:pStyle w:val="16"/>
        <w:spacing w:line="600" w:lineRule="exact"/>
        <w:jc w:val="center"/>
        <w:rPr>
          <w:rFonts w:ascii="Times New Roman" w:hAnsi="Times New Roman" w:cs="Times New Roman"/>
          <w:b/>
          <w:sz w:val="36"/>
          <w:szCs w:val="28"/>
        </w:rPr>
      </w:pPr>
    </w:p>
    <w:p w14:paraId="7B620BAC">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永州市应急管理局</w:t>
      </w:r>
      <w:r>
        <w:rPr>
          <w:rFonts w:ascii="Times New Roman" w:hAnsi="Times New Roman" w:cs="Times New Roman"/>
          <w:bCs/>
          <w:sz w:val="32"/>
          <w:szCs w:val="32"/>
        </w:rPr>
        <w:t>概况</w:t>
      </w:r>
    </w:p>
    <w:p w14:paraId="7419A09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076B118">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F8DC24E">
      <w:pPr>
        <w:pStyle w:val="16"/>
        <w:spacing w:before="156" w:beforeLines="50" w:after="156" w:afterLines="50" w:line="600" w:lineRule="exact"/>
        <w:rPr>
          <w:rFonts w:hint="eastAsia" w:ascii="Times New Roman" w:hAnsi="Times New Roman" w:eastAsia="黑体" w:cs="Times New Roman"/>
          <w:b w:val="0"/>
          <w:bCs/>
          <w:color w:val="FF0000"/>
          <w:sz w:val="24"/>
          <w:szCs w:val="24"/>
          <w:lang w:eastAsia="zh-CN"/>
        </w:rPr>
      </w:pPr>
      <w:r>
        <w:rPr>
          <w:rFonts w:ascii="Times New Roman" w:hAnsi="Times New Roman" w:cs="Times New Roman"/>
          <w:bCs/>
          <w:sz w:val="32"/>
          <w:szCs w:val="32"/>
        </w:rPr>
        <w:t>第二部分 部门决算表</w:t>
      </w:r>
      <w:r>
        <w:rPr>
          <w:rFonts w:hint="eastAsia" w:ascii="Times New Roman" w:hAnsi="Times New Roman" w:cs="Times New Roman"/>
          <w:b w:val="0"/>
          <w:bCs/>
          <w:color w:val="FF0000"/>
          <w:sz w:val="24"/>
          <w:szCs w:val="24"/>
          <w:lang w:eastAsia="zh-CN"/>
        </w:rPr>
        <w:t>（说明：本套报表金额单位转换时可能存在尾数误差。）</w:t>
      </w:r>
    </w:p>
    <w:p w14:paraId="55896B4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0E6D908">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BD4F1CB">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B3946F8">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3C000E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9AC68C4">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3517193">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DF85A3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175947B">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A8BC5A5">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F240F2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C36D1D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28909A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5C395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C6F141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BE4990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A3B138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4B757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FEBDB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F099C8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FB3753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E7E9FB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A1AD60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4D4680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年度预算绩效管理情况的说明</w:t>
      </w:r>
    </w:p>
    <w:p w14:paraId="44D1F32D">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7921E0B">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1926F98">
      <w:pPr>
        <w:pStyle w:val="16"/>
        <w:spacing w:line="600" w:lineRule="exact"/>
        <w:rPr>
          <w:rFonts w:ascii="Times New Roman" w:hAnsi="Times New Roman" w:cs="Times New Roman"/>
          <w:bCs/>
          <w:sz w:val="28"/>
          <w:szCs w:val="28"/>
        </w:rPr>
      </w:pPr>
    </w:p>
    <w:p w14:paraId="0E1BB970">
      <w:pPr>
        <w:jc w:val="center"/>
        <w:rPr>
          <w:rFonts w:ascii="Times New Roman" w:hAnsi="Times New Roman" w:cs="Times New Roman"/>
          <w:sz w:val="72"/>
          <w:szCs w:val="72"/>
        </w:rPr>
      </w:pPr>
    </w:p>
    <w:p w14:paraId="5D89F710">
      <w:pPr>
        <w:jc w:val="center"/>
        <w:rPr>
          <w:rFonts w:ascii="Times New Roman" w:hAnsi="Times New Roman" w:cs="Times New Roman"/>
          <w:sz w:val="72"/>
          <w:szCs w:val="72"/>
        </w:rPr>
      </w:pPr>
    </w:p>
    <w:p w14:paraId="28F030E5">
      <w:pPr>
        <w:jc w:val="center"/>
        <w:rPr>
          <w:rFonts w:ascii="Times New Roman" w:hAnsi="Times New Roman" w:cs="Times New Roman"/>
          <w:sz w:val="72"/>
          <w:szCs w:val="72"/>
        </w:rPr>
      </w:pPr>
    </w:p>
    <w:p w14:paraId="7698C9C9">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C424103">
      <w:pPr>
        <w:rPr>
          <w:rFonts w:ascii="Times New Roman" w:hAnsi="Times New Roman" w:eastAsia="方正小标宋_GBK" w:cs="Times New Roman"/>
          <w:sz w:val="72"/>
          <w:szCs w:val="72"/>
        </w:rPr>
      </w:pPr>
    </w:p>
    <w:p w14:paraId="08286F60">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B17EF54">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永州市应急管理局</w:t>
      </w:r>
      <w:r>
        <w:rPr>
          <w:rFonts w:ascii="Times New Roman" w:hAnsi="Times New Roman" w:eastAsia="方正小标宋_GBK" w:cs="Times New Roman"/>
          <w:sz w:val="52"/>
          <w:szCs w:val="52"/>
        </w:rPr>
        <w:t>概况</w:t>
      </w:r>
    </w:p>
    <w:p w14:paraId="51479A15">
      <w:pPr>
        <w:pStyle w:val="5"/>
        <w:ind w:left="0" w:leftChars="0" w:firstLine="0" w:firstLineChars="0"/>
        <w:rPr>
          <w:rFonts w:ascii="Times New Roman" w:hAnsi="Times New Roman" w:cs="Times New Roman"/>
        </w:rPr>
      </w:pPr>
    </w:p>
    <w:p w14:paraId="5B31E31E">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90727C1">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根据《永州市机构改革方案》，在原永州市安全生产监督管理局的基础上新组建永州市应急管理局，2019年1月13日挂牌成立，5月10日，《永州市应急管理局职能配置、内设机构和人员编制规定》（永办〔2019〕45号）三定方案正式印发。我局主要工作职责:</w:t>
      </w:r>
    </w:p>
    <w:p w14:paraId="61995909">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(一)负责应急管理工作，指导全市各级各部门应对安全生产类、自然灾害类等突发事件和综合防灾减灾救灾工作。负责安全生产综合监督管理和工矿商贸行业(含煤矿)安全生产督管理工作。</w:t>
      </w:r>
    </w:p>
    <w:p w14:paraId="06D277FE">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(二)贯彻实施相关法律法规、部门规章、规程和标准，组织编制全市应急体系建设、安全生产和综合防灾减灾规划，拟订相关规范性文件草案，监督实施相关政策、规程和标准。</w:t>
      </w:r>
    </w:p>
    <w:p w14:paraId="1BB26E20">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三)组织指导应急预案体系建设，建立完善事故灾难和自然灾害分级应对例度，组织编制永州市总体应急预案和安全生产类、自然灾害类专项预案，综合协调应急预案衔接工作，组织开展预案演练，推动应急避难设施建设。</w:t>
      </w:r>
    </w:p>
    <w:p w14:paraId="7EFB7E8E">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(四)牵头推进全市统一的应急管理信息系统建设，负责信息传输道的规划和布局，建立监测预警和灾情报告制度，健全自然灾害信息资源获取和共享机制，依法统一发布灾情。</w:t>
      </w:r>
    </w:p>
    <w:p w14:paraId="2C1FD1AD">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(五)组织指导协调安全生产类、自然灾害类等突发事件应急救援，承担市应对灾害指挥部工作，综合研判突发事件发展态势并提出应对建议，协助市委、市政府指定的负责同志组织灾害应急处置工作。</w:t>
      </w:r>
    </w:p>
    <w:p w14:paraId="368AD618">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(六)统一协调指挥各类应急专业队伍，建立应急协调联动机制，推进指挥平台对接，负责做好解放军和武警部队参与应急救援相关衔接工作。</w:t>
      </w:r>
    </w:p>
    <w:p w14:paraId="3606D5F3">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七)统筹全市应急救援力量建设，负责消防、森林和草原火灾扑救、抗洪抢险、地震和地质灾害救援、生产安全事故救援等专业应急救援力量建设，依权限做好驻永国家综合性应急救援队伍建设的相关工作，指导地方及社会应急救援力量建设。</w:t>
      </w:r>
    </w:p>
    <w:p w14:paraId="6637FB5F">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(八)负责全市消防管理有关工作，指导全市消防监督火灾预防、火灾扑救等工作。</w:t>
      </w:r>
    </w:p>
    <w:p w14:paraId="3BDE12AF">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(九)指导协调全市森林和草原火灾、水</w:t>
      </w:r>
      <w:r>
        <w:rPr>
          <w:rFonts w:hint="eastAsia" w:ascii="仿宋_GB2312" w:hAnsi="仿宋" w:eastAsia="仿宋_GB2312" w:cs="Times New Roman"/>
          <w:sz w:val="32"/>
          <w:szCs w:val="32"/>
          <w:lang w:val="en-US" w:eastAsia="zh-CN"/>
        </w:rPr>
        <w:t>旱</w:t>
      </w:r>
      <w:r>
        <w:rPr>
          <w:rFonts w:hint="eastAsia" w:ascii="仿宋_GB2312" w:hAnsi="仿宋" w:eastAsia="仿宋_GB2312" w:cs="Times New Roman"/>
          <w:sz w:val="32"/>
          <w:szCs w:val="32"/>
        </w:rPr>
        <w:t>灾害、地震和地质灾害等防治工作，负责自然灾害综合监测预警工作，指导开展自然灾害综合风险评估工作。</w:t>
      </w:r>
    </w:p>
    <w:p w14:paraId="4679133C">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(十)组织协调灾害救助工作，组织指导灾情核查、损失评估、救灾捐赠工作，按权限管理、分配中央、省下达和市级救灾款物并监督使用。</w:t>
      </w:r>
    </w:p>
    <w:p w14:paraId="2B598653">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(十一)依法行使安全生产综合监督管理职权，指导协调监督检查市政府有关部门和各县区政府安全生产工作，组织开展安全生产巡查、考核工作。</w:t>
      </w:r>
    </w:p>
    <w:p w14:paraId="741CC33D">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二)按照分级、属地原则，依法监督检查工矿商贸生产经营单位贯彻执行安全生产法律法规情况及其安全生产条件和有关设备(特种设备除外)、材料、劳动防护用品的安全生产管理工作。负责监督管理工矿商贸行业市属企业安全生产工作。依法组织并指导监督实施安全生产准入制度。负责危险化学品安全监督管理综合工作和化工(含石油化工)、医药、危险化学品、烟花爆竹安全生产监督管理工作。</w:t>
      </w:r>
    </w:p>
    <w:p w14:paraId="1EA58866">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(十三)负责全市煤矿安全生产地方监管和煤矿安全基础管理监督指导工作。</w:t>
      </w:r>
    </w:p>
    <w:p w14:paraId="44B2B19B">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(十四)依法组织指导生产安全事故调查处理，监督事故查处和责任追究落实情况。组织开展自然灾害类突发事件的调查评估工作。</w:t>
      </w:r>
    </w:p>
    <w:p w14:paraId="273546B4">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(十五)开展应急管理对外交流与合作，组织参与安全生产类、自然灾害类等突发事件的对外救援工作。</w:t>
      </w:r>
    </w:p>
    <w:p w14:paraId="6FB781A7">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(十六)拟订全市应急物资储备和应急</w:t>
      </w:r>
      <w:r>
        <w:rPr>
          <w:rFonts w:hint="eastAsia" w:ascii="仿宋_GB2312" w:hAnsi="仿宋" w:eastAsia="仿宋_GB2312" w:cs="Times New Roman"/>
          <w:sz w:val="32"/>
          <w:szCs w:val="32"/>
          <w:lang w:val="en-US" w:eastAsia="zh-CN"/>
        </w:rPr>
        <w:t>救</w:t>
      </w:r>
      <w:r>
        <w:rPr>
          <w:rFonts w:hint="eastAsia" w:ascii="仿宋_GB2312" w:hAnsi="仿宋" w:eastAsia="仿宋_GB2312" w:cs="Times New Roman"/>
          <w:sz w:val="32"/>
          <w:szCs w:val="32"/>
        </w:rPr>
        <w:t>援装备规划并组织实施，会同市发展和改革委员会(市粮食和物资储备局)等部门建立健全应急物资信息平台和调拨制度，在救灾时统一调度。</w:t>
      </w:r>
    </w:p>
    <w:p w14:paraId="6C9B9276">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(十七)负责应急管理、安全生产宣传教育和培训工作组织指导应急管理、安全生产的科学技术研究、推广应用和信息化建设工作。</w:t>
      </w:r>
    </w:p>
    <w:p w14:paraId="03D3AB5B">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(十八)承担市防汛抗旱指挥部日常工作，协调市防汛抗旱指挥部成员单位的相关工作，组织执行上级防汛抗旱指挥部和市防汛抗旱指挥部的指示、命令。</w:t>
      </w:r>
    </w:p>
    <w:p w14:paraId="7179C685">
      <w:pPr>
        <w:pStyle w:val="22"/>
        <w:rPr>
          <w:rFonts w:hint="eastAsia"/>
        </w:rPr>
      </w:pPr>
      <w:r>
        <w:rPr>
          <w:rFonts w:hint="eastAsia" w:ascii="仿宋_GB2312" w:hAnsi="仿宋" w:eastAsia="仿宋_GB2312" w:cs="Times New Roman"/>
          <w:sz w:val="32"/>
          <w:szCs w:val="32"/>
        </w:rPr>
        <w:t>(十九)完成市委、市政府交办的其他任务。</w:t>
      </w:r>
    </w:p>
    <w:p w14:paraId="32A98D36">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B8B131F">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4C9FB157">
      <w:pPr>
        <w:widowControl/>
        <w:spacing w:line="600" w:lineRule="exact"/>
        <w:ind w:firstLine="640" w:firstLineChars="200"/>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bCs/>
          <w:kern w:val="0"/>
          <w:sz w:val="32"/>
          <w:szCs w:val="32"/>
          <w:lang w:eastAsia="zh-CN"/>
        </w:rPr>
        <w:t>永州市应急管理局</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color w:val="auto"/>
          <w:sz w:val="32"/>
          <w:szCs w:val="32"/>
          <w:lang w:eastAsia="zh-CN"/>
        </w:rPr>
        <w:t>办公室、应急指挥中心、宣传教育科、政策法规科（行政审批科）、科技和信息化科、矿山和工贸行业安全监督管理科、烟花爆竹和危险化学品安全监督管理科、安全生产综合协调科、救援协调和预案管理科、风险监测和综合减灾科、救灾和物资保障科、火灾防治管理科、防汛抗旱科、调查评估和统计科</w:t>
      </w:r>
      <w:r>
        <w:rPr>
          <w:rFonts w:hint="eastAsia" w:ascii="Times New Roman" w:hAnsi="Times New Roman" w:eastAsia="仿宋_GB2312" w:cs="Times New Roman"/>
          <w:color w:val="auto"/>
          <w:sz w:val="32"/>
          <w:szCs w:val="32"/>
          <w:lang w:val="en-US" w:eastAsia="zh-CN"/>
        </w:rPr>
        <w:t>14</w:t>
      </w:r>
      <w:r>
        <w:rPr>
          <w:rFonts w:hint="eastAsia" w:ascii="Times New Roman" w:hAnsi="Times New Roman" w:eastAsia="仿宋_GB2312" w:cs="Times New Roman"/>
          <w:color w:val="auto"/>
          <w:sz w:val="32"/>
          <w:szCs w:val="32"/>
          <w:lang w:eastAsia="zh-CN"/>
        </w:rPr>
        <w:t>个职能科室和政治部。</w:t>
      </w:r>
      <w:r>
        <w:rPr>
          <w:rFonts w:hint="eastAsia" w:ascii="Times New Roman" w:hAnsi="Times New Roman" w:eastAsia="仿宋_GB2312" w:cs="Times New Roman"/>
          <w:color w:val="auto"/>
          <w:sz w:val="32"/>
          <w:szCs w:val="32"/>
          <w:lang w:val="en-US" w:eastAsia="zh-CN"/>
        </w:rPr>
        <w:t>我局</w:t>
      </w:r>
      <w:r>
        <w:rPr>
          <w:rFonts w:hint="eastAsia" w:ascii="Times New Roman" w:hAnsi="Times New Roman" w:eastAsia="仿宋_GB2312" w:cs="Times New Roman"/>
          <w:color w:val="auto"/>
          <w:sz w:val="32"/>
          <w:szCs w:val="32"/>
          <w:lang w:eastAsia="zh-CN"/>
        </w:rPr>
        <w:t>归口管理</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个二级单位，</w:t>
      </w:r>
      <w:r>
        <w:rPr>
          <w:rFonts w:hint="eastAsia" w:ascii="Times New Roman" w:hAnsi="Times New Roman" w:eastAsia="仿宋_GB2312" w:cs="Times New Roman"/>
          <w:color w:val="auto"/>
          <w:sz w:val="32"/>
          <w:szCs w:val="32"/>
          <w:lang w:val="en-US" w:eastAsia="zh-CN"/>
        </w:rPr>
        <w:t>即</w:t>
      </w:r>
      <w:r>
        <w:rPr>
          <w:rFonts w:hint="eastAsia" w:ascii="Times New Roman" w:hAnsi="Times New Roman" w:eastAsia="仿宋_GB2312" w:cs="Times New Roman"/>
          <w:color w:val="auto"/>
          <w:sz w:val="32"/>
          <w:szCs w:val="32"/>
          <w:lang w:eastAsia="zh-CN"/>
        </w:rPr>
        <w:t>市应急事务中心、市</w:t>
      </w:r>
      <w:r>
        <w:rPr>
          <w:rFonts w:hint="eastAsia" w:ascii="Times New Roman" w:hAnsi="Times New Roman" w:eastAsia="仿宋_GB2312" w:cs="Times New Roman"/>
          <w:color w:val="auto"/>
          <w:sz w:val="32"/>
          <w:szCs w:val="32"/>
          <w:lang w:val="en-US" w:eastAsia="zh-CN"/>
        </w:rPr>
        <w:t>应急救援</w:t>
      </w:r>
      <w:r>
        <w:rPr>
          <w:rFonts w:hint="eastAsia" w:ascii="Times New Roman" w:hAnsi="Times New Roman" w:eastAsia="仿宋_GB2312" w:cs="Times New Roman"/>
          <w:color w:val="auto"/>
          <w:sz w:val="32"/>
          <w:szCs w:val="32"/>
          <w:lang w:eastAsia="zh-CN"/>
        </w:rPr>
        <w:t>队（独立核算）、市地震局（独立核算）。</w:t>
      </w:r>
    </w:p>
    <w:p w14:paraId="0F168F0C">
      <w:pPr>
        <w:widowControl/>
        <w:numPr>
          <w:ilvl w:val="0"/>
          <w:numId w:val="0"/>
        </w:numPr>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val="en-US" w:eastAsia="zh-CN" w:bidi="ar-SA"/>
        </w:rPr>
        <w:t>（二）</w:t>
      </w:r>
      <w:r>
        <w:rPr>
          <w:rFonts w:ascii="Times New Roman" w:hAnsi="Times New Roman" w:eastAsia="仿宋_GB2312" w:cs="Times New Roman"/>
          <w:bCs/>
          <w:kern w:val="0"/>
          <w:sz w:val="32"/>
          <w:szCs w:val="32"/>
        </w:rPr>
        <w:t>决算单位构成。</w:t>
      </w:r>
    </w:p>
    <w:p w14:paraId="43021FA3">
      <w:pPr>
        <w:widowControl/>
        <w:numPr>
          <w:ilvl w:val="0"/>
          <w:numId w:val="0"/>
        </w:numPr>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val="en-US" w:eastAsia="zh-CN"/>
        </w:rPr>
        <w:t>永州市应急管理局</w:t>
      </w:r>
      <w:r>
        <w:rPr>
          <w:rFonts w:hint="eastAsia" w:ascii="Times New Roman" w:hAnsi="Times New Roman" w:eastAsia="仿宋_GB2312" w:cs="Times New Roman"/>
          <w:bCs/>
          <w:kern w:val="0"/>
          <w:sz w:val="32"/>
          <w:szCs w:val="32"/>
          <w:lang w:eastAsia="zh-CN"/>
        </w:rPr>
        <w:t>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lang w:eastAsia="zh-CN"/>
        </w:rPr>
        <w:t>年部门决算汇总公开单位构成包括：</w:t>
      </w:r>
      <w:r>
        <w:rPr>
          <w:rFonts w:hint="eastAsia" w:ascii="Times New Roman" w:hAnsi="Times New Roman" w:eastAsia="仿宋_GB2312" w:cs="Times New Roman"/>
          <w:bCs/>
          <w:kern w:val="0"/>
          <w:sz w:val="32"/>
          <w:szCs w:val="32"/>
          <w:lang w:val="en-US" w:eastAsia="zh-CN"/>
        </w:rPr>
        <w:t>永州市应急管理局本级以及永州市应急救援队和永州市地震局两个二级预算单位。</w:t>
      </w:r>
    </w:p>
    <w:p w14:paraId="02844BD9">
      <w:pPr>
        <w:jc w:val="left"/>
        <w:rPr>
          <w:rFonts w:ascii="Times New Roman" w:hAnsi="Times New Roman" w:eastAsia="仿宋_GB2312" w:cs="Times New Roman"/>
          <w:sz w:val="28"/>
          <w:szCs w:val="32"/>
        </w:rPr>
      </w:pPr>
    </w:p>
    <w:p w14:paraId="76EE2F11">
      <w:pPr>
        <w:jc w:val="center"/>
        <w:rPr>
          <w:rFonts w:ascii="Times New Roman" w:hAnsi="Times New Roman" w:eastAsia="黑体" w:cs="Times New Roman"/>
          <w:sz w:val="28"/>
          <w:szCs w:val="28"/>
        </w:rPr>
      </w:pPr>
    </w:p>
    <w:p w14:paraId="720A391D">
      <w:pPr>
        <w:jc w:val="center"/>
        <w:rPr>
          <w:rFonts w:ascii="Times New Roman" w:hAnsi="Times New Roman" w:eastAsia="黑体" w:cs="Times New Roman"/>
          <w:sz w:val="28"/>
          <w:szCs w:val="28"/>
        </w:rPr>
      </w:pPr>
    </w:p>
    <w:p w14:paraId="7121846A">
      <w:pPr>
        <w:jc w:val="center"/>
        <w:rPr>
          <w:rFonts w:ascii="Times New Roman" w:hAnsi="Times New Roman" w:eastAsia="黑体" w:cs="Times New Roman"/>
          <w:sz w:val="28"/>
          <w:szCs w:val="28"/>
        </w:rPr>
      </w:pPr>
    </w:p>
    <w:p w14:paraId="685FD43F">
      <w:pPr>
        <w:jc w:val="center"/>
        <w:rPr>
          <w:rFonts w:ascii="Times New Roman" w:hAnsi="Times New Roman" w:eastAsia="黑体" w:cs="Times New Roman"/>
          <w:sz w:val="28"/>
          <w:szCs w:val="28"/>
        </w:rPr>
      </w:pPr>
    </w:p>
    <w:p w14:paraId="3BE24533">
      <w:pPr>
        <w:jc w:val="center"/>
        <w:rPr>
          <w:rFonts w:ascii="Times New Roman" w:hAnsi="Times New Roman" w:eastAsia="黑体" w:cs="Times New Roman"/>
          <w:sz w:val="28"/>
          <w:szCs w:val="28"/>
        </w:rPr>
      </w:pPr>
    </w:p>
    <w:p w14:paraId="4A9BE7D0">
      <w:pPr>
        <w:pStyle w:val="9"/>
        <w:rPr>
          <w:rFonts w:ascii="Times New Roman" w:hAnsi="Times New Roman" w:cs="Times New Roman"/>
        </w:rPr>
      </w:pPr>
    </w:p>
    <w:p w14:paraId="2F4A90BA">
      <w:pPr>
        <w:pStyle w:val="5"/>
        <w:sectPr>
          <w:footerReference r:id="rId6" w:type="default"/>
          <w:pgSz w:w="11906" w:h="16838"/>
          <w:pgMar w:top="1417" w:right="1588" w:bottom="1417" w:left="1588" w:header="851" w:footer="992" w:gutter="0"/>
          <w:pgNumType w:start="1"/>
          <w:cols w:space="425" w:num="1"/>
          <w:docGrid w:type="lines" w:linePitch="312" w:charSpace="0"/>
        </w:sectPr>
      </w:pPr>
    </w:p>
    <w:p w14:paraId="449DDE77">
      <w:pPr>
        <w:pStyle w:val="16"/>
        <w:numPr>
          <w:ilvl w:val="0"/>
          <w:numId w:val="0"/>
        </w:numPr>
        <w:jc w:val="center"/>
        <w:rPr>
          <w:rFonts w:ascii="Times New Roman" w:hAnsi="Times New Roman" w:eastAsia="方正小标宋_GBK" w:cs="Times New Roman"/>
          <w:sz w:val="52"/>
          <w:szCs w:val="52"/>
        </w:rPr>
      </w:pPr>
    </w:p>
    <w:p w14:paraId="22701445">
      <w:pPr>
        <w:pStyle w:val="16"/>
        <w:numPr>
          <w:ilvl w:val="0"/>
          <w:numId w:val="0"/>
        </w:numPr>
        <w:jc w:val="center"/>
        <w:rPr>
          <w:rFonts w:ascii="Times New Roman" w:hAnsi="Times New Roman" w:eastAsia="方正小标宋_GBK" w:cs="Times New Roman"/>
          <w:sz w:val="52"/>
          <w:szCs w:val="52"/>
        </w:rPr>
      </w:pPr>
    </w:p>
    <w:p w14:paraId="405E4210">
      <w:pPr>
        <w:pStyle w:val="16"/>
        <w:numPr>
          <w:ilvl w:val="0"/>
          <w:numId w:val="1"/>
        </w:numPr>
        <w:jc w:val="center"/>
        <w:rPr>
          <w:rFonts w:ascii="Times New Roman" w:hAnsi="Times New Roman" w:eastAsia="方正小标宋_GBK" w:cs="Times New Roman"/>
          <w:sz w:val="52"/>
          <w:szCs w:val="52"/>
        </w:rPr>
      </w:pPr>
    </w:p>
    <w:p w14:paraId="5C518531">
      <w:pPr>
        <w:pStyle w:val="16"/>
        <w:numPr>
          <w:ilvl w:val="0"/>
          <w:numId w:val="0"/>
        </w:numPr>
        <w:ind w:firstLine="2860" w:firstLineChars="55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14:paraId="25C109AD">
      <w:pPr>
        <w:pStyle w:val="16"/>
        <w:numPr>
          <w:ilvl w:val="0"/>
          <w:numId w:val="0"/>
        </w:numPr>
        <w:ind w:firstLine="2860" w:firstLineChars="550"/>
        <w:jc w:val="both"/>
        <w:rPr>
          <w:rFonts w:ascii="Times New Roman" w:hAnsi="Times New Roman" w:eastAsia="方正小标宋_GBK" w:cs="Times New Roman"/>
          <w:sz w:val="52"/>
          <w:szCs w:val="52"/>
        </w:rPr>
      </w:pPr>
    </w:p>
    <w:p w14:paraId="0E125145">
      <w:pPr>
        <w:widowControl/>
        <w:spacing w:line="600" w:lineRule="exact"/>
        <w:rPr>
          <w:rFonts w:ascii="Times New Roman" w:hAnsi="Times New Roman" w:eastAsia="方正小标宋_GBK" w:cs="Times New Roman"/>
          <w:sz w:val="70"/>
          <w:szCs w:val="70"/>
        </w:rPr>
      </w:pPr>
      <w:r>
        <w:rPr>
          <w:rFonts w:hint="eastAsia" w:ascii="Times New Roman" w:hAnsi="Times New Roman" w:eastAsia="黑体" w:cs="Times New Roman"/>
          <w:bCs/>
          <w:kern w:val="0"/>
          <w:sz w:val="44"/>
          <w:szCs w:val="44"/>
          <w:lang w:val="en-US" w:eastAsia="zh-CN"/>
        </w:rPr>
        <w:t>详见《附件1：202</w:t>
      </w:r>
      <w:r>
        <w:rPr>
          <w:rFonts w:hint="default" w:ascii="Times New Roman" w:hAnsi="Times New Roman" w:eastAsia="黑体" w:cs="Times New Roman"/>
          <w:bCs/>
          <w:kern w:val="0"/>
          <w:sz w:val="44"/>
          <w:szCs w:val="44"/>
          <w:lang w:val="en-US" w:eastAsia="zh-CN"/>
        </w:rPr>
        <w:t>5</w:t>
      </w:r>
      <w:r>
        <w:rPr>
          <w:rFonts w:hint="eastAsia" w:ascii="Times New Roman" w:hAnsi="Times New Roman" w:eastAsia="黑体" w:cs="Times New Roman"/>
          <w:bCs/>
          <w:kern w:val="0"/>
          <w:sz w:val="44"/>
          <w:szCs w:val="44"/>
          <w:lang w:val="en-US" w:eastAsia="zh-CN"/>
        </w:rPr>
        <w:t>年度部门决算公开表》</w:t>
      </w:r>
    </w:p>
    <w:p w14:paraId="2E70D38E">
      <w:pPr>
        <w:rPr>
          <w:rFonts w:hint="default" w:ascii="Times New Roman" w:hAnsi="Times New Roman" w:eastAsia="仿宋_GB2312" w:cs="Times New Roman"/>
          <w:color w:val="FF0000"/>
          <w:sz w:val="32"/>
          <w:szCs w:val="32"/>
          <w:lang w:val="en-US" w:eastAsia="zh-CN"/>
        </w:rPr>
      </w:pPr>
    </w:p>
    <w:p w14:paraId="5335F959">
      <w:pPr>
        <w:rPr>
          <w:rFonts w:hint="default" w:ascii="Times New Roman" w:hAnsi="Times New Roman" w:eastAsia="仿宋_GB2312" w:cs="Times New Roman"/>
          <w:color w:val="FF0000"/>
          <w:sz w:val="32"/>
          <w:szCs w:val="32"/>
          <w:lang w:val="en-US" w:eastAsia="zh-CN"/>
        </w:rPr>
      </w:pPr>
      <w:bookmarkStart w:id="1" w:name="_GoBack"/>
      <w:bookmarkEnd w:id="1"/>
      <w:r>
        <w:rPr>
          <w:rFonts w:hint="default" w:ascii="Times New Roman" w:hAnsi="Times New Roman" w:eastAsia="仿宋_GB2312" w:cs="Times New Roman"/>
          <w:color w:val="FF0000"/>
          <w:sz w:val="32"/>
          <w:szCs w:val="32"/>
          <w:lang w:val="en-US" w:eastAsia="zh-CN"/>
        </w:rPr>
        <w:br w:type="page"/>
      </w:r>
    </w:p>
    <w:p w14:paraId="20D4F46A">
      <w:pPr>
        <w:pStyle w:val="16"/>
        <w:overflowPunct w:val="0"/>
        <w:autoSpaceDE/>
        <w:autoSpaceDN/>
        <w:spacing w:line="600" w:lineRule="exact"/>
        <w:ind w:firstLine="640" w:firstLineChars="200"/>
        <w:jc w:val="both"/>
        <w:rPr>
          <w:rFonts w:hint="default" w:ascii="Times New Roman" w:hAnsi="Times New Roman" w:eastAsia="仿宋_GB2312" w:cs="Times New Roman"/>
          <w:color w:val="FF0000"/>
          <w:sz w:val="32"/>
          <w:szCs w:val="32"/>
          <w:lang w:val="en-US" w:eastAsia="zh-CN"/>
        </w:rPr>
      </w:pPr>
    </w:p>
    <w:p w14:paraId="47D6D594">
      <w:pPr>
        <w:jc w:val="center"/>
        <w:rPr>
          <w:rFonts w:ascii="Times New Roman" w:hAnsi="Times New Roman" w:eastAsia="黑体" w:cs="Times New Roman"/>
          <w:sz w:val="28"/>
          <w:szCs w:val="28"/>
        </w:rPr>
      </w:pPr>
    </w:p>
    <w:p w14:paraId="731054D7">
      <w:pPr>
        <w:pStyle w:val="16"/>
        <w:jc w:val="both"/>
        <w:rPr>
          <w:rFonts w:ascii="Times New Roman" w:hAnsi="Times New Roman" w:eastAsia="方正小标宋_GBK" w:cs="Times New Roman"/>
          <w:sz w:val="72"/>
          <w:szCs w:val="72"/>
        </w:rPr>
      </w:pPr>
    </w:p>
    <w:p w14:paraId="5A69ECB1">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5567F33">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default" w:ascii="Times New Roman" w:hAnsi="Times New Roman" w:eastAsia="方正小标宋_GBK" w:cs="Times New Roman"/>
          <w:sz w:val="52"/>
          <w:szCs w:val="52"/>
          <w:lang w:val="en-US"/>
        </w:rPr>
        <w:t>5</w:t>
      </w:r>
      <w:r>
        <w:rPr>
          <w:rFonts w:ascii="Times New Roman" w:hAnsi="Times New Roman" w:eastAsia="方正小标宋_GBK" w:cs="Times New Roman"/>
          <w:sz w:val="52"/>
          <w:szCs w:val="52"/>
        </w:rPr>
        <w:t>年度部门决算情况说明</w:t>
      </w:r>
    </w:p>
    <w:p w14:paraId="02EDE179">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E28488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795803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1971.54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1256.49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38.92</w:t>
      </w:r>
      <w:r>
        <w:rPr>
          <w:rFonts w:ascii="Times New Roman" w:hAnsi="Times New Roman" w:eastAsia="仿宋_GB2312" w:cs="Times New Roman"/>
          <w:sz w:val="32"/>
          <w:szCs w:val="32"/>
        </w:rPr>
        <w:t>%，主要是因为</w:t>
      </w:r>
      <w:r>
        <w:rPr>
          <w:rFonts w:hint="eastAsia" w:ascii="仿宋_GB2312" w:hAnsi="仿宋" w:eastAsia="仿宋_GB2312" w:cs="Times New Roman"/>
          <w:sz w:val="32"/>
          <w:szCs w:val="32"/>
          <w:highlight w:val="none"/>
          <w:lang w:val="en-US" w:eastAsia="zh-CN"/>
        </w:rPr>
        <w:t>上年安排的国债项目已完成，本年度无新增国债项目。</w:t>
      </w:r>
    </w:p>
    <w:p w14:paraId="7A7E02C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1971.54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1256.49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38.92</w:t>
      </w:r>
      <w:r>
        <w:rPr>
          <w:rFonts w:ascii="Times New Roman" w:hAnsi="Times New Roman" w:eastAsia="仿宋_GB2312" w:cs="Times New Roman"/>
          <w:sz w:val="32"/>
          <w:szCs w:val="32"/>
        </w:rPr>
        <w:t>%，主要是因为</w:t>
      </w:r>
      <w:r>
        <w:rPr>
          <w:rFonts w:hint="eastAsia" w:ascii="仿宋_GB2312" w:hAnsi="仿宋" w:eastAsia="仿宋_GB2312" w:cs="Times New Roman"/>
          <w:sz w:val="32"/>
          <w:szCs w:val="32"/>
          <w:highlight w:val="none"/>
          <w:lang w:val="en-US" w:eastAsia="zh-CN"/>
        </w:rPr>
        <w:t>上年安排的国债项目已完成，本年度无新增国债项目。</w:t>
      </w:r>
    </w:p>
    <w:p w14:paraId="0A9EFFA8">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CFF473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1971.54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1971.54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55E377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6BC152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1971.54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1269.73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64.40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701.81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35.60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DB90CEC">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77DFF7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lang w:eastAsia="zh-CN"/>
        </w:rPr>
        <w:t>收入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1971.54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1256.49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38.92</w:t>
      </w:r>
      <w:r>
        <w:rPr>
          <w:rFonts w:ascii="Times New Roman" w:hAnsi="Times New Roman" w:eastAsia="仿宋_GB2312" w:cs="Times New Roman"/>
          <w:sz w:val="32"/>
          <w:szCs w:val="32"/>
        </w:rPr>
        <w:t>%，主要是因为</w:t>
      </w:r>
      <w:r>
        <w:rPr>
          <w:rFonts w:hint="eastAsia" w:ascii="仿宋_GB2312" w:hAnsi="仿宋" w:eastAsia="仿宋_GB2312" w:cs="Times New Roman"/>
          <w:sz w:val="32"/>
          <w:szCs w:val="32"/>
          <w:highlight w:val="none"/>
          <w:lang w:val="en-US" w:eastAsia="zh-CN"/>
        </w:rPr>
        <w:t>上年安排的国债项目已完成，本年度无新增国债项目。</w:t>
      </w:r>
    </w:p>
    <w:p w14:paraId="25A8A99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1971.54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1256.49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38.92</w:t>
      </w:r>
      <w:r>
        <w:rPr>
          <w:rFonts w:ascii="Times New Roman" w:hAnsi="Times New Roman" w:eastAsia="仿宋_GB2312" w:cs="Times New Roman"/>
          <w:sz w:val="32"/>
          <w:szCs w:val="32"/>
        </w:rPr>
        <w:t>%，主要是因为</w:t>
      </w:r>
      <w:r>
        <w:rPr>
          <w:rFonts w:hint="eastAsia" w:ascii="仿宋_GB2312" w:hAnsi="仿宋" w:eastAsia="仿宋_GB2312" w:cs="Times New Roman"/>
          <w:sz w:val="32"/>
          <w:szCs w:val="32"/>
          <w:highlight w:val="none"/>
          <w:lang w:val="en-US" w:eastAsia="zh-CN"/>
        </w:rPr>
        <w:t>上年安排的国债项目已完成，本年度无新增国债项目。</w:t>
      </w:r>
    </w:p>
    <w:p w14:paraId="5BECEF35">
      <w:pPr>
        <w:pStyle w:val="16"/>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一般公共预算财政拨款支出决算情况说明</w:t>
      </w:r>
    </w:p>
    <w:p w14:paraId="01534684">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8AAE4E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1971.54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1256.49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38.92</w:t>
      </w:r>
      <w:r>
        <w:rPr>
          <w:rFonts w:ascii="Times New Roman" w:hAnsi="Times New Roman" w:eastAsia="仿宋_GB2312" w:cs="Times New Roman"/>
          <w:sz w:val="32"/>
          <w:szCs w:val="32"/>
        </w:rPr>
        <w:t>%，主要是因为</w:t>
      </w:r>
      <w:r>
        <w:rPr>
          <w:rFonts w:hint="eastAsia" w:ascii="仿宋_GB2312" w:hAnsi="仿宋" w:eastAsia="仿宋_GB2312" w:cs="Times New Roman"/>
          <w:sz w:val="32"/>
          <w:szCs w:val="32"/>
          <w:highlight w:val="none"/>
          <w:lang w:val="en-US" w:eastAsia="zh-CN"/>
        </w:rPr>
        <w:t>上年安排的国债项目已完成，本年度无新增国债项目。</w:t>
      </w:r>
    </w:p>
    <w:p w14:paraId="0EAA0EBE">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1471FE9">
      <w:pPr>
        <w:pStyle w:val="16"/>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1971.54</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124.44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6.31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43.56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2.21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资源勘探工业信息等支出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209.16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10.61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81.43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灾害防治及应急管理支出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1512.95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76.74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E0C2AD9">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846A37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1279.53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1971.54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154.08</w:t>
      </w:r>
      <w:r>
        <w:rPr>
          <w:rFonts w:ascii="Times New Roman" w:hAnsi="Times New Roman" w:eastAsia="仿宋_GB2312" w:cs="Times New Roman"/>
          <w:sz w:val="32"/>
          <w:szCs w:val="32"/>
        </w:rPr>
        <w:t>%，其中：</w:t>
      </w:r>
    </w:p>
    <w:p w14:paraId="6277F29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社会保障和就业支出</w:t>
      </w:r>
      <w:r>
        <w:rPr>
          <w:rFonts w:hint="eastAsia"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机关事业单位基本养老保险缴费支出</w:t>
      </w:r>
      <w:r>
        <w:rPr>
          <w:rFonts w:hint="eastAsia" w:ascii="Times New Roman" w:hAnsi="Times New Roman" w:eastAsia="仿宋_GB2312" w:cs="Times New Roman"/>
          <w:sz w:val="32"/>
          <w:szCs w:val="32"/>
        </w:rPr>
        <w:t>（项）</w:t>
      </w:r>
      <w:r>
        <w:rPr>
          <w:rFonts w:ascii="Times New Roman" w:hAnsi="Times New Roman" w:eastAsia="仿宋_GB2312" w:cs="Times New Roman"/>
          <w:sz w:val="32"/>
          <w:szCs w:val="32"/>
        </w:rPr>
        <w:t>。</w:t>
      </w:r>
    </w:p>
    <w:p w14:paraId="7EDE99F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99.76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96.91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单位人员变动</w:t>
      </w:r>
      <w:r>
        <w:rPr>
          <w:rFonts w:hint="eastAsia" w:ascii="Times New Roman" w:hAnsi="Times New Roman" w:eastAsia="仿宋_GB2312" w:cs="Times New Roman"/>
          <w:sz w:val="32"/>
          <w:szCs w:val="32"/>
          <w:lang w:val="en-US" w:eastAsia="zh-CN"/>
        </w:rPr>
        <w:t>及基数调整。</w:t>
      </w:r>
    </w:p>
    <w:p w14:paraId="49ED96C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社会保障和就业支出</w:t>
      </w:r>
      <w:r>
        <w:rPr>
          <w:rFonts w:hint="eastAsia"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其他行政事业单位养老支出</w:t>
      </w:r>
      <w:r>
        <w:rPr>
          <w:rFonts w:hint="eastAsia" w:ascii="Times New Roman" w:hAnsi="Times New Roman" w:eastAsia="仿宋_GB2312" w:cs="Times New Roman"/>
          <w:sz w:val="32"/>
          <w:szCs w:val="32"/>
        </w:rPr>
        <w:t>（项）</w:t>
      </w:r>
      <w:r>
        <w:rPr>
          <w:rFonts w:ascii="Times New Roman" w:hAnsi="Times New Roman" w:eastAsia="仿宋_GB2312" w:cs="Times New Roman"/>
          <w:sz w:val="32"/>
          <w:szCs w:val="32"/>
        </w:rPr>
        <w:t>。</w:t>
      </w:r>
    </w:p>
    <w:p w14:paraId="258E9C08">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color w:val="auto"/>
          <w:sz w:val="32"/>
          <w:szCs w:val="32"/>
          <w:lang w:eastAsia="zh-CN"/>
        </w:rPr>
        <w:t>年初预算未安排，为年中追加安排的</w:t>
      </w:r>
      <w:r>
        <w:rPr>
          <w:rFonts w:hint="eastAsia" w:ascii="Times New Roman" w:hAnsi="Times New Roman" w:eastAsia="仿宋_GB2312" w:cs="Times New Roman"/>
          <w:color w:val="auto"/>
          <w:sz w:val="32"/>
          <w:szCs w:val="32"/>
          <w:lang w:val="en-US" w:eastAsia="zh-CN"/>
        </w:rPr>
        <w:t>资金</w:t>
      </w:r>
      <w:r>
        <w:rPr>
          <w:rFonts w:hint="eastAsia" w:ascii="Times New Roman" w:hAnsi="Times New Roman" w:eastAsia="仿宋_GB2312" w:cs="Times New Roman"/>
          <w:color w:val="auto"/>
          <w:sz w:val="32"/>
          <w:szCs w:val="32"/>
          <w:lang w:eastAsia="zh-CN"/>
        </w:rPr>
        <w:t>。</w:t>
      </w:r>
    </w:p>
    <w:p w14:paraId="42F88821">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3、社会保障和就业支出（类）抚恤（款）其他优抚支出（项）。</w:t>
      </w:r>
    </w:p>
    <w:p w14:paraId="080B003D">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color w:val="auto"/>
          <w:sz w:val="32"/>
          <w:szCs w:val="32"/>
          <w:lang w:eastAsia="zh-CN"/>
        </w:rPr>
        <w:t>年初预算未安排，为年中追加安排的</w:t>
      </w:r>
      <w:r>
        <w:rPr>
          <w:rFonts w:hint="eastAsia" w:ascii="Times New Roman" w:hAnsi="Times New Roman" w:eastAsia="仿宋_GB2312" w:cs="Times New Roman"/>
          <w:color w:val="auto"/>
          <w:sz w:val="32"/>
          <w:szCs w:val="32"/>
          <w:lang w:val="en-US" w:eastAsia="zh-CN"/>
        </w:rPr>
        <w:t>资金</w:t>
      </w:r>
      <w:r>
        <w:rPr>
          <w:rFonts w:hint="eastAsia" w:ascii="Times New Roman" w:hAnsi="Times New Roman" w:eastAsia="仿宋_GB2312" w:cs="Times New Roman"/>
          <w:color w:val="auto"/>
          <w:sz w:val="32"/>
          <w:szCs w:val="32"/>
          <w:lang w:eastAsia="zh-CN"/>
        </w:rPr>
        <w:t>。</w:t>
      </w:r>
    </w:p>
    <w:p w14:paraId="2614787D">
      <w:pPr>
        <w:pStyle w:val="16"/>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color w:val="000000"/>
          <w:sz w:val="32"/>
          <w:szCs w:val="32"/>
          <w:lang w:val="en-US" w:eastAsia="zh-CN" w:bidi="ar-SA"/>
        </w:rPr>
        <w:t>4、</w:t>
      </w:r>
      <w:r>
        <w:rPr>
          <w:rFonts w:hint="eastAsia" w:ascii="Times New Roman" w:hAnsi="Times New Roman" w:eastAsia="仿宋_GB2312" w:cs="Times New Roman"/>
          <w:sz w:val="32"/>
          <w:szCs w:val="32"/>
          <w:lang w:eastAsia="zh-CN"/>
        </w:rPr>
        <w:t>社会保障和就业支出</w:t>
      </w:r>
      <w:r>
        <w:rPr>
          <w:rFonts w:hint="eastAsia"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其他社会保障和就业支出</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其他社会保障和就业支出</w:t>
      </w:r>
      <w:r>
        <w:rPr>
          <w:rFonts w:hint="eastAsia"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21F61C38">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color w:val="auto"/>
          <w:sz w:val="32"/>
          <w:szCs w:val="32"/>
          <w:lang w:eastAsia="zh-CN"/>
        </w:rPr>
        <w:t>年初预算未安排，为年中追加安排的</w:t>
      </w:r>
      <w:r>
        <w:rPr>
          <w:rFonts w:hint="eastAsia" w:ascii="Times New Roman" w:hAnsi="Times New Roman" w:eastAsia="仿宋_GB2312" w:cs="Times New Roman"/>
          <w:color w:val="auto"/>
          <w:sz w:val="32"/>
          <w:szCs w:val="32"/>
          <w:lang w:val="en-US" w:eastAsia="zh-CN"/>
        </w:rPr>
        <w:t>资金</w:t>
      </w:r>
      <w:r>
        <w:rPr>
          <w:rFonts w:hint="eastAsia" w:ascii="Times New Roman" w:hAnsi="Times New Roman" w:eastAsia="仿宋_GB2312" w:cs="Times New Roman"/>
          <w:color w:val="auto"/>
          <w:sz w:val="32"/>
          <w:szCs w:val="32"/>
          <w:lang w:eastAsia="zh-CN"/>
        </w:rPr>
        <w:t>。</w:t>
      </w:r>
    </w:p>
    <w:p w14:paraId="2C1DCF23">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5、卫生健康支出（类）行政事业单位医疗（款）行政单位医疗（项）。</w:t>
      </w:r>
    </w:p>
    <w:p w14:paraId="717DA8DE">
      <w:pPr>
        <w:pStyle w:val="16"/>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年初预算为</w:t>
      </w:r>
      <w:r>
        <w:rPr>
          <w:rFonts w:hint="eastAsia" w:ascii="Times New Roman" w:hAnsi="Times New Roman" w:eastAsia="仿宋_GB2312" w:cs="Times New Roman"/>
          <w:color w:val="auto"/>
          <w:sz w:val="32"/>
          <w:szCs w:val="32"/>
          <w:lang w:val="en-US" w:eastAsia="zh-CN"/>
        </w:rPr>
        <w:t>41.62</w:t>
      </w:r>
      <w:r>
        <w:rPr>
          <w:rFonts w:hint="default" w:ascii="Times New Roman" w:hAnsi="Times New Roman" w:eastAsia="仿宋_GB2312" w:cs="Times New Roman"/>
          <w:color w:val="auto"/>
          <w:sz w:val="32"/>
          <w:szCs w:val="32"/>
          <w:lang w:val="en-US" w:eastAsia="zh-CN"/>
        </w:rPr>
        <w:t>万元，支出决算为</w:t>
      </w:r>
      <w:r>
        <w:rPr>
          <w:rFonts w:hint="eastAsia" w:ascii="Times New Roman" w:hAnsi="Times New Roman" w:eastAsia="仿宋_GB2312" w:cs="Times New Roman"/>
          <w:color w:val="auto"/>
          <w:sz w:val="32"/>
          <w:szCs w:val="32"/>
          <w:lang w:val="en-US" w:eastAsia="zh-CN"/>
        </w:rPr>
        <w:t>40.23</w:t>
      </w:r>
      <w:r>
        <w:rPr>
          <w:rFonts w:hint="default" w:ascii="Times New Roman" w:hAnsi="Times New Roman" w:eastAsia="仿宋_GB2312" w:cs="Times New Roman"/>
          <w:color w:val="auto"/>
          <w:sz w:val="32"/>
          <w:szCs w:val="32"/>
          <w:lang w:val="en-US" w:eastAsia="zh-CN"/>
        </w:rPr>
        <w:t>万元，完成年初预算的9</w:t>
      </w:r>
      <w:r>
        <w:rPr>
          <w:rFonts w:hint="eastAsia" w:ascii="Times New Roman" w:hAnsi="Times New Roman" w:eastAsia="仿宋_GB2312" w:cs="Times New Roman"/>
          <w:color w:val="auto"/>
          <w:sz w:val="32"/>
          <w:szCs w:val="32"/>
          <w:lang w:val="en-US" w:eastAsia="zh-CN"/>
        </w:rPr>
        <w:t>6.66</w:t>
      </w:r>
      <w:r>
        <w:rPr>
          <w:rFonts w:hint="default" w:ascii="Times New Roman" w:hAnsi="Times New Roman" w:eastAsia="仿宋_GB2312" w:cs="Times New Roman"/>
          <w:color w:val="auto"/>
          <w:sz w:val="32"/>
          <w:szCs w:val="32"/>
          <w:lang w:val="en-US" w:eastAsia="zh-CN"/>
        </w:rPr>
        <w:t>%，决算数</w:t>
      </w:r>
      <w:r>
        <w:rPr>
          <w:rFonts w:hint="eastAsia" w:ascii="Times New Roman" w:hAnsi="Times New Roman" w:eastAsia="仿宋_GB2312" w:cs="Times New Roman"/>
          <w:color w:val="auto"/>
          <w:sz w:val="32"/>
          <w:szCs w:val="32"/>
          <w:lang w:val="en-US" w:eastAsia="zh-CN"/>
        </w:rPr>
        <w:t>小</w:t>
      </w:r>
      <w:r>
        <w:rPr>
          <w:rFonts w:hint="default" w:ascii="Times New Roman" w:hAnsi="Times New Roman" w:eastAsia="仿宋_GB2312" w:cs="Times New Roman"/>
          <w:color w:val="auto"/>
          <w:sz w:val="32"/>
          <w:szCs w:val="32"/>
          <w:lang w:val="en-US" w:eastAsia="zh-CN"/>
        </w:rPr>
        <w:t>于年初预算数的主要原因是：单位人员变动及基数调整。</w:t>
      </w:r>
    </w:p>
    <w:p w14:paraId="05F19170">
      <w:pPr>
        <w:pStyle w:val="16"/>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bidi="ar-SA"/>
        </w:rPr>
        <w:t>6、</w:t>
      </w:r>
      <w:r>
        <w:rPr>
          <w:rFonts w:hint="eastAsia" w:ascii="Times New Roman" w:hAnsi="Times New Roman" w:eastAsia="仿宋_GB2312" w:cs="Times New Roman"/>
          <w:color w:val="auto"/>
          <w:sz w:val="32"/>
          <w:szCs w:val="32"/>
          <w:lang w:val="en-US" w:eastAsia="zh-CN"/>
        </w:rPr>
        <w:t>卫生健康支出（类）行政事业单位医疗（款）公务员医疗补助（项）。</w:t>
      </w:r>
    </w:p>
    <w:p w14:paraId="0B2509A6">
      <w:pPr>
        <w:pStyle w:val="16"/>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年初预算为0万元，支出决算为</w:t>
      </w:r>
      <w:r>
        <w:rPr>
          <w:rFonts w:hint="eastAsia" w:ascii="Times New Roman" w:hAnsi="Times New Roman" w:eastAsia="仿宋_GB2312" w:cs="Times New Roman"/>
          <w:color w:val="auto"/>
          <w:sz w:val="32"/>
          <w:szCs w:val="32"/>
          <w:lang w:val="en-US" w:eastAsia="zh-CN"/>
        </w:rPr>
        <w:t>3.33</w:t>
      </w:r>
      <w:r>
        <w:rPr>
          <w:rFonts w:hint="default" w:ascii="Times New Roman" w:hAnsi="Times New Roman" w:eastAsia="仿宋_GB2312" w:cs="Times New Roman"/>
          <w:color w:val="auto"/>
          <w:sz w:val="32"/>
          <w:szCs w:val="32"/>
          <w:lang w:val="en-US" w:eastAsia="zh-CN"/>
        </w:rPr>
        <w:t>万元，完成年初预算的0%，决算数大于年初预算数的主要原因是：年初预算未安排，为年中追加安排的资金。</w:t>
      </w:r>
    </w:p>
    <w:p w14:paraId="7F7ABB62">
      <w:pPr>
        <w:pStyle w:val="16"/>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7、资源勘探工业信息等支出（类）其他资源勘探工业信息等支出（款）其他资源勘探工业信息等支出（项）。</w:t>
      </w:r>
    </w:p>
    <w:p w14:paraId="0C3F39F0">
      <w:pPr>
        <w:pStyle w:val="16"/>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年初预算为0万元，支出决算为</w:t>
      </w:r>
      <w:r>
        <w:rPr>
          <w:rFonts w:hint="eastAsia" w:ascii="Times New Roman" w:hAnsi="Times New Roman" w:eastAsia="仿宋_GB2312" w:cs="Times New Roman"/>
          <w:color w:val="auto"/>
          <w:sz w:val="32"/>
          <w:szCs w:val="32"/>
          <w:lang w:val="en-US" w:eastAsia="zh-CN"/>
        </w:rPr>
        <w:t>209.16</w:t>
      </w:r>
      <w:r>
        <w:rPr>
          <w:rFonts w:hint="default" w:ascii="Times New Roman" w:hAnsi="Times New Roman" w:eastAsia="仿宋_GB2312" w:cs="Times New Roman"/>
          <w:color w:val="auto"/>
          <w:sz w:val="32"/>
          <w:szCs w:val="32"/>
          <w:lang w:val="en-US" w:eastAsia="zh-CN"/>
        </w:rPr>
        <w:t>万元，完成年初预算的0%，决算数大于年初预算数的主要原因是：年初预算未安排，为年中追加安排的</w:t>
      </w:r>
      <w:r>
        <w:rPr>
          <w:rFonts w:hint="eastAsia" w:ascii="仿宋_GB2312" w:hAnsi="仿宋" w:eastAsia="仿宋_GB2312" w:cs="仿宋"/>
          <w:color w:val="000000"/>
          <w:kern w:val="2"/>
          <w:sz w:val="32"/>
          <w:szCs w:val="32"/>
          <w:u w:val="none"/>
          <w:lang w:val="en-US" w:eastAsia="zh-CN"/>
        </w:rPr>
        <w:t>省厅增拨</w:t>
      </w:r>
      <w:r>
        <w:rPr>
          <w:rFonts w:hint="eastAsia" w:ascii="仿宋_GB2312" w:hAnsi="Times New Roman" w:eastAsia="仿宋_GB2312"/>
          <w:bCs/>
          <w:kern w:val="0"/>
          <w:sz w:val="32"/>
          <w:szCs w:val="32"/>
          <w:u w:val="none"/>
          <w:lang w:val="en-US" w:eastAsia="zh-CN"/>
        </w:rPr>
        <w:t>自然灾害应急能力提升工程基层防灾项目资</w:t>
      </w:r>
      <w:r>
        <w:rPr>
          <w:rFonts w:hint="eastAsia" w:ascii="仿宋_GB2312" w:hAnsi="Times New Roman" w:eastAsia="仿宋_GB2312"/>
          <w:bCs/>
          <w:color w:val="auto"/>
          <w:kern w:val="0"/>
          <w:sz w:val="32"/>
          <w:szCs w:val="32"/>
          <w:u w:val="none"/>
          <w:lang w:val="en-US" w:eastAsia="zh-CN"/>
        </w:rPr>
        <w:t>金及自然灾害应急能力提升工程预警指挥项目（国债）</w:t>
      </w:r>
      <w:r>
        <w:rPr>
          <w:rFonts w:hint="default" w:ascii="Times New Roman" w:hAnsi="Times New Roman" w:eastAsia="仿宋_GB2312" w:cs="Times New Roman"/>
          <w:color w:val="auto"/>
          <w:sz w:val="32"/>
          <w:szCs w:val="32"/>
          <w:lang w:val="en-US" w:eastAsia="zh-CN"/>
        </w:rPr>
        <w:t>资金。</w:t>
      </w:r>
    </w:p>
    <w:p w14:paraId="6B548F52">
      <w:pPr>
        <w:pStyle w:val="16"/>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8、住房保障支出（类）住房改革支出（款）住房公积金（项）。</w:t>
      </w:r>
    </w:p>
    <w:p w14:paraId="550CE06C">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83.89</w:t>
      </w:r>
      <w:r>
        <w:rPr>
          <w:rFonts w:hint="eastAsia" w:ascii="Times New Roman" w:hAnsi="Times New Roman" w:eastAsia="仿宋_GB2312" w:cs="Times New Roman"/>
          <w:sz w:val="32"/>
          <w:szCs w:val="32"/>
        </w:rPr>
        <w:t>万元，支出决算为81.43万元，完成年初预算的</w:t>
      </w:r>
      <w:r>
        <w:rPr>
          <w:rFonts w:hint="eastAsia" w:ascii="Times New Roman" w:hAnsi="Times New Roman" w:eastAsia="仿宋_GB2312" w:cs="Times New Roman"/>
          <w:sz w:val="32"/>
          <w:szCs w:val="32"/>
          <w:lang w:val="en-US" w:eastAsia="zh-CN"/>
        </w:rPr>
        <w:t>97.07</w:t>
      </w:r>
      <w:r>
        <w:rPr>
          <w:rFonts w:hint="eastAsia"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单位人员变动</w:t>
      </w:r>
      <w:r>
        <w:rPr>
          <w:rFonts w:hint="eastAsia" w:ascii="Times New Roman" w:hAnsi="Times New Roman" w:eastAsia="仿宋_GB2312" w:cs="Times New Roman"/>
          <w:sz w:val="32"/>
          <w:szCs w:val="32"/>
          <w:lang w:val="en-US" w:eastAsia="zh-CN"/>
        </w:rPr>
        <w:t>及基数调整</w:t>
      </w:r>
      <w:r>
        <w:rPr>
          <w:rFonts w:hint="eastAsia" w:ascii="Times New Roman" w:hAnsi="Times New Roman" w:eastAsia="仿宋_GB2312" w:cs="Times New Roman"/>
          <w:sz w:val="32"/>
          <w:szCs w:val="32"/>
          <w:lang w:eastAsia="zh-CN"/>
        </w:rPr>
        <w:t>。</w:t>
      </w:r>
    </w:p>
    <w:p w14:paraId="0213ECDF">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9、灾害防治及应急管理支出（类）应急管理事务（款）行政运行（项）。</w:t>
      </w:r>
    </w:p>
    <w:p w14:paraId="04C6507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859.86</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1035.53</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120.43</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hint="eastAsia"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单位人员变动</w:t>
      </w:r>
      <w:r>
        <w:rPr>
          <w:rFonts w:hint="eastAsia" w:ascii="Times New Roman" w:hAnsi="Times New Roman" w:eastAsia="仿宋_GB2312" w:cs="Times New Roman"/>
          <w:sz w:val="32"/>
          <w:szCs w:val="32"/>
          <w:lang w:val="en-US" w:eastAsia="zh-CN"/>
        </w:rPr>
        <w:t>及基数调整，</w:t>
      </w:r>
      <w:r>
        <w:rPr>
          <w:rFonts w:hint="eastAsia" w:ascii="仿宋_GB2312" w:hAnsi="Times New Roman" w:eastAsia="仿宋_GB2312"/>
          <w:bCs/>
          <w:kern w:val="0"/>
          <w:sz w:val="32"/>
          <w:szCs w:val="32"/>
          <w:u w:val="none"/>
          <w:lang w:val="en-US" w:eastAsia="zh-CN"/>
        </w:rPr>
        <w:t>市本级增加工资性支出补发2024年7-12月基本工资</w:t>
      </w:r>
      <w:r>
        <w:rPr>
          <w:rFonts w:hint="eastAsia" w:ascii="仿宋_GB2312" w:hAnsi="Times New Roman" w:eastAsia="仿宋_GB2312"/>
          <w:bCs/>
          <w:kern w:val="0"/>
          <w:sz w:val="32"/>
          <w:szCs w:val="32"/>
          <w:u w:val="none"/>
        </w:rPr>
        <w:t>，</w:t>
      </w:r>
      <w:r>
        <w:rPr>
          <w:rFonts w:hint="eastAsia" w:ascii="仿宋_GB2312" w:hAnsi="Times New Roman" w:eastAsia="仿宋_GB2312"/>
          <w:bCs/>
          <w:kern w:val="0"/>
          <w:sz w:val="32"/>
          <w:szCs w:val="32"/>
          <w:u w:val="none"/>
          <w:lang w:val="en-US" w:eastAsia="zh-CN"/>
        </w:rPr>
        <w:t>市本级增加安排2025年市直单位增人增资经费（工资类）资金，市本级增加绩效奖金（基础部分）资金</w:t>
      </w:r>
      <w:r>
        <w:rPr>
          <w:rFonts w:hint="eastAsia" w:ascii="Times New Roman" w:hAnsi="Times New Roman" w:eastAsia="仿宋_GB2312" w:cs="Times New Roman"/>
          <w:sz w:val="32"/>
          <w:szCs w:val="32"/>
          <w:lang w:eastAsia="zh-CN"/>
        </w:rPr>
        <w:t>。</w:t>
      </w:r>
    </w:p>
    <w:p w14:paraId="5EBBB429">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10、灾害防治及应急管理支出（类）应急管理事务（款）安全监管（项）。</w:t>
      </w:r>
    </w:p>
    <w:p w14:paraId="32D5921D">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194.40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388.39</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199.79</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hint="eastAsia"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市本级追加救灾物资采购资金</w:t>
      </w:r>
      <w:r>
        <w:rPr>
          <w:rFonts w:hint="eastAsia" w:ascii="Times New Roman" w:hAnsi="Times New Roman" w:eastAsia="仿宋_GB2312" w:cs="Times New Roman"/>
          <w:sz w:val="32"/>
          <w:szCs w:val="32"/>
          <w:lang w:eastAsia="zh-CN"/>
        </w:rPr>
        <w:t>。</w:t>
      </w:r>
    </w:p>
    <w:p w14:paraId="6A7E5330">
      <w:pPr>
        <w:pStyle w:val="16"/>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11、灾害防治及应急管理支出（类）其他灾害防治及应急管理支出（款）其他灾害防治及应急管理支出（项）。</w:t>
      </w:r>
    </w:p>
    <w:p w14:paraId="7C852C2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89.03</w:t>
      </w:r>
      <w:r>
        <w:rPr>
          <w:rFonts w:hint="eastAsia"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%，决算数大于年初预算数的主要原因是：</w:t>
      </w:r>
      <w:r>
        <w:rPr>
          <w:rFonts w:hint="eastAsia" w:ascii="Times New Roman" w:hAnsi="Times New Roman" w:eastAsia="仿宋_GB2312" w:cs="Times New Roman"/>
          <w:color w:val="auto"/>
          <w:sz w:val="32"/>
          <w:szCs w:val="32"/>
          <w:lang w:eastAsia="zh-CN"/>
        </w:rPr>
        <w:t>年初预算未安排，为年中追加安排的</w:t>
      </w:r>
      <w:r>
        <w:rPr>
          <w:rFonts w:hint="eastAsia" w:ascii="Times New Roman" w:hAnsi="Times New Roman" w:eastAsia="仿宋_GB2312" w:cs="Times New Roman"/>
          <w:color w:val="auto"/>
          <w:sz w:val="32"/>
          <w:szCs w:val="32"/>
          <w:lang w:val="en-US" w:eastAsia="zh-CN"/>
        </w:rPr>
        <w:t>中央与省级资金</w:t>
      </w:r>
      <w:r>
        <w:rPr>
          <w:rFonts w:hint="eastAsia" w:ascii="Times New Roman" w:hAnsi="Times New Roman" w:eastAsia="仿宋_GB2312" w:cs="Times New Roman"/>
          <w:color w:val="auto"/>
          <w:sz w:val="32"/>
          <w:szCs w:val="32"/>
          <w:lang w:eastAsia="zh-CN"/>
        </w:rPr>
        <w:t>。</w:t>
      </w:r>
    </w:p>
    <w:p w14:paraId="779F4CED">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5A119B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1269.73</w:t>
      </w:r>
      <w:r>
        <w:rPr>
          <w:rFonts w:ascii="Times New Roman" w:hAnsi="Times New Roman" w:eastAsia="仿宋_GB2312" w:cs="Times New Roman"/>
          <w:sz w:val="32"/>
          <w:szCs w:val="32"/>
        </w:rPr>
        <w:t>万元，其中：</w:t>
      </w:r>
    </w:p>
    <w:p w14:paraId="3FB02235">
      <w:pPr>
        <w:pStyle w:val="16"/>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1120.07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88.21</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、绩效工资、机关事业单位基本养老保险缴费、</w:t>
      </w:r>
      <w:r>
        <w:rPr>
          <w:rFonts w:hint="eastAsia" w:ascii="Times New Roman" w:hAnsi="Times New Roman" w:eastAsia="仿宋_GB2312" w:cs="Times New Roman"/>
          <w:sz w:val="32"/>
          <w:szCs w:val="32"/>
          <w:lang w:val="en-US" w:eastAsia="zh-CN"/>
        </w:rPr>
        <w:t>职工基本医疗保险缴费、其他社会保障缴费、住房公积金、生活补助</w:t>
      </w:r>
      <w:r>
        <w:rPr>
          <w:rFonts w:ascii="Times New Roman" w:hAnsi="Times New Roman" w:eastAsia="仿宋_GB2312" w:cs="Times New Roman"/>
          <w:sz w:val="32"/>
          <w:szCs w:val="32"/>
        </w:rPr>
        <w:t>。</w:t>
      </w:r>
    </w:p>
    <w:p w14:paraId="1BAF12A0">
      <w:pPr>
        <w:pStyle w:val="16"/>
        <w:overflowPunct w:val="0"/>
        <w:autoSpaceDE/>
        <w:autoSpaceDN/>
        <w:spacing w:line="600" w:lineRule="exact"/>
        <w:ind w:firstLine="640" w:firstLineChars="200"/>
        <w:jc w:val="both"/>
        <w:rPr>
          <w:rFonts w:hint="default" w:ascii="Times New Roman" w:hAnsi="Times New Roman" w:eastAsia="仿宋_GB2312" w:cs="Times New Roman"/>
          <w:color w:val="FF0000"/>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149.66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11.79</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邮电费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维修（护）费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会议费</w:t>
      </w:r>
      <w:r>
        <w:rPr>
          <w:rFonts w:hint="eastAsia" w:ascii="Times New Roman" w:hAnsi="Times New Roman" w:eastAsia="仿宋_GB2312" w:cs="Times New Roman"/>
          <w:sz w:val="32"/>
          <w:szCs w:val="32"/>
          <w:lang w:eastAsia="zh-CN"/>
        </w:rPr>
        <w:t>、培训费、公务接待费、劳务费、工会经费、福利费、公务用车运行维护费、其他交通费用、其他商品和服务支出</w:t>
      </w:r>
      <w:r>
        <w:rPr>
          <w:rFonts w:ascii="Times New Roman" w:hAnsi="Times New Roman" w:eastAsia="仿宋_GB2312" w:cs="Times New Roman"/>
          <w:sz w:val="32"/>
          <w:szCs w:val="32"/>
        </w:rPr>
        <w:t>。</w:t>
      </w:r>
    </w:p>
    <w:p w14:paraId="14F83083">
      <w:pPr>
        <w:pStyle w:val="16"/>
        <w:numPr>
          <w:ilvl w:val="0"/>
          <w:numId w:val="0"/>
        </w:numPr>
        <w:overflowPunct w:val="0"/>
        <w:autoSpaceDE/>
        <w:autoSpaceDN/>
        <w:spacing w:line="600" w:lineRule="exact"/>
        <w:ind w:leftChars="200" w:firstLine="320" w:firstLineChars="1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七、</w:t>
      </w:r>
      <w:r>
        <w:rPr>
          <w:rFonts w:ascii="Times New Roman" w:hAnsi="Times New Roman" w:cs="Times New Roman"/>
          <w:bCs/>
          <w:sz w:val="32"/>
          <w:szCs w:val="32"/>
        </w:rPr>
        <w:t>财政拨款“三公”经费支出决算情况说明</w:t>
      </w:r>
    </w:p>
    <w:p w14:paraId="378B1101">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956281E">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万元，降低</w:t>
      </w:r>
      <w:r>
        <w:rPr>
          <w:rFonts w:hint="eastAsia" w:ascii="仿宋_GB2312" w:hAnsi="仿宋" w:eastAsia="仿宋_GB2312" w:cs="Times New Roman"/>
          <w:color w:val="auto"/>
          <w:sz w:val="32"/>
          <w:szCs w:val="32"/>
          <w:lang w:val="en-US" w:eastAsia="zh-CN"/>
        </w:rPr>
        <w:t>44.65</w:t>
      </w:r>
      <w:r>
        <w:rPr>
          <w:rFonts w:ascii="Times New Roman" w:hAnsi="Times New Roman" w:eastAsia="仿宋_GB2312" w:cs="Times New Roman"/>
          <w:sz w:val="32"/>
          <w:szCs w:val="32"/>
        </w:rPr>
        <w:t>%。决算数小于预算数的主要原因是</w:t>
      </w:r>
      <w:r>
        <w:rPr>
          <w:rFonts w:hint="eastAsia" w:ascii="仿宋_GB2312" w:hAnsi="仿宋" w:eastAsia="仿宋_GB2312" w:cs="Times New Roman"/>
          <w:color w:val="auto"/>
          <w:sz w:val="32"/>
          <w:szCs w:val="32"/>
        </w:rPr>
        <w:t>根据文件要求例行节约</w:t>
      </w:r>
      <w:r>
        <w:rPr>
          <w:rFonts w:ascii="Times New Roman" w:hAnsi="Times New Roman" w:eastAsia="仿宋_GB2312" w:cs="Times New Roman"/>
          <w:sz w:val="32"/>
          <w:szCs w:val="32"/>
        </w:rPr>
        <w:t>。决算数小于上年数的主要原因是</w:t>
      </w:r>
      <w:r>
        <w:rPr>
          <w:rFonts w:hint="eastAsia" w:ascii="仿宋_GB2312" w:hAnsi="仿宋" w:eastAsia="仿宋_GB2312" w:cs="Times New Roman"/>
          <w:color w:val="auto"/>
          <w:sz w:val="32"/>
          <w:szCs w:val="32"/>
        </w:rPr>
        <w:t>根据文件要求例行节约</w:t>
      </w:r>
      <w:r>
        <w:rPr>
          <w:rFonts w:ascii="Times New Roman" w:hAnsi="Times New Roman" w:eastAsia="仿宋_GB2312" w:cs="Times New Roman"/>
          <w:sz w:val="32"/>
          <w:szCs w:val="32"/>
        </w:rPr>
        <w:t>。</w:t>
      </w:r>
    </w:p>
    <w:p w14:paraId="45191227">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0A8381B">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年度我单位未开展因公出国（境）活动。</w:t>
      </w:r>
    </w:p>
    <w:p w14:paraId="00E8EF8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33.33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0.88</w:t>
      </w:r>
      <w:r>
        <w:rPr>
          <w:rFonts w:ascii="Times New Roman" w:hAnsi="Times New Roman" w:eastAsia="仿宋_GB2312" w:cs="Times New Roman"/>
          <w:sz w:val="32"/>
          <w:szCs w:val="32"/>
        </w:rPr>
        <w:t>万元，降低</w:t>
      </w:r>
      <w:r>
        <w:rPr>
          <w:rFonts w:hint="eastAsia" w:ascii="仿宋_GB2312" w:hAnsi="仿宋" w:eastAsia="仿宋_GB2312" w:cs="Times New Roman"/>
          <w:color w:val="auto"/>
          <w:sz w:val="32"/>
          <w:szCs w:val="32"/>
          <w:lang w:val="en-US" w:eastAsia="zh-CN"/>
        </w:rPr>
        <w:t>46.81</w:t>
      </w:r>
      <w:r>
        <w:rPr>
          <w:rFonts w:ascii="Times New Roman" w:hAnsi="Times New Roman" w:eastAsia="仿宋_GB2312" w:cs="Times New Roman"/>
          <w:sz w:val="32"/>
          <w:szCs w:val="32"/>
        </w:rPr>
        <w:t>%。其中：</w:t>
      </w:r>
    </w:p>
    <w:p w14:paraId="71EBB165">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本单位无更新公务用车。</w:t>
      </w:r>
    </w:p>
    <w:p w14:paraId="2C2C5BFB">
      <w:pPr>
        <w:pStyle w:val="16"/>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val="en-US"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万元，主要是</w:t>
      </w:r>
      <w:r>
        <w:rPr>
          <w:rFonts w:hint="eastAsia" w:ascii="Times New Roman" w:hAnsi="Times New Roman" w:eastAsia="仿宋_GB2312"/>
          <w:sz w:val="32"/>
          <w:szCs w:val="32"/>
          <w:lang w:val="en-US" w:eastAsia="zh-CN"/>
        </w:rPr>
        <w:t>应急指挥车辆加油、购买保险及其他配件完善</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33.33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0.88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46.81</w:t>
      </w:r>
      <w:r>
        <w:rPr>
          <w:rFonts w:ascii="Times New Roman" w:hAnsi="Times New Roman" w:eastAsia="仿宋_GB2312" w:cs="Times New Roman"/>
          <w:sz w:val="32"/>
          <w:szCs w:val="32"/>
        </w:rPr>
        <w:t>%。决算数小于预算数的主要原因是</w:t>
      </w:r>
      <w:r>
        <w:rPr>
          <w:rFonts w:hint="eastAsia" w:ascii="仿宋_GB2312" w:hAnsi="仿宋" w:eastAsia="仿宋_GB2312" w:cs="Times New Roman"/>
          <w:color w:val="auto"/>
          <w:sz w:val="32"/>
          <w:szCs w:val="32"/>
        </w:rPr>
        <w:t>车辆出动次数减少</w:t>
      </w:r>
      <w:r>
        <w:rPr>
          <w:rFonts w:hint="eastAsia" w:ascii="Times New Roman" w:hAnsi="Times New Roman" w:eastAsia="仿宋_GB2312" w:cs="Times New Roman"/>
          <w:sz w:val="32"/>
          <w:szCs w:val="32"/>
          <w:lang w:val="en-US" w:eastAsia="zh-CN"/>
        </w:rPr>
        <w:t>按需开支</w:t>
      </w:r>
      <w:r>
        <w:rPr>
          <w:rFonts w:ascii="Times New Roman" w:hAnsi="Times New Roman" w:eastAsia="仿宋_GB2312" w:cs="Times New Roman"/>
          <w:sz w:val="32"/>
          <w:szCs w:val="32"/>
        </w:rPr>
        <w:t>。决算数小于上年数的主要原因是</w:t>
      </w:r>
      <w:r>
        <w:rPr>
          <w:rFonts w:hint="eastAsia" w:ascii="仿宋_GB2312" w:hAnsi="仿宋" w:eastAsia="仿宋_GB2312" w:cs="Times New Roman"/>
          <w:color w:val="auto"/>
          <w:sz w:val="32"/>
          <w:szCs w:val="32"/>
        </w:rPr>
        <w:t>车辆出动次数减少</w:t>
      </w:r>
      <w:r>
        <w:rPr>
          <w:rFonts w:hint="eastAsia" w:ascii="Times New Roman" w:hAnsi="Times New Roman" w:eastAsia="仿宋_GB2312" w:cs="Times New Roman"/>
          <w:sz w:val="32"/>
          <w:szCs w:val="32"/>
          <w:lang w:val="en-US" w:eastAsia="zh-CN"/>
        </w:rPr>
        <w:t>按需开支</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0E66E2D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16.67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39.76</w:t>
      </w:r>
      <w:r>
        <w:rPr>
          <w:rFonts w:ascii="Times New Roman" w:hAnsi="Times New Roman" w:eastAsia="仿宋_GB2312" w:cs="Times New Roman"/>
          <w:sz w:val="32"/>
          <w:szCs w:val="32"/>
        </w:rPr>
        <w:t>%。决算数小于预算数的主要原因是</w:t>
      </w:r>
      <w:r>
        <w:rPr>
          <w:rFonts w:hint="eastAsia" w:ascii="仿宋_GB2312" w:hAnsi="仿宋" w:eastAsia="仿宋_GB2312" w:cs="Times New Roman"/>
          <w:color w:val="auto"/>
          <w:sz w:val="32"/>
          <w:szCs w:val="32"/>
        </w:rPr>
        <w:t>根据文件要求例行节约</w:t>
      </w:r>
      <w:r>
        <w:rPr>
          <w:rFonts w:ascii="Times New Roman" w:hAnsi="Times New Roman" w:eastAsia="仿宋_GB2312" w:cs="Times New Roman"/>
          <w:sz w:val="32"/>
          <w:szCs w:val="32"/>
        </w:rPr>
        <w:t>。决算数小于上年数的主要原因是</w:t>
      </w:r>
      <w:r>
        <w:rPr>
          <w:rFonts w:hint="eastAsia" w:ascii="仿宋_GB2312" w:hAnsi="仿宋" w:eastAsia="仿宋_GB2312" w:cs="Times New Roman"/>
          <w:color w:val="auto"/>
          <w:sz w:val="32"/>
          <w:szCs w:val="32"/>
        </w:rPr>
        <w:t>根据文件要求例行节约</w:t>
      </w: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省应急厅根据省安委会安排到永州开展2024年安全生产和消防考核工作、省应急厅两会期间森林防灭火督查、国家应急部和省应急厅调研永州零陵区危化品车辆侧翻致粗苯泄露事故救援处置情况、娄底市应急管理局赴永州市应急管理局考察学习、应急管理部研究中心十五五国家应急体系规划编制调研等</w:t>
      </w:r>
      <w:r>
        <w:rPr>
          <w:rFonts w:ascii="Times New Roman" w:hAnsi="Times New Roman" w:eastAsia="仿宋_GB2312" w:cs="Times New Roman"/>
          <w:sz w:val="32"/>
          <w:szCs w:val="32"/>
        </w:rPr>
        <w:t>发生的接待支出。</w:t>
      </w:r>
    </w:p>
    <w:p w14:paraId="240AB20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38026D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年度本单位无政府性基金收支。</w:t>
      </w:r>
    </w:p>
    <w:p w14:paraId="253ABC0D">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57864C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149.66</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11.1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%。主要原因是：</w:t>
      </w:r>
      <w:r>
        <w:rPr>
          <w:rFonts w:hint="eastAsia" w:ascii="仿宋_GB2312" w:hAnsi="仿宋" w:eastAsia="仿宋_GB2312" w:cs="Times New Roman"/>
          <w:color w:val="auto"/>
          <w:sz w:val="32"/>
          <w:szCs w:val="32"/>
        </w:rPr>
        <w:t>根据文件要求例行节约</w:t>
      </w:r>
      <w:r>
        <w:rPr>
          <w:rFonts w:ascii="Times New Roman" w:hAnsi="Times New Roman" w:eastAsia="仿宋_GB2312" w:cs="Times New Roman"/>
          <w:sz w:val="32"/>
          <w:szCs w:val="32"/>
        </w:rPr>
        <w:t>。</w:t>
      </w:r>
    </w:p>
    <w:p w14:paraId="7728C0B8">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F4E8C6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0.87</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2025年度工作务虚会、全市旺季烟花爆竹安全监管工作座谈会、2025年全市矿山和工贸行业安全生产会议、安全生产集中约谈会、安全生产反馈会</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142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全面总结2024年永州市应急管理局工作经验和不足，深入剖析当前面临的形势与挑战，广泛征集创新思路与方法，为永州应急管理工作在新的一年找准方向、明晰路径，提升整体工作效能与应对突发事件的能力。通报近期各类事故基本情况、检查督查发现的问题，旺季全市“打非”工作情况</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现场签订烟花爆竹生产、经营（批发）企业安全承诺书。总结交流2024年全市矿山和工贸行业安全生产工作，安排部署2025年全市矿山和工贸行业安全生产重点工作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对9家超规模开采矿山开展安全生产集中约谈。反馈了督导过程中发现的问题隐患</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万元，用于</w:t>
      </w:r>
      <w:r>
        <w:rPr>
          <w:rFonts w:hint="eastAsia" w:ascii="Times New Roman" w:hAnsi="Times New Roman" w:eastAsia="仿宋_GB2312" w:cs="Times New Roman"/>
          <w:sz w:val="32"/>
          <w:szCs w:val="32"/>
          <w:lang w:val="en-US" w:eastAsia="zh-CN"/>
        </w:rPr>
        <w:t>参加市委改革办2025年全市改革攻坚能力提升</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val="en-US" w:eastAsia="zh-CN"/>
        </w:rPr>
        <w:t>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通过专题培训、现场考察、研讨交流等形式，深入学习贯彻习近平新时代中国特色社会主义思想，学习贯彻党的二十届三中全会精神，学习贯彻习近平总书记关于全面深化改革的一系列新思想、新观点、新论断，准确把握中央改革部署和省委、市委改革要求，深刻认识我市进一步全面深化改革的新使命、新形势、新任务</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DBCD553">
      <w:pPr>
        <w:pStyle w:val="16"/>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hint="eastAsia" w:ascii="Times New Roman" w:hAnsi="Times New Roman" w:cs="Times New Roman"/>
          <w:bCs/>
          <w:sz w:val="32"/>
          <w:szCs w:val="32"/>
          <w:lang w:val="en-US" w:eastAsia="zh-CN"/>
        </w:rPr>
        <w:t>十一、关于政府采购支出说明</w:t>
      </w:r>
    </w:p>
    <w:p w14:paraId="5DDB26D8">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34.10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20.43</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13.67</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34.10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34.10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59.91</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40.09</w:t>
      </w:r>
      <w:r>
        <w:rPr>
          <w:rFonts w:ascii="Times New Roman" w:hAnsi="Times New Roman" w:eastAsia="仿宋_GB2312" w:cs="Times New Roman"/>
          <w:color w:val="auto"/>
          <w:sz w:val="32"/>
          <w:szCs w:val="32"/>
        </w:rPr>
        <w:t>%。</w:t>
      </w:r>
    </w:p>
    <w:p w14:paraId="4A637679">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E807FD2">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default" w:ascii="Times New Roman" w:hAnsi="Times New Roman" w:eastAsia="仿宋_GB2312" w:cs="Times New Roman"/>
          <w:color w:val="auto"/>
          <w:sz w:val="32"/>
          <w:szCs w:val="32"/>
          <w:lang w:val="en-US"/>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台（套）。</w:t>
      </w:r>
    </w:p>
    <w:p w14:paraId="673B2F37">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rPr>
        <w:t>5</w:t>
      </w:r>
      <w:r>
        <w:rPr>
          <w:rFonts w:ascii="Times New Roman" w:hAnsi="Times New Roman" w:cs="Times New Roman"/>
          <w:bCs/>
          <w:color w:val="auto"/>
          <w:sz w:val="32"/>
          <w:szCs w:val="32"/>
        </w:rPr>
        <w:t>年度预算绩效情况的说明</w:t>
      </w:r>
    </w:p>
    <w:p w14:paraId="63BF8883">
      <w:pPr>
        <w:overflowPunct w:val="0"/>
        <w:spacing w:line="600" w:lineRule="exact"/>
        <w:ind w:left="319" w:leftChars="152" w:firstLine="320" w:firstLineChars="100"/>
        <w:rPr>
          <w:rFonts w:hint="eastAsia" w:ascii="Times New Roman" w:hAnsi="Times New Roman" w:eastAsia="仿宋_GB2312" w:cs="Times New Roman"/>
          <w:b/>
          <w:bCs/>
          <w:kern w:val="0"/>
          <w:sz w:val="32"/>
          <w:szCs w:val="32"/>
          <w:lang w:eastAsia="zh-CN"/>
        </w:rPr>
      </w:pPr>
      <w:r>
        <w:rPr>
          <w:rFonts w:ascii="Times New Roman" w:hAnsi="Times New Roman" w:eastAsia="楷体_GB2312" w:cs="Times New Roman"/>
          <w:b/>
          <w:bCs/>
          <w:sz w:val="32"/>
          <w:szCs w:val="32"/>
        </w:rPr>
        <w:t>（一）绩效评价工作开展情况。</w:t>
      </w:r>
    </w:p>
    <w:p w14:paraId="7ED5482E">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根据预算绩效管理要求，永州市应急管理局组织对2025年度一般公共预算项目支出全面开展绩效自评。</w:t>
      </w:r>
      <w:r>
        <w:rPr>
          <w:rFonts w:hint="eastAsia" w:ascii="Times New Roman" w:hAnsi="Times New Roman" w:eastAsia="仿宋_GB2312" w:cs="Times New Roman"/>
          <w:color w:val="auto"/>
          <w:sz w:val="32"/>
          <w:szCs w:val="32"/>
          <w:lang w:eastAsia="zh-CN"/>
        </w:rPr>
        <w:t>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年度本单位绩效落实到位，整体和专项绩效均持续推进，促进全市安全生产工作协调有序发展。在永州市委、市政府的坚强领导和省应急管理厅的精心指导下，</w:t>
      </w:r>
      <w:r>
        <w:rPr>
          <w:rFonts w:hint="eastAsia" w:ascii="Times New Roman" w:hAnsi="Times New Roman" w:eastAsia="仿宋_GB2312" w:cs="Times New Roman"/>
          <w:color w:val="auto"/>
          <w:sz w:val="32"/>
          <w:szCs w:val="32"/>
          <w:lang w:eastAsia="zh-CN"/>
        </w:rPr>
        <w:t>我局</w:t>
      </w:r>
      <w:r>
        <w:rPr>
          <w:rFonts w:hint="eastAsia" w:ascii="Times New Roman" w:hAnsi="Times New Roman" w:eastAsia="仿宋_GB2312" w:cs="Times New Roman"/>
          <w:color w:val="auto"/>
          <w:sz w:val="32"/>
          <w:szCs w:val="32"/>
        </w:rPr>
        <w:t>深入贯彻习近平总书记关于安全生产</w:t>
      </w:r>
      <w:r>
        <w:rPr>
          <w:rFonts w:ascii="Times New Roman" w:hAnsi="Times New Roman" w:eastAsia="仿宋_GB2312" w:cs="Times New Roman"/>
          <w:color w:val="auto"/>
          <w:sz w:val="32"/>
          <w:szCs w:val="32"/>
        </w:rPr>
        <w:t>、应急管理</w:t>
      </w:r>
      <w:r>
        <w:rPr>
          <w:rFonts w:hint="eastAsia" w:ascii="Times New Roman" w:hAnsi="Times New Roman" w:eastAsia="仿宋_GB2312" w:cs="Times New Roman"/>
          <w:color w:val="auto"/>
          <w:sz w:val="32"/>
          <w:szCs w:val="32"/>
        </w:rPr>
        <w:t>重要论述，锚定“三坚决两确保”工作目标，</w:t>
      </w:r>
      <w:r>
        <w:rPr>
          <w:rFonts w:ascii="Times New Roman" w:hAnsi="Times New Roman" w:eastAsia="仿宋_GB2312" w:cs="Times New Roman"/>
          <w:color w:val="auto"/>
          <w:sz w:val="32"/>
          <w:szCs w:val="32"/>
        </w:rPr>
        <w:t>统筹发展和安全，</w:t>
      </w:r>
      <w:r>
        <w:rPr>
          <w:rFonts w:hint="eastAsia" w:ascii="Times New Roman" w:hAnsi="Times New Roman" w:eastAsia="仿宋_GB2312" w:cs="Times New Roman"/>
          <w:color w:val="auto"/>
          <w:sz w:val="32"/>
          <w:szCs w:val="32"/>
        </w:rPr>
        <w:t>坚持“主动防、超前治、科学救”，落实“四最”工作要求，</w:t>
      </w:r>
      <w:r>
        <w:rPr>
          <w:rFonts w:ascii="仿宋_GB2312" w:hAnsi="Calibri" w:eastAsia="仿宋_GB2312" w:cs="仿宋_GB2312"/>
          <w:sz w:val="32"/>
          <w:szCs w:val="32"/>
          <w:lang w:val="en-US" w:eastAsia="zh-CN" w:bidi="ar-SA"/>
        </w:rPr>
        <w:t>先后提请</w:t>
      </w:r>
      <w:r>
        <w:rPr>
          <w:rFonts w:hint="eastAsia" w:ascii="仿宋_GB2312" w:hAnsi="Calibri" w:eastAsia="仿宋_GB2312" w:cs="Times New Roman"/>
          <w:color w:val="000000"/>
          <w:sz w:val="32"/>
          <w:szCs w:val="32"/>
          <w:lang w:bidi="ar-SA"/>
        </w:rPr>
        <w:t>市委常委会会议</w:t>
      </w:r>
      <w:r>
        <w:rPr>
          <w:rFonts w:hint="eastAsia" w:ascii="仿宋_GB2312" w:hAnsi="Calibri" w:eastAsia="仿宋_GB2312" w:cs="Times New Roman"/>
          <w:color w:val="000000"/>
          <w:sz w:val="32"/>
          <w:szCs w:val="32"/>
          <w:lang w:val="en-US" w:eastAsia="zh-CN" w:bidi="ar-SA"/>
        </w:rPr>
        <w:t>4</w:t>
      </w:r>
      <w:r>
        <w:rPr>
          <w:rFonts w:hint="eastAsia" w:ascii="仿宋_GB2312" w:hAnsi="Calibri" w:eastAsia="仿宋_GB2312" w:cs="Times New Roman"/>
          <w:color w:val="000000"/>
          <w:sz w:val="32"/>
          <w:szCs w:val="32"/>
          <w:lang w:bidi="ar-SA"/>
        </w:rPr>
        <w:t>次、市政府常务会议</w:t>
      </w:r>
      <w:r>
        <w:rPr>
          <w:rFonts w:hint="eastAsia" w:ascii="仿宋_GB2312" w:hAnsi="Calibri" w:eastAsia="仿宋_GB2312" w:cs="Times New Roman"/>
          <w:color w:val="000000"/>
          <w:sz w:val="32"/>
          <w:szCs w:val="32"/>
          <w:lang w:val="en-US" w:eastAsia="zh-CN" w:bidi="ar-SA"/>
        </w:rPr>
        <w:t>5</w:t>
      </w:r>
      <w:r>
        <w:rPr>
          <w:rFonts w:hint="eastAsia" w:ascii="仿宋_GB2312" w:hAnsi="Calibri" w:eastAsia="仿宋_GB2312" w:cs="Times New Roman"/>
          <w:color w:val="000000"/>
          <w:sz w:val="32"/>
          <w:szCs w:val="32"/>
          <w:lang w:bidi="ar-SA"/>
        </w:rPr>
        <w:t>次研究部署安全生产工作</w:t>
      </w:r>
      <w:r>
        <w:rPr>
          <w:rFonts w:hint="eastAsia" w:ascii="仿宋_GB2312" w:hAnsi="Calibri" w:eastAsia="仿宋_GB2312" w:cs="仿宋_GB2312"/>
          <w:color w:val="000000"/>
          <w:sz w:val="32"/>
          <w:szCs w:val="32"/>
          <w:lang w:bidi="ar-SA"/>
        </w:rPr>
        <w:t>。</w:t>
      </w:r>
      <w:r>
        <w:rPr>
          <w:rFonts w:hint="eastAsia" w:ascii="Times New Roman" w:hAnsi="Times New Roman" w:eastAsia="仿宋_GB2312" w:cs="Times New Roman"/>
          <w:color w:val="auto"/>
          <w:sz w:val="32"/>
          <w:szCs w:val="32"/>
          <w:lang w:val="en-US" w:eastAsia="zh-CN"/>
        </w:rPr>
        <w:t>今年以来，应对12轮强降雨过程中无1人伤亡，</w:t>
      </w:r>
      <w:r>
        <w:rPr>
          <w:rFonts w:ascii="Times New Roman" w:hAnsi="Times New Roman" w:eastAsia="仿宋_GB2312" w:cs="Times New Roman"/>
          <w:color w:val="auto"/>
          <w:sz w:val="32"/>
          <w:szCs w:val="32"/>
          <w:lang w:val="en-US" w:eastAsia="zh-CN"/>
        </w:rPr>
        <w:t>取得较好实战成效。</w:t>
      </w:r>
      <w:r>
        <w:rPr>
          <w:rFonts w:hint="eastAsia" w:ascii="Times New Roman" w:hAnsi="Times New Roman" w:eastAsia="仿宋_GB2312" w:cs="Times New Roman"/>
          <w:color w:val="auto"/>
          <w:sz w:val="32"/>
          <w:szCs w:val="32"/>
          <w:lang w:val="en-US" w:eastAsia="zh-CN"/>
        </w:rPr>
        <w:t>全市1334处自然灾害风险、7683处重点防护目标、764处重大事故隐患纳入管控，591个物资仓库、58.8万件储备物资、415支队伍和专家分别纳入风险隐患图、物资保障图、应急力量分布图、响应预案图“四张图”进行综合统筹，实现精准、快速调用。</w:t>
      </w:r>
      <w:r>
        <w:rPr>
          <w:rFonts w:hint="eastAsia" w:ascii="Times New Roman" w:hAnsi="Times New Roman" w:eastAsia="仿宋_GB2312" w:cs="Times New Roman"/>
          <w:color w:val="auto"/>
          <w:sz w:val="32"/>
          <w:szCs w:val="32"/>
        </w:rPr>
        <w:t>通过绩效指标定量和定性分析，我局绩效目标基本完成，自评得分为</w:t>
      </w:r>
      <w:r>
        <w:rPr>
          <w:rFonts w:hint="eastAsia" w:ascii="Times New Roman" w:hAnsi="Times New Roman" w:eastAsia="仿宋_GB2312" w:cs="Times New Roman"/>
          <w:color w:val="auto"/>
          <w:sz w:val="32"/>
          <w:szCs w:val="32"/>
          <w:lang w:val="en-US" w:eastAsia="zh-CN"/>
        </w:rPr>
        <w:t>95</w:t>
      </w:r>
      <w:r>
        <w:rPr>
          <w:rFonts w:hint="eastAsia" w:ascii="Times New Roman" w:hAnsi="Times New Roman" w:eastAsia="仿宋_GB2312" w:cs="Times New Roman"/>
          <w:color w:val="auto"/>
          <w:sz w:val="32"/>
          <w:szCs w:val="32"/>
        </w:rPr>
        <w:t>分，自评等级为优秀。</w:t>
      </w:r>
    </w:p>
    <w:p w14:paraId="4291FCC9">
      <w:pPr>
        <w:numPr>
          <w:ilvl w:val="0"/>
          <w:numId w:val="0"/>
        </w:numPr>
        <w:overflowPunct w:val="0"/>
        <w:spacing w:line="600" w:lineRule="exact"/>
        <w:ind w:left="0" w:leftChars="0" w:firstLine="640" w:firstLineChars="200"/>
        <w:rPr>
          <w:rFonts w:ascii="Times New Roman" w:hAnsi="Times New Roman" w:eastAsia="楷体_GB2312" w:cs="Times New Roman"/>
          <w:b/>
          <w:bCs/>
          <w:sz w:val="32"/>
          <w:szCs w:val="32"/>
        </w:rPr>
      </w:pPr>
      <w:r>
        <w:rPr>
          <w:rFonts w:hint="eastAsia" w:ascii="Times New Roman" w:hAnsi="Times New Roman" w:eastAsia="楷体_GB2312" w:cs="Times New Roman"/>
          <w:b/>
          <w:bCs/>
          <w:kern w:val="2"/>
          <w:sz w:val="32"/>
          <w:szCs w:val="32"/>
          <w:lang w:val="en-US" w:eastAsia="zh-CN" w:bidi="ar-SA"/>
        </w:rPr>
        <w:t>（二）</w:t>
      </w:r>
      <w:r>
        <w:rPr>
          <w:rFonts w:ascii="Times New Roman" w:hAnsi="Times New Roman" w:eastAsia="楷体_GB2312" w:cs="Times New Roman"/>
          <w:b/>
          <w:bCs/>
          <w:sz w:val="32"/>
          <w:szCs w:val="32"/>
        </w:rPr>
        <w:t>绩效评价结果。</w:t>
      </w:r>
    </w:p>
    <w:p w14:paraId="4FAEB26B">
      <w:pPr>
        <w:shd w:val="clear" w:color="auto" w:fill="auto"/>
        <w:autoSpaceDN/>
        <w:spacing w:line="580" w:lineRule="exact"/>
        <w:ind w:firstLine="640" w:firstLineChars="200"/>
        <w:rPr>
          <w:rFonts w:hint="default"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1.产出指标完成情况分析</w:t>
      </w:r>
    </w:p>
    <w:p w14:paraId="564CB248">
      <w:pPr>
        <w:shd w:val="clear" w:color="auto" w:fill="auto"/>
        <w:autoSpaceDN/>
        <w:spacing w:line="58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监管执法培训合格率、特种作业持证上岗率等达到100%，实施过程中各项经费及时到位，相关运转率、使用率、完成率，基本都达到了期初目标。项目专项资金使用过程中，能够严格执行国家法律法规和财务规章制度，控制项目成本，总体绩效目标符合相关指标。</w:t>
      </w:r>
    </w:p>
    <w:p w14:paraId="2D5F53DB">
      <w:pPr>
        <w:shd w:val="clear" w:color="auto" w:fill="auto"/>
        <w:autoSpaceDN/>
        <w:spacing w:line="58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2.效益指标完成情况分析</w:t>
      </w:r>
    </w:p>
    <w:p w14:paraId="62845B33">
      <w:pPr>
        <w:shd w:val="clear" w:color="auto" w:fill="auto"/>
        <w:autoSpaceDN/>
        <w:spacing w:line="58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市本级专项经费的使用，使安全监管执法和信息化水平得到提升；政府、部门、企业责任进一步得到落实；基层应急管理部门基础工作进一步加强。</w:t>
      </w:r>
    </w:p>
    <w:p w14:paraId="6CCDFA34">
      <w:pPr>
        <w:shd w:val="clear" w:color="auto" w:fill="auto"/>
        <w:autoSpaceDN/>
        <w:spacing w:line="580" w:lineRule="exact"/>
        <w:ind w:firstLine="640" w:firstLineChars="200"/>
        <w:rPr>
          <w:rFonts w:hint="default"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3.满意度指标完成情况分析</w:t>
      </w:r>
    </w:p>
    <w:p w14:paraId="6330623F">
      <w:pPr>
        <w:shd w:val="clear" w:color="auto" w:fill="auto"/>
        <w:autoSpaceDN/>
        <w:spacing w:line="58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通过综治维稳以及安全生产满意度调查，全民安全意识大大提高，为全市经济和社会的全面、协调、可持续发展创造良好的安全生产环境，服务对象满意度95%以上。</w:t>
      </w:r>
    </w:p>
    <w:p w14:paraId="188F898B">
      <w:pPr>
        <w:pStyle w:val="16"/>
        <w:numPr>
          <w:ilvl w:val="0"/>
          <w:numId w:val="0"/>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hint="eastAsia" w:ascii="Times New Roman" w:hAnsi="Times New Roman" w:eastAsia="楷体_GB2312" w:cs="Times New Roman"/>
          <w:b/>
          <w:bCs/>
          <w:color w:val="auto"/>
          <w:kern w:val="2"/>
          <w:sz w:val="32"/>
          <w:szCs w:val="32"/>
          <w:lang w:val="en-US" w:eastAsia="zh-CN" w:bidi="ar-SA"/>
        </w:rPr>
        <w:t>（三）</w:t>
      </w:r>
      <w:r>
        <w:rPr>
          <w:rFonts w:ascii="Times New Roman" w:hAnsi="Times New Roman" w:eastAsia="楷体_GB2312" w:cs="Times New Roman"/>
          <w:b/>
          <w:bCs/>
          <w:color w:val="auto"/>
          <w:kern w:val="2"/>
          <w:sz w:val="32"/>
          <w:szCs w:val="32"/>
        </w:rPr>
        <w:t>评价结果应用情况。</w:t>
      </w:r>
    </w:p>
    <w:p w14:paraId="20CE25F5">
      <w:pPr>
        <w:overflowPunct w:val="0"/>
        <w:spacing w:line="600" w:lineRule="exact"/>
        <w:ind w:firstLine="640" w:firstLineChars="200"/>
        <w:rPr>
          <w:rFonts w:hint="eastAsia" w:ascii="仿宋_GB2312" w:hAnsi="仿宋" w:eastAsia="仿宋_GB2312" w:cs="Times New Roman"/>
          <w:color w:val="auto"/>
          <w:kern w:val="2"/>
          <w:sz w:val="32"/>
          <w:szCs w:val="32"/>
          <w:lang w:val="en-US" w:eastAsia="zh-CN" w:bidi="ar-SA"/>
        </w:rPr>
      </w:pPr>
      <w:r>
        <w:rPr>
          <w:rFonts w:hint="eastAsia" w:ascii="仿宋_GB2312" w:hAnsi="仿宋" w:eastAsia="仿宋_GB2312" w:cs="Times New Roman"/>
          <w:color w:val="auto"/>
          <w:kern w:val="2"/>
          <w:sz w:val="32"/>
          <w:szCs w:val="32"/>
          <w:lang w:val="en-US" w:eastAsia="zh-CN" w:bidi="ar-SA"/>
        </w:rPr>
        <w:t>1.要加强预算管理，严格执行《预算法》。</w:t>
      </w:r>
    </w:p>
    <w:p w14:paraId="348AEFDB">
      <w:pPr>
        <w:overflowPunct w:val="0"/>
        <w:spacing w:line="600" w:lineRule="exact"/>
        <w:ind w:firstLine="640" w:firstLineChars="200"/>
        <w:rPr>
          <w:rFonts w:hint="eastAsia" w:ascii="仿宋_GB2312" w:hAnsi="仿宋" w:eastAsia="仿宋_GB2312" w:cs="Times New Roman"/>
          <w:color w:val="auto"/>
          <w:kern w:val="2"/>
          <w:sz w:val="32"/>
          <w:szCs w:val="32"/>
          <w:lang w:val="zh-CN" w:eastAsia="zh-CN" w:bidi="ar-SA"/>
        </w:rPr>
      </w:pPr>
      <w:r>
        <w:rPr>
          <w:rFonts w:hint="eastAsia" w:ascii="仿宋_GB2312" w:hAnsi="仿宋" w:eastAsia="仿宋_GB2312" w:cs="Times New Roman"/>
          <w:color w:val="auto"/>
          <w:kern w:val="2"/>
          <w:sz w:val="32"/>
          <w:szCs w:val="32"/>
          <w:lang w:val="zh-CN" w:eastAsia="zh-CN" w:bidi="ar-SA"/>
        </w:rPr>
        <w:t>在预算金额内严格控制费用的支出，控制超支现象的发生。在费用报账支付时，要严格审核，控制费用跨年度报账，确保费用核算的及时性和完整性；按照费用的实际使用用途进行资金支付和财务列报，严格按照行政事业单位会计制度进行财务核算。</w:t>
      </w:r>
    </w:p>
    <w:p w14:paraId="0677EA93">
      <w:pPr>
        <w:overflowPunct w:val="0"/>
        <w:spacing w:line="600" w:lineRule="exact"/>
        <w:ind w:firstLine="640" w:firstLineChars="200"/>
        <w:rPr>
          <w:rFonts w:hint="eastAsia" w:ascii="仿宋_GB2312" w:hAnsi="仿宋" w:eastAsia="仿宋_GB2312" w:cs="Times New Roman"/>
          <w:color w:val="auto"/>
          <w:kern w:val="2"/>
          <w:sz w:val="32"/>
          <w:szCs w:val="32"/>
          <w:lang w:val="en-US" w:eastAsia="zh-CN" w:bidi="ar-SA"/>
        </w:rPr>
      </w:pPr>
      <w:r>
        <w:rPr>
          <w:rFonts w:hint="eastAsia" w:ascii="仿宋_GB2312" w:hAnsi="仿宋" w:eastAsia="仿宋_GB2312" w:cs="Times New Roman"/>
          <w:color w:val="auto"/>
          <w:kern w:val="2"/>
          <w:sz w:val="32"/>
          <w:szCs w:val="32"/>
          <w:lang w:val="en-US" w:eastAsia="zh-CN" w:bidi="ar-SA"/>
        </w:rPr>
        <w:t>2.规范财务处理,提高财务信息质量</w:t>
      </w:r>
    </w:p>
    <w:p w14:paraId="0A4AA448">
      <w:pPr>
        <w:overflowPunct w:val="0"/>
        <w:spacing w:line="600" w:lineRule="exact"/>
        <w:ind w:firstLine="640" w:firstLineChars="200"/>
        <w:rPr>
          <w:rFonts w:hint="eastAsia" w:ascii="仿宋_GB2312" w:hAnsi="仿宋" w:eastAsia="仿宋_GB2312" w:cs="Times New Roman"/>
          <w:color w:val="auto"/>
          <w:kern w:val="2"/>
          <w:sz w:val="32"/>
          <w:szCs w:val="32"/>
          <w:lang w:val="zh-CN" w:eastAsia="zh-CN" w:bidi="ar-SA"/>
        </w:rPr>
      </w:pPr>
      <w:r>
        <w:rPr>
          <w:rFonts w:hint="eastAsia" w:ascii="仿宋_GB2312" w:hAnsi="仿宋" w:eastAsia="仿宋_GB2312" w:cs="Times New Roman"/>
          <w:color w:val="auto"/>
          <w:kern w:val="2"/>
          <w:sz w:val="32"/>
          <w:szCs w:val="32"/>
          <w:lang w:val="zh-CN" w:eastAsia="zh-CN" w:bidi="ar-SA"/>
        </w:rPr>
        <w:t>严格按照《会计法》、《行政单位会计制度》、《行政单位财务规则》等规定执行财务核算，并结合实际情况、完整、准确地披露相关信息，做到决算与预算衔接。</w:t>
      </w:r>
    </w:p>
    <w:p w14:paraId="567C3298">
      <w:pPr>
        <w:pageBreakBefore w:val="0"/>
        <w:kinsoku/>
        <w:wordWrap/>
        <w:overflowPunct/>
        <w:topLinePunct w:val="0"/>
        <w:bidi w:val="0"/>
        <w:adjustRightInd/>
        <w:snapToGrid/>
        <w:spacing w:line="540" w:lineRule="exact"/>
        <w:ind w:firstLine="600"/>
        <w:textAlignment w:val="auto"/>
        <w:rPr>
          <w:rFonts w:hint="eastAsia" w:ascii="仿宋_GB2312" w:hAnsi="仿宋" w:eastAsia="仿宋_GB2312" w:cs="Times New Roman"/>
          <w:color w:val="auto"/>
          <w:kern w:val="2"/>
          <w:sz w:val="32"/>
          <w:szCs w:val="32"/>
          <w:lang w:val="zh-CN" w:eastAsia="zh-CN" w:bidi="ar-SA"/>
        </w:rPr>
      </w:pPr>
      <w:r>
        <w:rPr>
          <w:rFonts w:hint="eastAsia" w:ascii="仿宋_GB2312" w:hAnsi="仿宋" w:eastAsia="仿宋_GB2312" w:cs="Times New Roman"/>
          <w:kern w:val="2"/>
          <w:sz w:val="32"/>
          <w:szCs w:val="32"/>
          <w:lang w:val="en-US" w:eastAsia="zh-CN"/>
        </w:rPr>
        <w:t>我局将严格按照市财政局以及其他主管部门的要求，对项目绩效自评结果进行公开。各相关单位对照自评情况安排好下一步工作，确保后续工作稳妥顺利推进。</w:t>
      </w:r>
    </w:p>
    <w:p w14:paraId="469A12AE">
      <w:pPr>
        <w:pStyle w:val="16"/>
        <w:jc w:val="center"/>
        <w:rPr>
          <w:rFonts w:ascii="Times New Roman" w:hAnsi="Times New Roman" w:cs="Times New Roman"/>
          <w:sz w:val="72"/>
          <w:szCs w:val="72"/>
        </w:rPr>
      </w:pPr>
      <w:r>
        <w:rPr>
          <w:rFonts w:ascii="Times New Roman" w:hAnsi="Times New Roman" w:cs="Times New Roman"/>
          <w:sz w:val="72"/>
          <w:szCs w:val="72"/>
        </w:rPr>
        <w:br w:type="column"/>
      </w:r>
    </w:p>
    <w:p w14:paraId="2AFB4073">
      <w:pPr>
        <w:pStyle w:val="16"/>
        <w:jc w:val="both"/>
        <w:rPr>
          <w:rFonts w:ascii="Times New Roman" w:hAnsi="Times New Roman" w:cs="Times New Roman"/>
          <w:sz w:val="72"/>
          <w:szCs w:val="72"/>
        </w:rPr>
      </w:pPr>
    </w:p>
    <w:p w14:paraId="66C57ABA">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3B76F65">
      <w:pPr>
        <w:widowControl/>
        <w:jc w:val="left"/>
        <w:rPr>
          <w:rFonts w:ascii="Times New Roman" w:hAnsi="Times New Roman" w:cs="Times New Roman"/>
          <w:color w:val="000000"/>
          <w:kern w:val="0"/>
          <w:sz w:val="32"/>
          <w:szCs w:val="32"/>
        </w:rPr>
      </w:pPr>
    </w:p>
    <w:p w14:paraId="22BAB959">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一、财政拨款收入：指财政当年拨付的资金，主要包括一般公共预算财政拨款，政府性基金预算财政拨款，国有资本经营预算财政拨款。</w:t>
      </w:r>
    </w:p>
    <w:p w14:paraId="03C869D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二、上级补助收入：指事业单位从主管部门和上级单位取得的非财政补助收入。</w:t>
      </w:r>
    </w:p>
    <w:p w14:paraId="57AE3F5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三、事业收入：指事业单位开展专业业务活动及辅助活动所取得的收入。</w:t>
      </w:r>
    </w:p>
    <w:p w14:paraId="357B081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四、经营收入：指事业单位在专业业务活动及其辅助活动之外开展非独立核算经营活动取得的收入。</w:t>
      </w:r>
    </w:p>
    <w:p w14:paraId="6191D37A">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五、附属单位上缴收入：指事业单位附属独立核算单位按照有关规定上缴的收入。</w:t>
      </w:r>
    </w:p>
    <w:p w14:paraId="2EC92A8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六、其他收入：指除上述“财政拨款收入”“事业收入”“经营收入”等以外的收入。</w:t>
      </w:r>
    </w:p>
    <w:p w14:paraId="30530B58">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七、基本支出：指为保障机构正常运转、完成日常工作任务而发生的各项支出，包括人员支出和公用支出。  </w:t>
      </w:r>
    </w:p>
    <w:p w14:paraId="257A8E2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八、项目支出：指在基本支出以外为完成相关行政任务和事业发展目标所发生的各项支出。  </w:t>
      </w:r>
    </w:p>
    <w:p w14:paraId="3FBACEF8">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九、“三公”经费：指通过财政拨款资金安排的因公出国（境）费、公务用车购置及运行费和公务接待费支出。  </w:t>
      </w:r>
    </w:p>
    <w:p w14:paraId="133E35E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3C5ADEA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十一、一般公共服务（类）财政事务（款）行政运行（项）：指用于保障机构正常运行、开展日常工作的基本支出。</w:t>
      </w:r>
    </w:p>
    <w:p w14:paraId="4C15EF1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十二、一般公共服务（类）财政事务（款）一般行政管理事务（项）：指开展财政综合业务专门性财政管理工作的项目支出。</w:t>
      </w:r>
    </w:p>
    <w:p w14:paraId="69EBEA6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十三、一般公共服务（类）财政事务（款）其他财政事务支出（项）：指除上述项目外，开展其他财政事务方面专门性工作任务的项目支出，如非税票据印制费的相关支出。</w:t>
      </w:r>
    </w:p>
    <w:p w14:paraId="33CDDFD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十四、社会保障和就业（类）行政事业单位养老支出（款）机关事业单位基本养老保险缴费支出（项）：指部门实施养老保险制度由单位缴纳的养老保险的支出。</w:t>
      </w:r>
    </w:p>
    <w:p w14:paraId="779BE70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十五、卫生健康（类）行政事业单位医疗（款）行政单位医疗（项）：指用于单位应缴纳基本医疗保险支出。</w:t>
      </w:r>
    </w:p>
    <w:p w14:paraId="414205C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十六、卫生健康（类）行政事业单位医疗（款）公务员医疗补助（项）：指用于医疗补助支出。</w:t>
      </w:r>
    </w:p>
    <w:p w14:paraId="13B17F1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_GB2312" w:hAnsi="仿宋_GB2312" w:eastAsia="仿宋_GB2312" w:cs="仿宋_GB2312"/>
          <w:sz w:val="32"/>
          <w:szCs w:val="32"/>
          <w:lang w:val="en-US" w:eastAsia="zh-CN"/>
        </w:rPr>
        <w:t>十七、</w:t>
      </w:r>
      <w:r>
        <w:rPr>
          <w:rFonts w:hint="eastAsia" w:ascii="仿宋" w:hAnsi="仿宋" w:eastAsia="仿宋" w:cs="仿宋"/>
          <w:sz w:val="32"/>
          <w:szCs w:val="32"/>
          <w:u w:val="none"/>
          <w:lang w:val="en-US" w:eastAsia="zh-CN"/>
        </w:rPr>
        <w:t>社会保障和就业支出（类）抚恤（款）死亡抚恤（项）</w:t>
      </w:r>
      <w:r>
        <w:rPr>
          <w:rFonts w:hint="eastAsia" w:ascii="仿宋_GB2312" w:hAnsi="仿宋_GB2312" w:eastAsia="仿宋_GB2312" w:cs="仿宋_GB2312"/>
          <w:sz w:val="32"/>
          <w:szCs w:val="32"/>
          <w:lang w:val="en-US" w:eastAsia="zh-CN"/>
        </w:rPr>
        <w:t>：指用于死亡抚恤支出。</w:t>
      </w:r>
    </w:p>
    <w:p w14:paraId="16ACBD4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十八、资源勘探工业信息等支出（类）其他资源勘探工业信息等支出（款）其他资源勘探工业信息等支出（项）：指清理欠款资金支出。</w:t>
      </w:r>
    </w:p>
    <w:p w14:paraId="0C11ECE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十九、</w:t>
      </w:r>
      <w:r>
        <w:rPr>
          <w:rFonts w:hint="eastAsia" w:ascii="Times New Roman" w:hAnsi="Times New Roman" w:eastAsia="仿宋_GB2312"/>
          <w:sz w:val="32"/>
          <w:szCs w:val="32"/>
          <w:lang w:val="en-US" w:eastAsia="zh-CN"/>
        </w:rPr>
        <w:t>一般公共服务支出（类）税收事务（款）其他税收事务支出（项）</w:t>
      </w:r>
      <w:r>
        <w:rPr>
          <w:rFonts w:hint="eastAsia" w:ascii="仿宋_GB2312" w:hAnsi="仿宋_GB2312" w:eastAsia="仿宋_GB2312" w:cs="仿宋_GB2312"/>
          <w:sz w:val="32"/>
          <w:szCs w:val="32"/>
          <w:lang w:val="en-US" w:eastAsia="zh-CN"/>
        </w:rPr>
        <w:t>：指税收征管经费安排的支出。</w:t>
      </w:r>
    </w:p>
    <w:p w14:paraId="41CF70D8">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二十、一般公共服务支出（类）其他一般公共服务支出（款）其他一般公共服务支出（项）：指公共大数据方面的支出。</w:t>
      </w:r>
    </w:p>
    <w:p w14:paraId="46F92F2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二十一、住房保障支出（类）保障性安居工程支出（款）老旧小区改造（项）：指老旧小区改造资金支出。</w:t>
      </w:r>
    </w:p>
    <w:p w14:paraId="0F1436A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二十二、住房保障（类）住房改革支出（款）住房公积金（项）：指按照《住房公积金管理条例》的规定，由单位及其在职职工缴存的长期住房储金。</w:t>
      </w:r>
    </w:p>
    <w:p w14:paraId="76AEBF7B">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cs="Times New Roman"/>
          <w:sz w:val="72"/>
          <w:szCs w:val="72"/>
        </w:rPr>
      </w:pPr>
      <w:r>
        <w:rPr>
          <w:rFonts w:hint="eastAsia" w:ascii="仿宋_GB2312" w:hAnsi="仿宋_GB2312" w:eastAsia="仿宋_GB2312" w:cs="仿宋_GB2312"/>
          <w:sz w:val="32"/>
          <w:szCs w:val="32"/>
          <w:lang w:val="en-US" w:eastAsia="zh-CN"/>
        </w:rPr>
        <w:t>二十三、社会保障和就业支出（类）行政事业单位养老支出（款）其他行政事业单位养老支出（项）：指用于离退休人员的支出。</w:t>
      </w:r>
    </w:p>
    <w:p w14:paraId="5D1B03D7">
      <w:pPr>
        <w:pStyle w:val="16"/>
        <w:jc w:val="center"/>
        <w:rPr>
          <w:rFonts w:hint="eastAsia" w:ascii="Times New Roman" w:hAnsi="Times New Roman" w:eastAsia="黑体" w:cs="Times New Roman"/>
          <w:sz w:val="72"/>
          <w:szCs w:val="72"/>
          <w:lang w:eastAsia="zh-CN"/>
        </w:rPr>
      </w:pPr>
    </w:p>
    <w:p w14:paraId="13548F0D">
      <w:pPr>
        <w:pStyle w:val="16"/>
        <w:jc w:val="center"/>
        <w:rPr>
          <w:rFonts w:ascii="Times New Roman" w:hAnsi="Times New Roman" w:cs="Times New Roman"/>
          <w:sz w:val="72"/>
          <w:szCs w:val="72"/>
        </w:rPr>
      </w:pPr>
    </w:p>
    <w:p w14:paraId="3B707CE7">
      <w:pPr>
        <w:pStyle w:val="16"/>
        <w:jc w:val="center"/>
        <w:rPr>
          <w:rFonts w:ascii="Times New Roman" w:hAnsi="Times New Roman" w:cs="Times New Roman"/>
          <w:sz w:val="72"/>
          <w:szCs w:val="72"/>
        </w:rPr>
      </w:pPr>
    </w:p>
    <w:p w14:paraId="7084428A">
      <w:pPr>
        <w:pStyle w:val="16"/>
        <w:jc w:val="center"/>
        <w:rPr>
          <w:rFonts w:ascii="Times New Roman" w:hAnsi="Times New Roman" w:cs="Times New Roman"/>
          <w:sz w:val="72"/>
          <w:szCs w:val="72"/>
        </w:rPr>
      </w:pPr>
    </w:p>
    <w:p w14:paraId="4C0079E4">
      <w:pPr>
        <w:pStyle w:val="16"/>
        <w:jc w:val="center"/>
        <w:rPr>
          <w:rFonts w:ascii="Times New Roman" w:hAnsi="Times New Roman" w:cs="Times New Roman"/>
          <w:sz w:val="72"/>
          <w:szCs w:val="72"/>
        </w:rPr>
      </w:pPr>
    </w:p>
    <w:p w14:paraId="72C29D40">
      <w:pPr>
        <w:pStyle w:val="16"/>
        <w:jc w:val="center"/>
        <w:rPr>
          <w:rFonts w:ascii="Times New Roman" w:hAnsi="Times New Roman" w:cs="Times New Roman"/>
          <w:sz w:val="72"/>
          <w:szCs w:val="72"/>
        </w:rPr>
      </w:pPr>
    </w:p>
    <w:p w14:paraId="2B1A5604">
      <w:pPr>
        <w:pStyle w:val="16"/>
        <w:jc w:val="center"/>
        <w:rPr>
          <w:rFonts w:ascii="Times New Roman" w:hAnsi="Times New Roman" w:cs="Times New Roman"/>
          <w:sz w:val="72"/>
          <w:szCs w:val="72"/>
        </w:rPr>
      </w:pPr>
    </w:p>
    <w:p w14:paraId="58667E88">
      <w:pPr>
        <w:pStyle w:val="16"/>
        <w:jc w:val="both"/>
        <w:rPr>
          <w:rFonts w:ascii="Times New Roman" w:hAnsi="Times New Roman" w:cs="Times New Roman"/>
          <w:sz w:val="72"/>
          <w:szCs w:val="72"/>
        </w:rPr>
      </w:pPr>
    </w:p>
    <w:p w14:paraId="47E66B00">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2127BA4">
      <w:pPr>
        <w:rPr>
          <w:rFonts w:ascii="Times New Roman" w:hAnsi="Times New Roman" w:cs="Times New Roman"/>
          <w:sz w:val="72"/>
          <w:szCs w:val="72"/>
        </w:rPr>
      </w:pPr>
    </w:p>
    <w:p w14:paraId="6BF79CD1">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年度部门(单位)整体支出绩效自评报告。</w:t>
      </w:r>
    </w:p>
    <w:p w14:paraId="586BDFCA">
      <w:pPr>
        <w:rPr>
          <w:rFonts w:eastAsia="黑体"/>
          <w:sz w:val="32"/>
          <w:szCs w:val="32"/>
        </w:rPr>
      </w:pPr>
      <w:r>
        <w:rPr>
          <w:rFonts w:hint="eastAsia" w:ascii="黑体" w:hAnsi="黑体" w:eastAsia="黑体" w:cs="黑体"/>
          <w:sz w:val="32"/>
          <w:szCs w:val="32"/>
        </w:rPr>
        <w:br w:type="page"/>
      </w:r>
    </w:p>
    <w:p w14:paraId="57D70C21">
      <w:pPr>
        <w:jc w:val="center"/>
        <w:rPr>
          <w:rFonts w:hint="eastAsia" w:ascii="方正小标宋简体" w:eastAsia="方正小标宋简体"/>
          <w:sz w:val="48"/>
          <w:szCs w:val="48"/>
        </w:rPr>
      </w:pPr>
      <w:r>
        <w:rPr>
          <w:rFonts w:hint="eastAsia" w:ascii="方正小标宋简体" w:eastAsia="方正小标宋简体"/>
          <w:sz w:val="48"/>
          <w:szCs w:val="48"/>
        </w:rPr>
        <w:t>2025年度</w:t>
      </w:r>
      <w:r>
        <w:rPr>
          <w:rFonts w:hint="eastAsia" w:ascii="方正小标宋简体" w:eastAsia="方正小标宋简体"/>
          <w:sz w:val="48"/>
          <w:szCs w:val="48"/>
          <w:lang w:val="en-US" w:eastAsia="zh-CN"/>
        </w:rPr>
        <w:t>永州市应急管理局</w:t>
      </w:r>
      <w:r>
        <w:rPr>
          <w:rFonts w:hint="eastAsia" w:ascii="方正小标宋简体" w:eastAsia="方正小标宋简体"/>
          <w:sz w:val="48"/>
          <w:szCs w:val="48"/>
        </w:rPr>
        <w:t>整体支出</w:t>
      </w:r>
    </w:p>
    <w:p w14:paraId="14E4E4E0">
      <w:pPr>
        <w:jc w:val="center"/>
        <w:rPr>
          <w:rFonts w:hint="eastAsia" w:ascii="方正小标宋简体" w:eastAsia="方正小标宋简体"/>
          <w:sz w:val="52"/>
          <w:szCs w:val="52"/>
        </w:rPr>
      </w:pPr>
      <w:r>
        <w:rPr>
          <w:rFonts w:hint="eastAsia" w:ascii="方正小标宋简体" w:eastAsia="方正小标宋简体"/>
          <w:sz w:val="48"/>
          <w:szCs w:val="48"/>
        </w:rPr>
        <w:t>绩效自评报告</w:t>
      </w:r>
    </w:p>
    <w:p w14:paraId="4A39B7F6">
      <w:pPr>
        <w:jc w:val="center"/>
        <w:rPr>
          <w:rFonts w:eastAsia="方正小标宋_GBK"/>
          <w:b/>
          <w:sz w:val="52"/>
          <w:szCs w:val="52"/>
        </w:rPr>
      </w:pPr>
    </w:p>
    <w:p w14:paraId="5AE24742">
      <w:pPr>
        <w:jc w:val="center"/>
        <w:rPr>
          <w:rFonts w:eastAsia="楷体_GB2312"/>
          <w:b/>
          <w:sz w:val="32"/>
          <w:szCs w:val="32"/>
        </w:rPr>
      </w:pPr>
    </w:p>
    <w:p w14:paraId="1D40FE61">
      <w:pPr>
        <w:rPr>
          <w:rFonts w:eastAsia="楷体_GB2312"/>
          <w:b/>
          <w:sz w:val="32"/>
          <w:szCs w:val="32"/>
        </w:rPr>
      </w:pPr>
    </w:p>
    <w:p w14:paraId="08F9AA32">
      <w:pPr>
        <w:jc w:val="center"/>
        <w:rPr>
          <w:rFonts w:eastAsia="黑体"/>
          <w:sz w:val="32"/>
          <w:szCs w:val="32"/>
        </w:rPr>
      </w:pPr>
    </w:p>
    <w:p w14:paraId="7C7A4CD4">
      <w:pPr>
        <w:jc w:val="center"/>
        <w:rPr>
          <w:rFonts w:eastAsia="黑体"/>
          <w:sz w:val="32"/>
          <w:szCs w:val="32"/>
        </w:rPr>
      </w:pPr>
    </w:p>
    <w:p w14:paraId="79BDE1D4">
      <w:pPr>
        <w:jc w:val="center"/>
        <w:rPr>
          <w:rFonts w:eastAsia="黑体"/>
          <w:sz w:val="32"/>
          <w:szCs w:val="32"/>
        </w:rPr>
      </w:pPr>
    </w:p>
    <w:p w14:paraId="1C2709E1">
      <w:pPr>
        <w:jc w:val="center"/>
        <w:rPr>
          <w:rFonts w:eastAsia="黑体"/>
          <w:sz w:val="32"/>
          <w:szCs w:val="32"/>
        </w:rPr>
      </w:pPr>
    </w:p>
    <w:p w14:paraId="4A3F539C">
      <w:pPr>
        <w:rPr>
          <w:rFonts w:eastAsia="黑体"/>
          <w:sz w:val="32"/>
          <w:szCs w:val="32"/>
        </w:rPr>
      </w:pPr>
    </w:p>
    <w:p w14:paraId="47DBC025">
      <w:pPr>
        <w:jc w:val="center"/>
        <w:rPr>
          <w:rFonts w:eastAsia="黑体"/>
          <w:sz w:val="32"/>
          <w:szCs w:val="32"/>
        </w:rPr>
      </w:pPr>
    </w:p>
    <w:p w14:paraId="7100AE73">
      <w:pPr>
        <w:jc w:val="center"/>
        <w:rPr>
          <w:rFonts w:eastAsia="黑体"/>
          <w:sz w:val="32"/>
          <w:szCs w:val="32"/>
        </w:rPr>
      </w:pPr>
    </w:p>
    <w:p w14:paraId="02CEF0BB">
      <w:pPr>
        <w:jc w:val="center"/>
        <w:rPr>
          <w:rFonts w:eastAsia="黑体"/>
          <w:sz w:val="32"/>
          <w:szCs w:val="32"/>
        </w:rPr>
      </w:pPr>
    </w:p>
    <w:p w14:paraId="61D33434">
      <w:pPr>
        <w:jc w:val="center"/>
        <w:rPr>
          <w:rFonts w:eastAsia="黑体"/>
          <w:sz w:val="32"/>
          <w:szCs w:val="32"/>
        </w:rPr>
      </w:pPr>
    </w:p>
    <w:p w14:paraId="322D44BB">
      <w:pPr>
        <w:jc w:val="center"/>
        <w:rPr>
          <w:rFonts w:eastAsia="黑体"/>
          <w:sz w:val="32"/>
          <w:szCs w:val="32"/>
        </w:rPr>
      </w:pPr>
    </w:p>
    <w:p w14:paraId="2A169B4F">
      <w:pPr>
        <w:jc w:val="both"/>
        <w:rPr>
          <w:rFonts w:eastAsia="黑体"/>
          <w:sz w:val="32"/>
          <w:szCs w:val="32"/>
        </w:rPr>
      </w:pPr>
    </w:p>
    <w:p w14:paraId="7D67E9A5">
      <w:pPr>
        <w:jc w:val="center"/>
        <w:rPr>
          <w:rFonts w:eastAsia="黑体"/>
          <w:sz w:val="32"/>
          <w:szCs w:val="32"/>
        </w:rPr>
      </w:pPr>
    </w:p>
    <w:p w14:paraId="26607495">
      <w:pPr>
        <w:spacing w:line="600" w:lineRule="exact"/>
        <w:ind w:firstLine="1920" w:firstLineChars="600"/>
        <w:rPr>
          <w:rFonts w:eastAsia="仿宋_GB2312"/>
          <w:sz w:val="32"/>
          <w:szCs w:val="32"/>
          <w:u w:val="single"/>
        </w:rPr>
      </w:pPr>
      <w:r>
        <w:rPr>
          <w:rFonts w:eastAsia="仿宋_GB2312"/>
          <w:sz w:val="32"/>
          <w:szCs w:val="32"/>
        </w:rPr>
        <w:t>单位名称：</w:t>
      </w:r>
      <w:r>
        <w:rPr>
          <w:rFonts w:hint="eastAsia" w:eastAsia="仿宋_GB2312"/>
          <w:sz w:val="32"/>
          <w:szCs w:val="32"/>
          <w:u w:val="single"/>
          <w:lang w:val="en-US" w:eastAsia="zh-CN"/>
        </w:rPr>
        <w:t>永州市应急管理局</w:t>
      </w:r>
      <w:r>
        <w:rPr>
          <w:rFonts w:eastAsia="仿宋_GB2312"/>
          <w:sz w:val="32"/>
          <w:szCs w:val="32"/>
          <w:u w:val="single"/>
        </w:rPr>
        <w:t xml:space="preserve"> </w:t>
      </w:r>
    </w:p>
    <w:p w14:paraId="4B0E767B">
      <w:pPr>
        <w:spacing w:line="600" w:lineRule="exact"/>
        <w:ind w:firstLine="3200" w:firstLineChars="1000"/>
        <w:rPr>
          <w:rFonts w:eastAsia="楷体_GB2312"/>
          <w:sz w:val="32"/>
          <w:szCs w:val="32"/>
        </w:rPr>
      </w:pPr>
      <w:r>
        <w:rPr>
          <w:rFonts w:hint="eastAsia" w:eastAsia="楷体_GB2312"/>
          <w:sz w:val="32"/>
          <w:szCs w:val="32"/>
          <w:lang w:val="en-US" w:eastAsia="zh-CN"/>
        </w:rPr>
        <w:t>2026</w:t>
      </w:r>
      <w:r>
        <w:rPr>
          <w:rFonts w:eastAsia="楷体_GB2312"/>
          <w:sz w:val="32"/>
          <w:szCs w:val="32"/>
        </w:rPr>
        <w:t>年</w:t>
      </w:r>
      <w:r>
        <w:rPr>
          <w:rFonts w:hint="eastAsia" w:eastAsia="楷体_GB2312"/>
          <w:sz w:val="32"/>
          <w:szCs w:val="32"/>
          <w:lang w:val="en-US" w:eastAsia="zh-CN"/>
        </w:rPr>
        <w:t>3</w:t>
      </w:r>
      <w:r>
        <w:rPr>
          <w:rFonts w:eastAsia="楷体_GB2312"/>
          <w:sz w:val="32"/>
          <w:szCs w:val="32"/>
        </w:rPr>
        <w:t>月</w:t>
      </w:r>
      <w:r>
        <w:rPr>
          <w:rFonts w:hint="eastAsia" w:eastAsia="楷体_GB2312"/>
          <w:sz w:val="32"/>
          <w:szCs w:val="32"/>
          <w:lang w:val="en-US" w:eastAsia="zh-CN"/>
        </w:rPr>
        <w:t>12</w:t>
      </w:r>
      <w:r>
        <w:rPr>
          <w:rFonts w:eastAsia="楷体_GB2312"/>
          <w:sz w:val="32"/>
          <w:szCs w:val="32"/>
        </w:rPr>
        <w:t>日</w:t>
      </w:r>
    </w:p>
    <w:p w14:paraId="42F03900">
      <w:pPr>
        <w:rPr>
          <w:rFonts w:hint="eastAsia" w:ascii="黑体" w:hAnsi="黑体" w:eastAsia="黑体" w:cs="黑体"/>
          <w:sz w:val="32"/>
          <w:szCs w:val="32"/>
        </w:rPr>
      </w:pPr>
    </w:p>
    <w:p w14:paraId="412CCDCE">
      <w:pPr>
        <w:rPr>
          <w:rFonts w:hint="eastAsia" w:ascii="黑体" w:hAnsi="黑体" w:eastAsia="黑体" w:cs="黑体"/>
          <w:sz w:val="32"/>
          <w:szCs w:val="32"/>
        </w:rPr>
      </w:pPr>
      <w:r>
        <w:rPr>
          <w:rFonts w:hint="eastAsia" w:ascii="黑体" w:hAnsi="黑体" w:eastAsia="黑体" w:cs="黑体"/>
          <w:sz w:val="32"/>
          <w:szCs w:val="32"/>
        </w:rPr>
        <w:br w:type="page"/>
      </w:r>
    </w:p>
    <w:p w14:paraId="36B89EEA">
      <w:pPr>
        <w:spacing w:line="570" w:lineRule="exact"/>
        <w:ind w:firstLine="640" w:firstLineChars="200"/>
        <w:rPr>
          <w:rFonts w:eastAsia="黑体"/>
          <w:sz w:val="32"/>
          <w:szCs w:val="32"/>
        </w:rPr>
      </w:pPr>
      <w:r>
        <w:rPr>
          <w:rFonts w:hint="eastAsia" w:ascii="黑体" w:hAnsi="黑体" w:eastAsia="黑体" w:cs="黑体"/>
          <w:sz w:val="32"/>
          <w:szCs w:val="32"/>
        </w:rPr>
        <w:t>一、</w:t>
      </w:r>
      <w:r>
        <w:rPr>
          <w:rFonts w:eastAsia="黑体"/>
          <w:sz w:val="32"/>
          <w:szCs w:val="32"/>
        </w:rPr>
        <w:t>部门（单位）基本情况</w:t>
      </w:r>
    </w:p>
    <w:p w14:paraId="600BADA0">
      <w:pPr>
        <w:widowControl w:val="0"/>
        <w:shd w:val="clear" w:color="auto" w:fill="FFFFFF"/>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（一）</w:t>
      </w:r>
      <w:r>
        <w:rPr>
          <w:rFonts w:hint="eastAsia" w:ascii="仿宋_GB2312" w:eastAsia="仿宋_GB2312"/>
          <w:sz w:val="32"/>
          <w:szCs w:val="32"/>
          <w:lang w:val="en-US" w:eastAsia="zh-CN"/>
        </w:rPr>
        <w:t>单位</w:t>
      </w:r>
      <w:r>
        <w:rPr>
          <w:rFonts w:hint="eastAsia" w:ascii="仿宋_GB2312" w:eastAsia="仿宋_GB2312"/>
          <w:sz w:val="32"/>
          <w:szCs w:val="32"/>
        </w:rPr>
        <w:t>职能职责、机构编制、人员构成等。</w:t>
      </w:r>
    </w:p>
    <w:p w14:paraId="776E45C0">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1．主要职能。</w:t>
      </w:r>
    </w:p>
    <w:p w14:paraId="6A84FE4E">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根据《永州市机构改革方案》，在原永州市安全生产监督管理局的基础上新组建永州市应急管理局，2019年1月13日挂牌成立，5月10日，《永州市应急管理局职能配置、内设机构和人员编制规定》（永办〔2019〕45号）三定方案正式印发。我局主要工作职责:</w:t>
      </w:r>
    </w:p>
    <w:p w14:paraId="27926F18">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(一)负责应急管理工作，指导全市各级各部门应对安全生产类、自然灾害类等突发事件和综合防灾减灾救灾工作。负责安全生产综合监督管理和工矿商贸行业(含煤矿)安全生产督管理工作。</w:t>
      </w:r>
    </w:p>
    <w:p w14:paraId="2F59AC59">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(二)贯彻实施相关法律法规、部门规章、规程和标准，组织编制全市应急体系建设、安全生产和综合防灾减灾规划，拟订相关规范性文件草案，监督实施相关政策、规程和标准。</w:t>
      </w:r>
    </w:p>
    <w:p w14:paraId="5B69D639">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三)组织指导应急预案体系建设，建立完善事故灾难和自然灾害分级应对例度，组织编制永州市总体应急预案和安全生产类、自然灾害类专项预案，综合协调应急预案衔接工作，组织开展预案演练，推动应急避难设施建设。</w:t>
      </w:r>
    </w:p>
    <w:p w14:paraId="676F7BE4">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(四)牵头推进全市统一的应急管理信息系统建设，负责信息传输道的规划和布局，建立监测预警和灾情报告制度，健全自然灾害信息资源获取和共享机制，依法统一发布灾情。</w:t>
      </w:r>
    </w:p>
    <w:p w14:paraId="34C14025">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(五)组织指导协调安全生产类、自然灾害类等突发事件应急救援，承担市应对灾害指挥部工作，综合研判突发事件发展态势并提出应对建议，协助市委、市政府指定的负责同志组织灾害应急处置工作。</w:t>
      </w:r>
    </w:p>
    <w:p w14:paraId="1BC4B7BE">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(六)统一协调指挥各类应急专业队伍，建立应急协调联动机制，推进指挥平台对接，负责做好解放军和武警部队参与应急救援相关衔接工作。</w:t>
      </w:r>
    </w:p>
    <w:p w14:paraId="57DD12B6">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七)统筹全市应急救援力量建设，负责消防、森林和草原火灾扑救、抗洪抢险、地震和地质灾害救援、生产安全事故救援等专业应急救援力量建设，依权限做好驻永国家综合性应急救援队伍建设的相关工作，指导地方及社会应急救援力量建设。</w:t>
      </w:r>
    </w:p>
    <w:p w14:paraId="73559906">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(八)负责全市消防管理有关工作，指导全市消防监督火灾预防、火灾扑救等工作。</w:t>
      </w:r>
    </w:p>
    <w:p w14:paraId="75E15AAD">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(九)指导协调全市森林和草原火灾、水</w:t>
      </w:r>
      <w:r>
        <w:rPr>
          <w:rFonts w:hint="eastAsia" w:ascii="仿宋_GB2312" w:hAnsi="仿宋" w:eastAsia="仿宋_GB2312" w:cs="Times New Roman"/>
          <w:sz w:val="32"/>
          <w:szCs w:val="32"/>
          <w:lang w:val="en-US" w:eastAsia="zh-CN"/>
        </w:rPr>
        <w:t>旱</w:t>
      </w:r>
      <w:r>
        <w:rPr>
          <w:rFonts w:hint="eastAsia" w:ascii="仿宋_GB2312" w:hAnsi="仿宋" w:eastAsia="仿宋_GB2312" w:cs="Times New Roman"/>
          <w:sz w:val="32"/>
          <w:szCs w:val="32"/>
        </w:rPr>
        <w:t>灾害、地震和地质灾害等防治工作，负责自然灾害综合监测预警工作，指导开展自然灾害综合风险评估工作。</w:t>
      </w:r>
    </w:p>
    <w:p w14:paraId="09B7A4B0">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(十)组织协调灾害救助工作，组织指导灾情核查、损失评估、救灾捐赠工作，按权限管理、分配中央、省下达和市级救灾款物并监督使用。</w:t>
      </w:r>
    </w:p>
    <w:p w14:paraId="2E2500D1">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(十一)依法行使安全生产综合监督管理职权，指导协调监督检查市政府有关部门和各县区政府安全生产工作，组织开展安全生产巡查、考核工作。</w:t>
      </w:r>
    </w:p>
    <w:p w14:paraId="5C3FB37D">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二)按照分级、属地原则，依法监督检查工矿商贸生产经营单位贯彻执行安全生产法律法规情况及其安全生产条件和有关设备(特种设备除外)、材料、劳动防护用品的安全生产管理工作。负责监督管理工矿商贸行业市属企业安全生产工作。依法组织并指导监督实施安全生产准入制度。负责危险化学品安全监督管理综合工作和化工(含石油化工)、医药、危险化学品、烟花爆竹安全生产监督管理工作。</w:t>
      </w:r>
    </w:p>
    <w:p w14:paraId="250359B5">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(十三)负责全市煤矿安全生产地方监管和煤矿安全基础管理监督指导工作。</w:t>
      </w:r>
    </w:p>
    <w:p w14:paraId="13A566AD">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(十四)依法组织指导生产安全事故调查处理，监督事故查处和责任追究落实情况。组织开展自然灾害类突发事件的调查评估工作。</w:t>
      </w:r>
    </w:p>
    <w:p w14:paraId="3C3BFDF0">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(十五)开展应急管理对外交流与合作，组织参与安全生产类、自然灾害类等突发事件的对外救援工作。</w:t>
      </w:r>
    </w:p>
    <w:p w14:paraId="785891B2">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(十六)拟订全市应急物资储备和应急</w:t>
      </w:r>
      <w:r>
        <w:rPr>
          <w:rFonts w:hint="eastAsia" w:ascii="仿宋_GB2312" w:hAnsi="仿宋" w:eastAsia="仿宋_GB2312" w:cs="Times New Roman"/>
          <w:sz w:val="32"/>
          <w:szCs w:val="32"/>
          <w:lang w:val="en-US" w:eastAsia="zh-CN"/>
        </w:rPr>
        <w:t>救</w:t>
      </w:r>
      <w:r>
        <w:rPr>
          <w:rFonts w:hint="eastAsia" w:ascii="仿宋_GB2312" w:hAnsi="仿宋" w:eastAsia="仿宋_GB2312" w:cs="Times New Roman"/>
          <w:sz w:val="32"/>
          <w:szCs w:val="32"/>
        </w:rPr>
        <w:t>援装备规划并组织实施，会同市发展和改革委员会(市粮食和物资储备局)等部门建立健全应急物资信息平台和调拨制度，在救灾时统一调度。</w:t>
      </w:r>
    </w:p>
    <w:p w14:paraId="2999BB3D">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(十七)负责应急管理、安全生产宣传教育和培训工作组织指导应急管理、安全生产的科学技术研究、推广应用和信息化建设工作。</w:t>
      </w:r>
    </w:p>
    <w:p w14:paraId="4BF1D44B">
      <w:pPr>
        <w:autoSpaceDE/>
        <w:autoSpaceDN/>
        <w:adjustRightInd/>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(十八)承担市防汛抗旱指挥部日常工作，协调市防汛抗旱指挥部成员单位的相关工作，组织执行上级防汛抗旱指挥部和市防汛抗旱指挥部的指示、命令。</w:t>
      </w:r>
    </w:p>
    <w:p w14:paraId="5559E7F3">
      <w:pPr>
        <w:pStyle w:val="22"/>
        <w:rPr>
          <w:rFonts w:hint="eastAsia"/>
        </w:rPr>
      </w:pPr>
      <w:r>
        <w:rPr>
          <w:rFonts w:hint="eastAsia" w:ascii="仿宋_GB2312" w:hAnsi="仿宋" w:eastAsia="仿宋_GB2312" w:cs="Times New Roman"/>
          <w:sz w:val="32"/>
          <w:szCs w:val="32"/>
        </w:rPr>
        <w:t>(十九)完成市委、市政府交办的其他任务。</w:t>
      </w:r>
    </w:p>
    <w:p w14:paraId="087A8C15">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2．机构情况，包括当年变动情况及原因。</w:t>
      </w:r>
    </w:p>
    <w:p w14:paraId="20215854">
      <w:pPr>
        <w:pStyle w:val="22"/>
        <w:rPr>
          <w:rFonts w:hint="eastAsia"/>
        </w:rPr>
      </w:pPr>
      <w:r>
        <w:rPr>
          <w:rFonts w:hint="eastAsia" w:ascii="仿宋_GB2312" w:hAnsi="仿宋" w:eastAsia="仿宋_GB2312" w:cs="Times New Roman"/>
          <w:sz w:val="32"/>
          <w:szCs w:val="32"/>
        </w:rPr>
        <w:t>我</w:t>
      </w:r>
      <w:r>
        <w:rPr>
          <w:rFonts w:hint="eastAsia" w:ascii="仿宋_GB2312" w:hAnsi="仿宋" w:eastAsia="仿宋_GB2312" w:cs="Times New Roman"/>
          <w:sz w:val="32"/>
          <w:szCs w:val="32"/>
          <w:lang w:val="en-US" w:eastAsia="zh-CN"/>
        </w:rPr>
        <w:t>局</w:t>
      </w:r>
      <w:r>
        <w:rPr>
          <w:rFonts w:hint="eastAsia" w:ascii="仿宋_GB2312" w:hAnsi="仿宋" w:eastAsia="仿宋_GB2312" w:cs="Times New Roman"/>
          <w:sz w:val="32"/>
          <w:szCs w:val="32"/>
        </w:rPr>
        <w:t>为正处级行政单位，内设办公室（信访办公室）、应急指挥中心、宣传教育科、政策法规科（行政审批科）、科技和信息化科、矿山和工贸行业安全监督管理科、烟花爆竹和危险化学品安全监督管理科、安全生产综合协调科、救援协调和预案管理科、风险监测和综合减灾科、救灾和物资保障科、火灾防治管理科、防汛抗旱科、调查评估和统计科和政治部15个职能科室。</w:t>
      </w:r>
    </w:p>
    <w:p w14:paraId="7853B384">
      <w:pPr>
        <w:numPr>
          <w:ilvl w:val="0"/>
          <w:numId w:val="3"/>
        </w:num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人员情况，包括当年变动情况及原因。</w:t>
      </w:r>
    </w:p>
    <w:p w14:paraId="798E7D34">
      <w:pPr>
        <w:widowControl/>
        <w:snapToGrid w:val="0"/>
        <w:spacing w:line="520" w:lineRule="exact"/>
        <w:ind w:firstLine="640" w:firstLineChars="200"/>
        <w:rPr>
          <w:rFonts w:hint="default" w:ascii="仿宋_GB2312" w:hAnsi="仿宋" w:eastAsia="仿宋_GB2312" w:cs="Times New Roman"/>
          <w:color w:val="FF0000"/>
          <w:sz w:val="32"/>
          <w:szCs w:val="32"/>
          <w:lang w:val="en-US" w:eastAsia="zh-CN"/>
        </w:rPr>
      </w:pPr>
      <w:r>
        <w:rPr>
          <w:rFonts w:hint="eastAsia" w:ascii="仿宋_GB2312" w:hAnsi="仿宋" w:eastAsia="仿宋_GB2312" w:cs="Times New Roman"/>
          <w:color w:val="auto"/>
          <w:sz w:val="32"/>
          <w:szCs w:val="32"/>
          <w:lang w:eastAsia="zh-CN"/>
        </w:rPr>
        <w:t>202</w:t>
      </w:r>
      <w:r>
        <w:rPr>
          <w:rFonts w:hint="eastAsia" w:ascii="仿宋_GB2312" w:hAnsi="仿宋" w:eastAsia="仿宋_GB2312" w:cs="Times New Roman"/>
          <w:color w:val="auto"/>
          <w:sz w:val="32"/>
          <w:szCs w:val="32"/>
          <w:lang w:val="en-US" w:eastAsia="zh-CN"/>
        </w:rPr>
        <w:t>5</w:t>
      </w:r>
      <w:r>
        <w:rPr>
          <w:rFonts w:hint="eastAsia" w:ascii="仿宋_GB2312" w:hAnsi="仿宋" w:eastAsia="仿宋_GB2312" w:cs="Times New Roman"/>
          <w:color w:val="auto"/>
          <w:sz w:val="32"/>
          <w:szCs w:val="32"/>
          <w:lang w:eastAsia="zh-CN"/>
        </w:rPr>
        <w:t>年末，我局</w:t>
      </w:r>
      <w:r>
        <w:rPr>
          <w:rFonts w:hint="eastAsia" w:ascii="仿宋_GB2312" w:hAnsi="仿宋" w:eastAsia="仿宋_GB2312" w:cs="Times New Roman"/>
          <w:color w:val="auto"/>
          <w:sz w:val="32"/>
          <w:szCs w:val="32"/>
          <w:lang w:val="en-US" w:eastAsia="zh-CN"/>
        </w:rPr>
        <w:t>机关</w:t>
      </w:r>
      <w:r>
        <w:rPr>
          <w:rFonts w:hint="eastAsia" w:ascii="仿宋_GB2312" w:hAnsi="仿宋" w:eastAsia="仿宋_GB2312" w:cs="Times New Roman"/>
          <w:color w:val="auto"/>
          <w:sz w:val="32"/>
          <w:szCs w:val="32"/>
          <w:lang w:eastAsia="zh-CN"/>
        </w:rPr>
        <w:t>行政编制3</w:t>
      </w:r>
      <w:r>
        <w:rPr>
          <w:rFonts w:hint="eastAsia" w:ascii="仿宋_GB2312" w:hAnsi="仿宋" w:eastAsia="仿宋_GB2312" w:cs="Times New Roman"/>
          <w:color w:val="auto"/>
          <w:sz w:val="32"/>
          <w:szCs w:val="32"/>
          <w:lang w:val="en-US" w:eastAsia="zh-CN"/>
        </w:rPr>
        <w:t>4</w:t>
      </w:r>
      <w:r>
        <w:rPr>
          <w:rFonts w:hint="eastAsia" w:ascii="仿宋_GB2312" w:hAnsi="仿宋" w:eastAsia="仿宋_GB2312" w:cs="Times New Roman"/>
          <w:color w:val="auto"/>
          <w:sz w:val="32"/>
          <w:szCs w:val="32"/>
          <w:lang w:eastAsia="zh-CN"/>
        </w:rPr>
        <w:t>个，</w:t>
      </w:r>
      <w:r>
        <w:rPr>
          <w:rFonts w:hint="eastAsia" w:ascii="仿宋_GB2312" w:hAnsi="仿宋" w:eastAsia="仿宋_GB2312" w:cs="Times New Roman"/>
          <w:color w:val="auto"/>
          <w:sz w:val="32"/>
          <w:szCs w:val="32"/>
          <w:lang w:val="en-US" w:eastAsia="zh-CN"/>
        </w:rPr>
        <w:t>市应急事务中心</w:t>
      </w:r>
      <w:r>
        <w:rPr>
          <w:rFonts w:hint="eastAsia" w:ascii="仿宋_GB2312" w:hAnsi="仿宋" w:eastAsia="仿宋_GB2312" w:cs="Times New Roman"/>
          <w:color w:val="auto"/>
          <w:sz w:val="32"/>
          <w:szCs w:val="32"/>
          <w:lang w:eastAsia="zh-CN"/>
        </w:rPr>
        <w:t>事业编制</w:t>
      </w:r>
      <w:r>
        <w:rPr>
          <w:rFonts w:hint="eastAsia" w:ascii="仿宋_GB2312" w:hAnsi="仿宋" w:eastAsia="仿宋_GB2312" w:cs="Times New Roman"/>
          <w:color w:val="auto"/>
          <w:sz w:val="32"/>
          <w:szCs w:val="32"/>
          <w:lang w:val="en-US" w:eastAsia="zh-CN"/>
        </w:rPr>
        <w:t>12</w:t>
      </w:r>
      <w:r>
        <w:rPr>
          <w:rFonts w:hint="eastAsia" w:ascii="仿宋_GB2312" w:hAnsi="仿宋" w:eastAsia="仿宋_GB2312" w:cs="Times New Roman"/>
          <w:color w:val="auto"/>
          <w:sz w:val="32"/>
          <w:szCs w:val="32"/>
          <w:lang w:eastAsia="zh-CN"/>
        </w:rPr>
        <w:t>个。</w:t>
      </w:r>
    </w:p>
    <w:p w14:paraId="01D4C9FF">
      <w:pPr>
        <w:ind w:firstLine="640" w:firstLineChars="200"/>
        <w:rPr>
          <w:rFonts w:hint="default"/>
          <w:lang w:val="en-US" w:eastAsia="zh-CN"/>
        </w:rPr>
      </w:pPr>
      <w:r>
        <w:rPr>
          <w:rFonts w:hint="eastAsia" w:ascii="仿宋_GB2312" w:hAnsi="仿宋" w:eastAsia="仿宋_GB2312" w:cs="Times New Roman"/>
          <w:color w:val="auto"/>
          <w:sz w:val="32"/>
          <w:szCs w:val="32"/>
          <w:lang w:val="en-US" w:eastAsia="zh-CN"/>
        </w:rPr>
        <w:t>编制变化原因：</w:t>
      </w:r>
      <w:r>
        <w:rPr>
          <w:rFonts w:hint="eastAsia" w:ascii="仿宋_GB2312" w:hAnsi="仿宋" w:eastAsia="仿宋_GB2312" w:cs="Times New Roman"/>
          <w:sz w:val="32"/>
          <w:szCs w:val="32"/>
          <w:lang w:val="en-US" w:eastAsia="zh-CN"/>
        </w:rPr>
        <w:t>市应急管理综合行政执法支队因机构改革取消原属该支队参公编制由市编办统筹管理。</w:t>
      </w:r>
    </w:p>
    <w:p w14:paraId="18FBFC79">
      <w:pPr>
        <w:widowControl/>
        <w:snapToGrid w:val="0"/>
        <w:spacing w:line="520" w:lineRule="exact"/>
        <w:ind w:firstLine="640" w:firstLineChars="200"/>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eastAsia="zh-CN"/>
        </w:rPr>
        <w:t>实有人数</w:t>
      </w:r>
      <w:r>
        <w:rPr>
          <w:rFonts w:hint="eastAsia" w:ascii="仿宋_GB2312" w:hAnsi="仿宋" w:eastAsia="仿宋_GB2312" w:cs="Times New Roman"/>
          <w:color w:val="auto"/>
          <w:sz w:val="32"/>
          <w:szCs w:val="32"/>
          <w:lang w:val="en-US" w:eastAsia="zh-CN"/>
        </w:rPr>
        <w:t>60</w:t>
      </w:r>
      <w:r>
        <w:rPr>
          <w:rFonts w:hint="eastAsia" w:ascii="仿宋_GB2312" w:hAnsi="仿宋" w:eastAsia="仿宋_GB2312" w:cs="Times New Roman"/>
          <w:color w:val="auto"/>
          <w:sz w:val="32"/>
          <w:szCs w:val="32"/>
          <w:lang w:eastAsia="zh-CN"/>
        </w:rPr>
        <w:t>人（局机关</w:t>
      </w:r>
      <w:r>
        <w:rPr>
          <w:rFonts w:hint="eastAsia" w:ascii="仿宋_GB2312" w:hAnsi="仿宋" w:eastAsia="仿宋_GB2312" w:cs="Times New Roman"/>
          <w:color w:val="auto"/>
          <w:sz w:val="32"/>
          <w:szCs w:val="32"/>
          <w:lang w:val="en-US" w:eastAsia="zh-CN"/>
        </w:rPr>
        <w:t>43</w:t>
      </w:r>
      <w:r>
        <w:rPr>
          <w:rFonts w:hint="eastAsia" w:ascii="仿宋_GB2312" w:hAnsi="仿宋" w:eastAsia="仿宋_GB2312" w:cs="Times New Roman"/>
          <w:color w:val="auto"/>
          <w:sz w:val="32"/>
          <w:szCs w:val="32"/>
          <w:lang w:eastAsia="zh-CN"/>
        </w:rPr>
        <w:t>人，</w:t>
      </w:r>
      <w:r>
        <w:rPr>
          <w:rFonts w:hint="eastAsia" w:ascii="仿宋_GB2312" w:hAnsi="仿宋" w:eastAsia="仿宋_GB2312" w:cs="Times New Roman"/>
          <w:color w:val="auto"/>
          <w:sz w:val="32"/>
          <w:szCs w:val="32"/>
          <w:lang w:val="en-US" w:eastAsia="zh-CN"/>
        </w:rPr>
        <w:t>原</w:t>
      </w:r>
      <w:r>
        <w:rPr>
          <w:rFonts w:hint="eastAsia" w:ascii="仿宋_GB2312" w:hAnsi="仿宋" w:eastAsia="仿宋_GB2312" w:cs="Times New Roman"/>
          <w:sz w:val="32"/>
          <w:szCs w:val="32"/>
          <w:lang w:val="en-US" w:eastAsia="zh-CN"/>
        </w:rPr>
        <w:t>市应急管理综合行政执法支队</w:t>
      </w:r>
      <w:r>
        <w:rPr>
          <w:rFonts w:hint="eastAsia" w:ascii="仿宋_GB2312" w:hAnsi="仿宋" w:eastAsia="仿宋_GB2312" w:cs="Times New Roman"/>
          <w:color w:val="auto"/>
          <w:sz w:val="32"/>
          <w:szCs w:val="32"/>
          <w:lang w:val="en-US" w:eastAsia="zh-CN"/>
        </w:rPr>
        <w:t>5</w:t>
      </w:r>
      <w:r>
        <w:rPr>
          <w:rFonts w:hint="eastAsia" w:ascii="仿宋_GB2312" w:hAnsi="仿宋" w:eastAsia="仿宋_GB2312" w:cs="Times New Roman"/>
          <w:color w:val="auto"/>
          <w:sz w:val="32"/>
          <w:szCs w:val="32"/>
          <w:lang w:eastAsia="zh-CN"/>
        </w:rPr>
        <w:t>人，市应急事务中心</w:t>
      </w:r>
      <w:r>
        <w:rPr>
          <w:rFonts w:hint="eastAsia" w:ascii="仿宋_GB2312" w:hAnsi="仿宋" w:eastAsia="仿宋_GB2312" w:cs="Times New Roman"/>
          <w:color w:val="auto"/>
          <w:sz w:val="32"/>
          <w:szCs w:val="32"/>
          <w:lang w:val="en-US" w:eastAsia="zh-CN"/>
        </w:rPr>
        <w:t>12</w:t>
      </w:r>
      <w:r>
        <w:rPr>
          <w:rFonts w:hint="eastAsia" w:ascii="仿宋_GB2312" w:hAnsi="仿宋" w:eastAsia="仿宋_GB2312" w:cs="Times New Roman"/>
          <w:color w:val="auto"/>
          <w:sz w:val="32"/>
          <w:szCs w:val="32"/>
          <w:lang w:eastAsia="zh-CN"/>
        </w:rPr>
        <w:t>人），比上年减少</w:t>
      </w:r>
      <w:r>
        <w:rPr>
          <w:rFonts w:hint="eastAsia" w:ascii="仿宋_GB2312" w:hAnsi="仿宋" w:eastAsia="仿宋_GB2312" w:cs="Times New Roman"/>
          <w:color w:val="auto"/>
          <w:sz w:val="32"/>
          <w:szCs w:val="32"/>
          <w:lang w:val="en-US" w:eastAsia="zh-CN"/>
        </w:rPr>
        <w:t>3</w:t>
      </w:r>
      <w:r>
        <w:rPr>
          <w:rFonts w:hint="eastAsia" w:ascii="仿宋_GB2312" w:hAnsi="仿宋" w:eastAsia="仿宋_GB2312" w:cs="Times New Roman"/>
          <w:color w:val="auto"/>
          <w:sz w:val="32"/>
          <w:szCs w:val="32"/>
          <w:lang w:eastAsia="zh-CN"/>
        </w:rPr>
        <w:t>人。</w:t>
      </w:r>
    </w:p>
    <w:p w14:paraId="7AC6837C">
      <w:pPr>
        <w:pStyle w:val="22"/>
        <w:numPr>
          <w:ilvl w:val="0"/>
          <w:numId w:val="0"/>
        </w:numPr>
        <w:ind w:firstLine="640" w:firstLineChars="200"/>
        <w:rPr>
          <w:rFonts w:hint="default"/>
          <w:lang w:val="en-US"/>
        </w:rPr>
      </w:pPr>
      <w:r>
        <w:rPr>
          <w:rFonts w:hint="eastAsia" w:ascii="仿宋_GB2312" w:hAnsi="仿宋" w:eastAsia="仿宋_GB2312" w:cs="Times New Roman"/>
          <w:color w:val="auto"/>
          <w:sz w:val="32"/>
          <w:szCs w:val="32"/>
          <w:lang w:eastAsia="zh-CN"/>
        </w:rPr>
        <w:t>人员变</w:t>
      </w:r>
      <w:r>
        <w:rPr>
          <w:rFonts w:hint="eastAsia" w:ascii="仿宋_GB2312" w:hAnsi="仿宋" w:eastAsia="仿宋_GB2312" w:cs="Times New Roman"/>
          <w:color w:val="auto"/>
          <w:sz w:val="32"/>
          <w:szCs w:val="32"/>
          <w:highlight w:val="none"/>
          <w:lang w:eastAsia="zh-CN"/>
        </w:rPr>
        <w:t>化的主要原因是：</w:t>
      </w:r>
      <w:r>
        <w:rPr>
          <w:rFonts w:hint="eastAsia" w:ascii="仿宋_GB2312" w:hAnsi="仿宋" w:eastAsia="仿宋_GB2312" w:cs="Times New Roman"/>
          <w:color w:val="auto"/>
          <w:sz w:val="32"/>
          <w:szCs w:val="32"/>
          <w:highlight w:val="none"/>
          <w:lang w:val="en-US" w:eastAsia="zh-CN"/>
        </w:rPr>
        <w:t>3名同志调出。</w:t>
      </w:r>
    </w:p>
    <w:p w14:paraId="2168999A">
      <w:pPr>
        <w:pStyle w:val="17"/>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14:paraId="18DE2F8C">
      <w:pPr>
        <w:pStyle w:val="17"/>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（一）基本支出情况</w:t>
      </w:r>
    </w:p>
    <w:p w14:paraId="3CC4A5D3">
      <w:pPr>
        <w:spacing w:line="580" w:lineRule="exact"/>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2"/>
          <w:lang w:val="en-US" w:eastAsia="zh-CN"/>
        </w:rPr>
        <w:t>1269.73</w:t>
      </w:r>
      <w:r>
        <w:rPr>
          <w:rFonts w:hint="eastAsia" w:ascii="仿宋_GB2312" w:hAnsi="仿宋_GB2312" w:eastAsia="仿宋_GB2312" w:cs="仿宋_GB2312"/>
          <w:sz w:val="32"/>
          <w:szCs w:val="32"/>
        </w:rPr>
        <w:t>万元，占全年总支出的</w:t>
      </w:r>
      <w:r>
        <w:rPr>
          <w:rFonts w:hint="eastAsia" w:ascii="仿宋_GB2312" w:hAnsi="仿宋_GB2312" w:eastAsia="仿宋_GB2312" w:cs="仿宋_GB2312"/>
          <w:color w:val="auto"/>
          <w:sz w:val="32"/>
          <w:szCs w:val="32"/>
          <w:lang w:val="en-US" w:eastAsia="zh-CN"/>
        </w:rPr>
        <w:t>64.40</w:t>
      </w:r>
      <w:r>
        <w:rPr>
          <w:rFonts w:hint="eastAsia" w:ascii="仿宋_GB2312" w:hAnsi="仿宋_GB2312" w:eastAsia="仿宋_GB2312" w:cs="仿宋_GB2312"/>
          <w:sz w:val="32"/>
          <w:szCs w:val="32"/>
        </w:rPr>
        <w:t>%，主要用于维持部门正常运转的人员经费和日常公用经费等，其中：工资福利</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lang w:val="en-US" w:eastAsia="zh-CN"/>
        </w:rPr>
        <w:t>1120.07</w:t>
      </w:r>
      <w:r>
        <w:rPr>
          <w:rFonts w:hint="eastAsia" w:ascii="仿宋_GB2312" w:hAnsi="仿宋_GB2312" w:eastAsia="仿宋_GB2312" w:cs="仿宋_GB2312"/>
          <w:sz w:val="32"/>
          <w:szCs w:val="32"/>
        </w:rPr>
        <w:t>万元、一般商品和服务</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lang w:val="en-US" w:eastAsia="zh-CN"/>
        </w:rPr>
        <w:t>149.66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w:t>
      </w:r>
    </w:p>
    <w:p w14:paraId="5DF2579A">
      <w:pPr>
        <w:pStyle w:val="17"/>
        <w:numPr>
          <w:ilvl w:val="0"/>
          <w:numId w:val="4"/>
        </w:numPr>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项目支出情况</w:t>
      </w:r>
    </w:p>
    <w:p w14:paraId="0D914E18">
      <w:pPr>
        <w:spacing w:line="580" w:lineRule="exact"/>
        <w:ind w:firstLine="640" w:firstLineChars="200"/>
        <w:rPr>
          <w:rFonts w:hint="eastAsia" w:ascii="仿宋_GB2312" w:hAnsi="仿宋_GB2312" w:eastAsia="仿宋_GB2312" w:cs="仿宋_GB2312"/>
          <w:sz w:val="32"/>
          <w:szCs w:val="32"/>
        </w:rPr>
      </w:pPr>
      <w:r>
        <w:rPr>
          <w:rFonts w:hint="default" w:ascii="仿宋_GB2312" w:hAnsi="仿宋_GB2312" w:eastAsia="仿宋_GB2312" w:cs="仿宋_GB2312"/>
          <w:sz w:val="32"/>
          <w:szCs w:val="32"/>
        </w:rPr>
        <w:t>1.专项资金安排情况</w:t>
      </w:r>
    </w:p>
    <w:p w14:paraId="79B0DDDB">
      <w:pPr>
        <w:spacing w:line="580" w:lineRule="exact"/>
        <w:ind w:firstLine="640" w:firstLineChars="200"/>
        <w:rPr>
          <w:rFonts w:hint="eastAsia" w:ascii="仿宋_GB2312" w:eastAsia="仿宋_GB2312"/>
          <w:bCs/>
          <w:kern w:val="0"/>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年度专项资金共支出</w:t>
      </w:r>
      <w:r>
        <w:rPr>
          <w:rFonts w:hint="eastAsia" w:ascii="仿宋_GB2312" w:hAnsi="仿宋_GB2312" w:eastAsia="仿宋_GB2312" w:cs="仿宋_GB2312"/>
          <w:sz w:val="32"/>
          <w:szCs w:val="32"/>
          <w:lang w:val="en-US" w:eastAsia="zh-CN"/>
        </w:rPr>
        <w:t>701.81</w:t>
      </w:r>
      <w:r>
        <w:rPr>
          <w:rFonts w:hint="eastAsia" w:ascii="仿宋_GB2312" w:hAnsi="仿宋_GB2312" w:eastAsia="仿宋_GB2312" w:cs="仿宋_GB2312"/>
          <w:sz w:val="32"/>
          <w:szCs w:val="32"/>
        </w:rPr>
        <w:t>万元，占总支出的</w:t>
      </w:r>
      <w:r>
        <w:rPr>
          <w:rFonts w:hint="eastAsia" w:ascii="仿宋_GB2312" w:hAnsi="仿宋_GB2312" w:eastAsia="仿宋_GB2312" w:cs="仿宋_GB2312"/>
          <w:sz w:val="32"/>
          <w:szCs w:val="32"/>
          <w:lang w:val="en-US" w:eastAsia="zh-CN"/>
        </w:rPr>
        <w:t>35.60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其中市本级专项资金共支出388.39万元，</w:t>
      </w:r>
      <w:r>
        <w:rPr>
          <w:rFonts w:hint="eastAsia" w:ascii="仿宋_GB2312" w:hAnsi="仿宋_GB2312" w:eastAsia="仿宋_GB2312" w:cs="仿宋_GB2312"/>
          <w:sz w:val="32"/>
          <w:szCs w:val="32"/>
        </w:rPr>
        <w:t>主要用于开展安全生产、</w:t>
      </w:r>
      <w:r>
        <w:rPr>
          <w:rFonts w:hint="eastAsia" w:ascii="仿宋_GB2312" w:hAnsi="仿宋_GB2312" w:eastAsia="仿宋_GB2312" w:cs="仿宋_GB2312"/>
          <w:kern w:val="2"/>
          <w:sz w:val="32"/>
          <w:szCs w:val="32"/>
        </w:rPr>
        <w:t>防灾减灾、应急救援、宣教培训，自然灾害、安全生产风险防范化解</w:t>
      </w:r>
      <w:r>
        <w:rPr>
          <w:rFonts w:hint="eastAsia" w:ascii="仿宋_GB2312" w:hAnsi="仿宋_GB2312" w:eastAsia="仿宋_GB2312" w:cs="仿宋_GB2312"/>
          <w:sz w:val="32"/>
          <w:szCs w:val="32"/>
        </w:rPr>
        <w:t>等方面的支出。</w:t>
      </w:r>
      <w:r>
        <w:rPr>
          <w:rFonts w:hint="eastAsia" w:ascii="仿宋_GB2312" w:hAnsi="仿宋_GB2312" w:eastAsia="仿宋_GB2312" w:cs="仿宋_GB2312"/>
          <w:sz w:val="32"/>
          <w:szCs w:val="32"/>
          <w:lang w:val="en-US" w:eastAsia="zh-CN"/>
        </w:rPr>
        <w:t>市本级专项资金</w:t>
      </w:r>
      <w:r>
        <w:rPr>
          <w:rFonts w:hint="eastAsia" w:ascii="仿宋_GB2312" w:hAnsi="仿宋_GB2312" w:eastAsia="仿宋_GB2312" w:cs="仿宋_GB2312"/>
          <w:sz w:val="32"/>
          <w:szCs w:val="32"/>
        </w:rPr>
        <w:t>年初预算</w:t>
      </w:r>
      <w:r>
        <w:rPr>
          <w:rFonts w:hint="eastAsia" w:ascii="仿宋_GB2312" w:hAnsi="仿宋_GB2312" w:eastAsia="仿宋_GB2312" w:cs="仿宋_GB2312"/>
          <w:color w:val="auto"/>
          <w:sz w:val="32"/>
          <w:szCs w:val="32"/>
          <w:lang w:val="en-US" w:eastAsia="zh-CN"/>
        </w:rPr>
        <w:t>194.40</w:t>
      </w:r>
      <w:r>
        <w:rPr>
          <w:rFonts w:hint="eastAsia" w:ascii="仿宋_GB2312" w:hAnsi="仿宋_GB2312" w:eastAsia="仿宋_GB2312" w:cs="仿宋_GB2312"/>
          <w:color w:val="auto"/>
          <w:sz w:val="32"/>
          <w:szCs w:val="32"/>
        </w:rPr>
        <w:t>万元（执法办案经费</w:t>
      </w:r>
      <w:r>
        <w:rPr>
          <w:rFonts w:hint="eastAsia" w:ascii="仿宋_GB2312" w:hAnsi="仿宋_GB2312" w:eastAsia="仿宋_GB2312" w:cs="仿宋_GB2312"/>
          <w:color w:val="auto"/>
          <w:sz w:val="32"/>
          <w:szCs w:val="32"/>
          <w:lang w:val="en-US" w:eastAsia="zh-CN"/>
        </w:rPr>
        <w:t>72</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sz w:val="32"/>
          <w:szCs w:val="32"/>
        </w:rPr>
        <w:t>主要用于开展安全生产执法检查的各项费用支出和弥补办公经费不足</w:t>
      </w:r>
      <w:r>
        <w:rPr>
          <w:rFonts w:hint="eastAsia" w:ascii="仿宋_GB2312" w:hAnsi="仿宋_GB2312" w:eastAsia="仿宋_GB2312" w:cs="仿宋_GB2312"/>
          <w:color w:val="auto"/>
          <w:sz w:val="32"/>
          <w:szCs w:val="32"/>
        </w:rPr>
        <w:t>，非税收入安排的支出</w:t>
      </w:r>
      <w:r>
        <w:rPr>
          <w:rFonts w:hint="eastAsia" w:ascii="仿宋_GB2312" w:hAnsi="仿宋_GB2312" w:eastAsia="仿宋_GB2312" w:cs="仿宋_GB2312"/>
          <w:color w:val="auto"/>
          <w:sz w:val="32"/>
          <w:szCs w:val="32"/>
          <w:lang w:val="en-US" w:eastAsia="zh-CN"/>
        </w:rPr>
        <w:t>122.40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p>
    <w:p w14:paraId="4C2B9EFD">
      <w:pPr>
        <w:spacing w:line="580" w:lineRule="exact"/>
        <w:ind w:firstLine="640" w:firstLineChars="200"/>
        <w:rPr>
          <w:rFonts w:hint="eastAsia" w:ascii="仿宋_GB2312" w:hAnsi="仿宋_GB2312" w:eastAsia="仿宋_GB2312" w:cs="仿宋_GB2312"/>
          <w:sz w:val="32"/>
          <w:szCs w:val="32"/>
        </w:rPr>
      </w:pPr>
      <w:r>
        <w:rPr>
          <w:rFonts w:hint="default" w:ascii="仿宋_GB2312" w:hAnsi="仿宋_GB2312" w:eastAsia="仿宋_GB2312" w:cs="仿宋_GB2312"/>
          <w:sz w:val="32"/>
          <w:szCs w:val="32"/>
        </w:rPr>
        <w:t>2.专项资金使用情况</w:t>
      </w:r>
    </w:p>
    <w:p w14:paraId="45D579B4">
      <w:pPr>
        <w:spacing w:line="580" w:lineRule="exact"/>
        <w:ind w:firstLine="640" w:firstLineChars="200"/>
        <w:rPr>
          <w:rFonts w:hint="eastAsia" w:ascii="宋体" w:hAnsi="宋体" w:cs="宋体"/>
          <w:bCs/>
          <w:snapToGrid w:val="0"/>
          <w:kern w:val="0"/>
          <w:sz w:val="28"/>
          <w:szCs w:val="28"/>
        </w:rPr>
      </w:pPr>
      <w:r>
        <w:rPr>
          <w:rFonts w:hint="eastAsia" w:ascii="仿宋_GB2312" w:hAnsi="仿宋_GB2312" w:eastAsia="仿宋_GB2312" w:cs="仿宋_GB2312"/>
          <w:sz w:val="32"/>
          <w:szCs w:val="32"/>
        </w:rPr>
        <w:t>（1）安全生产专项资金</w:t>
      </w:r>
      <w:r>
        <w:rPr>
          <w:rFonts w:hint="eastAsia" w:ascii="仿宋_GB2312" w:hAnsi="仿宋_GB2312" w:eastAsia="仿宋_GB2312" w:cs="仿宋_GB2312"/>
          <w:sz w:val="32"/>
          <w:szCs w:val="32"/>
          <w:lang w:val="en-US" w:eastAsia="zh-CN"/>
        </w:rPr>
        <w:t>120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截止2025年12月31日，已使用资金117.11万元。资金</w:t>
      </w:r>
      <w:r>
        <w:rPr>
          <w:rFonts w:hint="eastAsia" w:ascii="仿宋_GB2312" w:hAnsi="仿宋_GB2312" w:eastAsia="仿宋_GB2312" w:cs="仿宋_GB2312"/>
          <w:sz w:val="32"/>
          <w:szCs w:val="32"/>
        </w:rPr>
        <w:t>主要用于安全生产专项检查和督查，重大隐患治理，防汛抗旱办公室、森林防火指挥部、安全生产委员会办公室日常工作经费等方面支出。</w:t>
      </w:r>
    </w:p>
    <w:p w14:paraId="082778F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(2)执法办案经费</w:t>
      </w:r>
      <w:r>
        <w:rPr>
          <w:rFonts w:hint="eastAsia" w:ascii="仿宋_GB2312" w:hAnsi="仿宋_GB2312" w:eastAsia="仿宋_GB2312" w:cs="仿宋_GB2312"/>
          <w:sz w:val="32"/>
          <w:szCs w:val="32"/>
          <w:lang w:val="en-US" w:eastAsia="zh-CN"/>
        </w:rPr>
        <w:t>144.60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截至2025年12月31日已使用133.79万元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主要用于开展安全生产执法检查的各项费用支出和弥补办公经费不足，包括办公费、差旅费、租车费等。</w:t>
      </w:r>
    </w:p>
    <w:p w14:paraId="5CBD3F8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（3）非税收入成本支出</w:t>
      </w:r>
      <w:r>
        <w:rPr>
          <w:rFonts w:hint="eastAsia" w:ascii="仿宋_GB2312" w:hAnsi="仿宋_GB2312" w:eastAsia="仿宋_GB2312" w:cs="仿宋_GB2312"/>
          <w:sz w:val="32"/>
          <w:szCs w:val="32"/>
          <w:lang w:val="en-US" w:eastAsia="zh-CN"/>
        </w:rPr>
        <w:t>138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截至2025年12月31日已使用137.49万元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依照湖南省应急管理厅关于转发《湖南省财政厅关于明确全省特种作业人员资格考试有关问题》的通知（湘应急函[2019]58号）和湖南省安全技术中心关于明确特种作业人员资格考试收费工作相关事宜的函（湘安技[2019]27号）文件规定，考务管理委托费用于安全生产培训信息管理和资格考试硬件和软件系统的正常运行、升级维护、考试管理、设备场地及材料消耗等费用的支出。我局非税收入是永州市安全生产资格考试中心的考试考核成本支出，按比例返回考试中心。</w:t>
      </w:r>
    </w:p>
    <w:p w14:paraId="173890FC">
      <w:pPr>
        <w:spacing w:line="580" w:lineRule="exact"/>
        <w:ind w:firstLine="640" w:firstLineChars="200"/>
        <w:rPr>
          <w:rFonts w:hint="eastAsia" w:ascii="仿宋_GB2312" w:hAnsi="仿宋_GB2312" w:eastAsia="仿宋_GB2312" w:cs="仿宋_GB2312"/>
          <w:sz w:val="32"/>
          <w:szCs w:val="32"/>
        </w:rPr>
      </w:pPr>
      <w:r>
        <w:rPr>
          <w:rFonts w:hint="default" w:ascii="仿宋_GB2312" w:hAnsi="仿宋_GB2312" w:eastAsia="仿宋_GB2312" w:cs="仿宋_GB2312"/>
          <w:sz w:val="32"/>
          <w:szCs w:val="32"/>
        </w:rPr>
        <w:t>3.专项资金管理情况</w:t>
      </w:r>
    </w:p>
    <w:p w14:paraId="08B4B7FA">
      <w:pPr>
        <w:spacing w:line="580" w:lineRule="exact"/>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根据《党政机关厉行节约反对浪费条例》、财政部《财政支出绩效评价管理暂行办法》、《湖南省人民政府关于全面推进预算绩效管理的意见》（湘政发[2012]33号），我局制定了《永州市应急管理局专项项目资金管理办法》，从专项资金立项、论证、使用范围、使用程序、评审验收，认真把关，杜绝了跑冒滴漏和浪费现象。并建立了内部控制制度及专项资金财务管理制度，严格按照制度执行，严格项目资金管理，不存在弄虚作假、以权谋私等情况。所有项目资金的使用按规定和要求进行资金拨付，加强资金管理，严禁挤占挪用，全部用于安全生产监管、应急管理专项工作的开展。</w:t>
      </w:r>
    </w:p>
    <w:p w14:paraId="4184B673">
      <w:pPr>
        <w:pStyle w:val="17"/>
        <w:numPr>
          <w:ilvl w:val="0"/>
          <w:numId w:val="5"/>
        </w:numPr>
        <w:spacing w:line="570" w:lineRule="exact"/>
        <w:ind w:firstLine="640"/>
        <w:rPr>
          <w:rFonts w:hint="eastAsia" w:ascii="Times New Roman" w:hAnsi="Times New Roman" w:eastAsia="仿宋_GB2312"/>
          <w:color w:val="000000"/>
          <w:sz w:val="32"/>
          <w:szCs w:val="32"/>
        </w:rPr>
      </w:pPr>
      <w:r>
        <w:rPr>
          <w:rFonts w:ascii="Times New Roman" w:hAnsi="Times New Roman" w:eastAsia="黑体"/>
          <w:sz w:val="32"/>
          <w:szCs w:val="32"/>
        </w:rPr>
        <w:t>政府性基金预算支出情况</w:t>
      </w:r>
      <w:r>
        <w:rPr>
          <w:rFonts w:hint="eastAsia" w:ascii="Times New Roman" w:hAnsi="Times New Roman" w:eastAsia="黑体"/>
          <w:sz w:val="32"/>
          <w:szCs w:val="32"/>
        </w:rPr>
        <w:t>。</w:t>
      </w:r>
    </w:p>
    <w:p w14:paraId="1EB40A87">
      <w:pPr>
        <w:pStyle w:val="17"/>
        <w:numPr>
          <w:ilvl w:val="0"/>
          <w:numId w:val="0"/>
        </w:numPr>
        <w:spacing w:line="570" w:lineRule="exact"/>
        <w:ind w:left="0" w:leftChars="0" w:firstLine="640" w:firstLineChars="200"/>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我单位无政府性基金预算支出情况</w:t>
      </w:r>
      <w:r>
        <w:rPr>
          <w:rFonts w:hint="eastAsia" w:ascii="Times New Roman" w:hAnsi="Times New Roman" w:eastAsia="仿宋_GB2312"/>
          <w:color w:val="000000"/>
          <w:sz w:val="32"/>
          <w:szCs w:val="32"/>
          <w:lang w:eastAsia="zh-CN"/>
        </w:rPr>
        <w:t>。</w:t>
      </w:r>
    </w:p>
    <w:p w14:paraId="56D3A555">
      <w:pPr>
        <w:pStyle w:val="17"/>
        <w:numPr>
          <w:ilvl w:val="0"/>
          <w:numId w:val="5"/>
        </w:numPr>
        <w:spacing w:line="570" w:lineRule="exact"/>
        <w:ind w:left="0" w:leftChars="0" w:firstLine="640" w:firstLineChars="200"/>
        <w:rPr>
          <w:rFonts w:hint="eastAsia" w:ascii="Times New Roman" w:hAnsi="Times New Roman" w:eastAsia="仿宋_GB2312"/>
          <w:sz w:val="32"/>
          <w:szCs w:val="32"/>
          <w:lang w:eastAsia="zh-CN"/>
        </w:rPr>
      </w:pP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14:paraId="7F8A67FE">
      <w:pPr>
        <w:pStyle w:val="17"/>
        <w:numPr>
          <w:ilvl w:val="0"/>
          <w:numId w:val="0"/>
        </w:numPr>
        <w:spacing w:line="570" w:lineRule="exact"/>
        <w:ind w:left="420" w:leftChars="200" w:firstLine="217" w:firstLineChars="68"/>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我单位无国有资本经营预算支出情况</w:t>
      </w:r>
      <w:r>
        <w:rPr>
          <w:rFonts w:hint="eastAsia" w:ascii="Times New Roman" w:hAnsi="Times New Roman" w:eastAsia="仿宋_GB2312"/>
          <w:color w:val="000000"/>
          <w:sz w:val="32"/>
          <w:szCs w:val="32"/>
          <w:lang w:eastAsia="zh-CN"/>
        </w:rPr>
        <w:t>。</w:t>
      </w:r>
    </w:p>
    <w:p w14:paraId="7BD247DF">
      <w:pPr>
        <w:pStyle w:val="17"/>
        <w:numPr>
          <w:ilvl w:val="0"/>
          <w:numId w:val="5"/>
        </w:numPr>
        <w:spacing w:line="570" w:lineRule="exact"/>
        <w:ind w:left="0" w:leftChars="0" w:firstLine="640" w:firstLineChars="200"/>
        <w:rPr>
          <w:rFonts w:hint="eastAsia" w:ascii="Times New Roman" w:hAnsi="Times New Roman" w:eastAsia="黑体"/>
          <w:sz w:val="32"/>
          <w:szCs w:val="32"/>
        </w:rPr>
      </w:pP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14:paraId="5820E8DF">
      <w:pPr>
        <w:pStyle w:val="17"/>
        <w:numPr>
          <w:ilvl w:val="0"/>
          <w:numId w:val="0"/>
        </w:numPr>
        <w:spacing w:line="570" w:lineRule="exact"/>
        <w:ind w:left="420" w:leftChars="200" w:firstLine="217" w:firstLineChars="68"/>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我单位无社会保险基金预算支出情况</w:t>
      </w:r>
      <w:r>
        <w:rPr>
          <w:rFonts w:hint="eastAsia" w:ascii="Times New Roman" w:hAnsi="Times New Roman" w:eastAsia="仿宋_GB2312"/>
          <w:color w:val="000000"/>
          <w:sz w:val="32"/>
          <w:szCs w:val="32"/>
          <w:lang w:eastAsia="zh-CN"/>
        </w:rPr>
        <w:t>。</w:t>
      </w:r>
    </w:p>
    <w:p w14:paraId="7F035962">
      <w:pPr>
        <w:spacing w:line="570" w:lineRule="exact"/>
        <w:ind w:firstLine="640" w:firstLineChars="200"/>
        <w:rPr>
          <w:rFonts w:eastAsia="黑体"/>
          <w:sz w:val="32"/>
          <w:szCs w:val="32"/>
        </w:rPr>
      </w:pPr>
      <w:r>
        <w:rPr>
          <w:rFonts w:eastAsia="黑体"/>
          <w:sz w:val="32"/>
          <w:szCs w:val="32"/>
        </w:rPr>
        <w:t>六、部门整体支出绩效情况</w:t>
      </w:r>
    </w:p>
    <w:p w14:paraId="5507BD3F">
      <w:pPr>
        <w:shd w:val="clear" w:color="auto" w:fill="auto"/>
        <w:autoSpaceDN/>
        <w:spacing w:line="580" w:lineRule="exact"/>
        <w:ind w:firstLine="640" w:firstLineChars="200"/>
        <w:rPr>
          <w:rFonts w:hint="default" w:ascii="仿宋_GB2312" w:hAnsi="仿宋" w:eastAsia="仿宋_GB2312" w:cs="Times New Roman"/>
          <w:kern w:val="2"/>
          <w:sz w:val="32"/>
          <w:szCs w:val="32"/>
          <w:lang w:val="en-US" w:eastAsia="zh-CN"/>
        </w:rPr>
      </w:pPr>
      <w:r>
        <w:rPr>
          <w:rFonts w:hint="eastAsia" w:ascii="仿宋_GB2312" w:hAnsi="仿宋" w:eastAsia="仿宋_GB2312" w:cs="Times New Roman"/>
          <w:kern w:val="2"/>
          <w:sz w:val="32"/>
          <w:szCs w:val="32"/>
          <w:lang w:val="en-US" w:eastAsia="zh-CN"/>
        </w:rPr>
        <w:t>1.产出指标完成情况分析</w:t>
      </w:r>
    </w:p>
    <w:p w14:paraId="45E9DAFD">
      <w:pPr>
        <w:shd w:val="clear" w:color="auto" w:fill="auto"/>
        <w:autoSpaceDN/>
        <w:spacing w:line="580" w:lineRule="exact"/>
        <w:ind w:firstLine="640" w:firstLineChars="200"/>
        <w:rPr>
          <w:rFonts w:hint="eastAsia" w:ascii="仿宋_GB2312" w:hAnsi="仿宋" w:eastAsia="仿宋_GB2312" w:cs="Times New Roman"/>
          <w:kern w:val="2"/>
          <w:sz w:val="32"/>
          <w:szCs w:val="32"/>
          <w:lang w:val="en-US" w:eastAsia="zh-CN"/>
        </w:rPr>
      </w:pPr>
      <w:r>
        <w:rPr>
          <w:rFonts w:hint="eastAsia" w:ascii="仿宋_GB2312" w:hAnsi="仿宋" w:eastAsia="仿宋_GB2312" w:cs="Times New Roman"/>
          <w:kern w:val="2"/>
          <w:sz w:val="32"/>
          <w:szCs w:val="32"/>
          <w:lang w:val="en-US" w:eastAsia="zh-CN"/>
        </w:rPr>
        <w:t>监管执法培训合格率、特种作业持证上岗率等达到100%，实施过程中各项经费及时到位，相关运转率、使用率、完成率，基本都达到了期初目标。项目专项资金使用过程中，能够严格执行国家法律法规和财务规章制度，控制项目成本，总体绩效目标符合相关指标。</w:t>
      </w:r>
    </w:p>
    <w:p w14:paraId="14698D07">
      <w:pPr>
        <w:shd w:val="clear" w:color="auto" w:fill="auto"/>
        <w:autoSpaceDN/>
        <w:spacing w:line="580" w:lineRule="exact"/>
        <w:ind w:firstLine="640" w:firstLineChars="200"/>
        <w:rPr>
          <w:rFonts w:hint="eastAsia" w:ascii="仿宋_GB2312" w:hAnsi="仿宋" w:eastAsia="仿宋_GB2312" w:cs="Times New Roman"/>
          <w:kern w:val="2"/>
          <w:sz w:val="32"/>
          <w:szCs w:val="32"/>
          <w:lang w:val="en-US" w:eastAsia="zh-CN"/>
        </w:rPr>
      </w:pPr>
      <w:r>
        <w:rPr>
          <w:rFonts w:hint="eastAsia" w:ascii="仿宋_GB2312" w:hAnsi="仿宋" w:eastAsia="仿宋_GB2312" w:cs="Times New Roman"/>
          <w:kern w:val="2"/>
          <w:sz w:val="32"/>
          <w:szCs w:val="32"/>
          <w:lang w:val="en-US" w:eastAsia="zh-CN"/>
        </w:rPr>
        <w:t>2.效益指标完成情况分析</w:t>
      </w:r>
    </w:p>
    <w:p w14:paraId="0E49099D">
      <w:pPr>
        <w:shd w:val="clear" w:color="auto" w:fill="auto"/>
        <w:autoSpaceDN/>
        <w:spacing w:line="580" w:lineRule="exact"/>
        <w:ind w:firstLine="640" w:firstLineChars="200"/>
        <w:rPr>
          <w:rFonts w:hint="eastAsia" w:ascii="仿宋_GB2312" w:hAnsi="仿宋" w:eastAsia="仿宋_GB2312" w:cs="Times New Roman"/>
          <w:kern w:val="2"/>
          <w:sz w:val="32"/>
          <w:szCs w:val="32"/>
          <w:lang w:val="en-US" w:eastAsia="zh-CN"/>
        </w:rPr>
      </w:pPr>
      <w:r>
        <w:rPr>
          <w:rFonts w:hint="eastAsia" w:ascii="仿宋_GB2312" w:hAnsi="仿宋" w:eastAsia="仿宋_GB2312" w:cs="Times New Roman"/>
          <w:kern w:val="2"/>
          <w:sz w:val="32"/>
          <w:szCs w:val="32"/>
          <w:lang w:val="en-US" w:eastAsia="zh-CN"/>
        </w:rPr>
        <w:t>市本级专项经费的使用，使安全监管执法和信息化水平得到提升；政府、部门、企业责任进一步得到落实；基层应急管理部门基础工作进一步加强。</w:t>
      </w:r>
    </w:p>
    <w:p w14:paraId="4F0FB718">
      <w:pPr>
        <w:shd w:val="clear" w:color="auto" w:fill="auto"/>
        <w:autoSpaceDN/>
        <w:spacing w:line="580" w:lineRule="exact"/>
        <w:ind w:firstLine="640" w:firstLineChars="200"/>
        <w:rPr>
          <w:rFonts w:hint="default" w:ascii="仿宋_GB2312" w:hAnsi="仿宋" w:eastAsia="仿宋_GB2312" w:cs="Times New Roman"/>
          <w:kern w:val="2"/>
          <w:sz w:val="32"/>
          <w:szCs w:val="32"/>
          <w:lang w:val="en-US" w:eastAsia="zh-CN"/>
        </w:rPr>
      </w:pPr>
      <w:r>
        <w:rPr>
          <w:rFonts w:hint="eastAsia" w:ascii="仿宋_GB2312" w:hAnsi="仿宋" w:eastAsia="仿宋_GB2312" w:cs="Times New Roman"/>
          <w:kern w:val="2"/>
          <w:sz w:val="32"/>
          <w:szCs w:val="32"/>
          <w:lang w:val="en-US" w:eastAsia="zh-CN"/>
        </w:rPr>
        <w:t>3.满意度指标完成情况分析</w:t>
      </w:r>
    </w:p>
    <w:p w14:paraId="4C6BE842">
      <w:pPr>
        <w:shd w:val="clear" w:color="auto" w:fill="auto"/>
        <w:autoSpaceDN/>
        <w:spacing w:line="580" w:lineRule="exact"/>
        <w:ind w:firstLine="640" w:firstLineChars="200"/>
        <w:rPr>
          <w:rFonts w:hint="eastAsia" w:ascii="仿宋_GB2312" w:hAnsi="仿宋" w:eastAsia="仿宋_GB2312" w:cs="Times New Roman"/>
          <w:kern w:val="2"/>
          <w:sz w:val="32"/>
          <w:szCs w:val="32"/>
          <w:lang w:val="en-US" w:eastAsia="zh-CN"/>
        </w:rPr>
      </w:pPr>
      <w:r>
        <w:rPr>
          <w:rFonts w:hint="eastAsia" w:ascii="仿宋_GB2312" w:hAnsi="仿宋" w:eastAsia="仿宋_GB2312" w:cs="Times New Roman"/>
          <w:kern w:val="2"/>
          <w:sz w:val="32"/>
          <w:szCs w:val="32"/>
          <w:lang w:val="en-US" w:eastAsia="zh-CN"/>
        </w:rPr>
        <w:t>通过综治维稳以及安全生产满意度调查，全民安全意识大大提高，为全市经济和社会的全面、协调、可持续发展创造良好的安全生产环境，服务对象满意度95%以上。</w:t>
      </w:r>
    </w:p>
    <w:p w14:paraId="3A60367A">
      <w:pPr>
        <w:pStyle w:val="17"/>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14:paraId="02DA6F36">
      <w:pPr>
        <w:shd w:val="clear" w:color="auto" w:fill="auto"/>
        <w:autoSpaceDN/>
        <w:spacing w:line="580" w:lineRule="exact"/>
        <w:ind w:firstLine="640" w:firstLineChars="200"/>
        <w:rPr>
          <w:rFonts w:hint="eastAsia" w:ascii="仿宋_GB2312" w:hAnsi="仿宋" w:eastAsia="仿宋_GB2312" w:cs="Times New Roman"/>
          <w:kern w:val="2"/>
          <w:sz w:val="32"/>
          <w:szCs w:val="32"/>
          <w:lang w:val="en-US" w:eastAsia="zh-CN"/>
        </w:rPr>
      </w:pPr>
      <w:r>
        <w:rPr>
          <w:rFonts w:hint="eastAsia" w:ascii="仿宋_GB2312" w:hAnsi="仿宋" w:eastAsia="仿宋_GB2312" w:cs="Times New Roman"/>
          <w:kern w:val="2"/>
          <w:sz w:val="32"/>
          <w:szCs w:val="32"/>
          <w:lang w:val="en-US" w:eastAsia="zh-CN"/>
        </w:rPr>
        <w:t>1.预算编制不够科学。通过对全年绩效评价，发现在预算收支执行过程中还存在一些不合理合规的现象。目前，各单位的经费来源就是财政预算拨款，没有其他收费来源，单位在实际运转过程中，会有一些突发事情等不可预见因素，造成支出预算不精细。需</w:t>
      </w:r>
      <w:r>
        <w:rPr>
          <w:rFonts w:hint="eastAsia" w:ascii="仿宋_GB2312" w:hAnsi="仿宋" w:eastAsia="仿宋_GB2312" w:cs="Times New Roman"/>
          <w:kern w:val="2"/>
          <w:sz w:val="32"/>
          <w:szCs w:val="32"/>
          <w:lang w:val="zh-CN" w:eastAsia="zh-CN"/>
        </w:rPr>
        <w:t>进一步提高预算编制的科学性、合理性、严谨性和可控性。</w:t>
      </w:r>
    </w:p>
    <w:p w14:paraId="3F8A1019">
      <w:pPr>
        <w:shd w:val="clear" w:color="auto" w:fill="auto"/>
        <w:autoSpaceDN/>
        <w:spacing w:line="580" w:lineRule="exact"/>
        <w:ind w:firstLine="640" w:firstLineChars="200"/>
        <w:rPr>
          <w:rFonts w:hint="eastAsia" w:ascii="仿宋_GB2312" w:hAnsi="仿宋" w:eastAsia="仿宋_GB2312" w:cs="Times New Roman"/>
          <w:kern w:val="2"/>
          <w:sz w:val="32"/>
          <w:szCs w:val="32"/>
          <w:lang w:val="zh-CN" w:eastAsia="zh-CN"/>
        </w:rPr>
      </w:pPr>
      <w:r>
        <w:rPr>
          <w:rFonts w:hint="eastAsia" w:ascii="仿宋_GB2312" w:hAnsi="仿宋" w:eastAsia="仿宋_GB2312" w:cs="Times New Roman"/>
          <w:kern w:val="2"/>
          <w:sz w:val="32"/>
          <w:szCs w:val="32"/>
          <w:lang w:val="en-US" w:eastAsia="zh-CN"/>
        </w:rPr>
        <w:t>2.财务核算有待加强。会计核算中对支出功能分类不够科学，设计不太规范，在新的政府会计制度改革后，需进一步统一规范各单位财务核算和提高会计核算质量。</w:t>
      </w:r>
    </w:p>
    <w:p w14:paraId="20FF8DE4">
      <w:pPr>
        <w:autoSpaceDE/>
        <w:autoSpaceDN/>
        <w:adjustRightInd/>
        <w:spacing w:line="580" w:lineRule="exact"/>
        <w:ind w:firstLine="640" w:firstLineChars="200"/>
        <w:rPr>
          <w:rFonts w:hint="eastAsia" w:ascii="仿宋_GB2312" w:hAnsi="仿宋" w:eastAsia="仿宋_GB2312" w:cs="Times New Roman"/>
          <w:kern w:val="2"/>
          <w:sz w:val="32"/>
          <w:szCs w:val="32"/>
          <w:lang w:val="zh-CN" w:eastAsia="zh-CN"/>
        </w:rPr>
      </w:pPr>
      <w:r>
        <w:rPr>
          <w:rFonts w:hint="eastAsia" w:ascii="仿宋_GB2312" w:hAnsi="仿宋" w:eastAsia="仿宋_GB2312" w:cs="Times New Roman"/>
          <w:kern w:val="2"/>
          <w:sz w:val="32"/>
          <w:szCs w:val="32"/>
          <w:lang w:val="en-US" w:eastAsia="zh-CN"/>
        </w:rPr>
        <w:t>3.预算财务分析常态化。</w:t>
      </w:r>
      <w:r>
        <w:rPr>
          <w:rFonts w:hint="eastAsia" w:ascii="仿宋_GB2312" w:hAnsi="仿宋" w:eastAsia="仿宋_GB2312" w:cs="Times New Roman"/>
          <w:kern w:val="2"/>
          <w:sz w:val="32"/>
          <w:szCs w:val="32"/>
          <w:lang w:val="zh-CN" w:eastAsia="zh-CN"/>
        </w:rPr>
        <w:t>定期做好支出预算财务分析，及时对费用预算执行情况进行通报和预警，定期对下属预算单位的预算执行情况进行检查，做好部门整体支出预算评价工作。</w:t>
      </w:r>
    </w:p>
    <w:p w14:paraId="3AEE4F5E">
      <w:pPr>
        <w:autoSpaceDE/>
        <w:autoSpaceDN/>
        <w:adjustRightInd/>
        <w:spacing w:line="580" w:lineRule="exact"/>
        <w:ind w:firstLine="640" w:firstLineChars="200"/>
        <w:rPr>
          <w:rFonts w:hint="eastAsia" w:ascii="仿宋_GB2312" w:hAnsi="仿宋" w:eastAsia="仿宋_GB2312" w:cs="Times New Roman"/>
          <w:kern w:val="2"/>
          <w:sz w:val="32"/>
          <w:szCs w:val="32"/>
          <w:lang w:val="zh-CN" w:eastAsia="zh-CN"/>
        </w:rPr>
      </w:pPr>
      <w:r>
        <w:rPr>
          <w:rFonts w:hint="eastAsia" w:ascii="仿宋_GB2312" w:hAnsi="仿宋" w:eastAsia="仿宋_GB2312" w:cs="Times New Roman"/>
          <w:kern w:val="2"/>
          <w:sz w:val="32"/>
          <w:szCs w:val="32"/>
          <w:lang w:val="en-US" w:eastAsia="zh-CN"/>
        </w:rPr>
        <w:t>4.加强财务管理，严格财务审核，提高财务的精细化管理。</w:t>
      </w:r>
      <w:r>
        <w:rPr>
          <w:rFonts w:hint="eastAsia" w:ascii="仿宋_GB2312" w:hAnsi="仿宋" w:eastAsia="仿宋_GB2312" w:cs="Times New Roman"/>
          <w:kern w:val="2"/>
          <w:sz w:val="32"/>
          <w:szCs w:val="32"/>
          <w:lang w:val="zh-CN" w:eastAsia="zh-CN"/>
        </w:rPr>
        <w:t>在费用报账支付时，按照预算规定的费用项目和用途进行资金使用的审核，在预算金额内严格控制费用的支出，控制超支现象的发生；严格按照实际的费用支出内容进行财务核算，确保财务核算的真实、及时、准确、完整。</w:t>
      </w:r>
    </w:p>
    <w:p w14:paraId="16AA6FD7">
      <w:pPr>
        <w:spacing w:line="570" w:lineRule="exact"/>
        <w:ind w:firstLine="640" w:firstLineChars="200"/>
        <w:jc w:val="both"/>
        <w:rPr>
          <w:rFonts w:hint="eastAsia" w:ascii="仿宋_GB2312" w:hAnsi="仿宋" w:eastAsia="仿宋_GB2312" w:cs="Times New Roman"/>
          <w:kern w:val="2"/>
          <w:sz w:val="32"/>
          <w:szCs w:val="32"/>
          <w:lang w:val="en-US" w:eastAsia="zh-CN"/>
        </w:rPr>
      </w:pPr>
      <w:r>
        <w:rPr>
          <w:rFonts w:hint="eastAsia" w:ascii="仿宋_GB2312" w:hAnsi="仿宋" w:eastAsia="仿宋_GB2312" w:cs="Times New Roman"/>
          <w:kern w:val="2"/>
          <w:sz w:val="32"/>
          <w:szCs w:val="32"/>
          <w:lang w:val="en-US" w:eastAsia="zh-CN"/>
        </w:rPr>
        <w:t>5.严控“三公经费”。</w:t>
      </w:r>
      <w:r>
        <w:rPr>
          <w:rFonts w:hint="eastAsia" w:ascii="仿宋_GB2312" w:hAnsi="仿宋" w:eastAsia="仿宋_GB2312" w:cs="Times New Roman"/>
          <w:kern w:val="2"/>
          <w:sz w:val="32"/>
          <w:szCs w:val="32"/>
          <w:lang w:val="zh-CN" w:eastAsia="zh-CN"/>
        </w:rPr>
        <w:t>根据中央、省、市党政机关厉行节约工作的精神，进一步严控“三公”经费支出，严格控制规模和比例、审核审批流程，细化“三公”经费的管理。</w:t>
      </w:r>
    </w:p>
    <w:p w14:paraId="59808E7C">
      <w:pPr>
        <w:spacing w:line="570" w:lineRule="exact"/>
        <w:ind w:firstLine="640" w:firstLineChars="200"/>
        <w:rPr>
          <w:rFonts w:eastAsia="黑体"/>
          <w:sz w:val="32"/>
          <w:szCs w:val="32"/>
        </w:rPr>
      </w:pPr>
      <w:r>
        <w:rPr>
          <w:rFonts w:eastAsia="黑体"/>
          <w:sz w:val="32"/>
          <w:szCs w:val="32"/>
        </w:rPr>
        <w:t>八、下一步改进措施</w:t>
      </w:r>
    </w:p>
    <w:p w14:paraId="1536445A">
      <w:pPr>
        <w:spacing w:line="570" w:lineRule="exact"/>
        <w:ind w:firstLine="640" w:firstLineChars="200"/>
        <w:jc w:val="both"/>
        <w:rPr>
          <w:rFonts w:hint="eastAsia" w:ascii="Times New Roman" w:hAnsi="Times New Roman" w:eastAsia="仿宋_GB2312" w:cs="Times New Roman"/>
          <w:color w:val="000000"/>
          <w:sz w:val="32"/>
          <w:szCs w:val="32"/>
          <w:lang w:val="en-US" w:eastAsia="zh-CN"/>
        </w:rPr>
      </w:pPr>
      <w:bookmarkStart w:id="0" w:name="_Toc413785918"/>
      <w:r>
        <w:rPr>
          <w:rFonts w:hint="eastAsia" w:ascii="Times New Roman" w:hAnsi="Times New Roman" w:eastAsia="仿宋_GB2312" w:cs="Times New Roman"/>
          <w:color w:val="000000"/>
          <w:sz w:val="32"/>
          <w:szCs w:val="32"/>
          <w:lang w:val="en-US" w:eastAsia="zh-CN"/>
        </w:rPr>
        <w:t>1.要加强预算管理，严格执行《预算法》。</w:t>
      </w:r>
      <w:bookmarkEnd w:id="0"/>
    </w:p>
    <w:p w14:paraId="394989E4">
      <w:pPr>
        <w:spacing w:line="570" w:lineRule="exact"/>
        <w:ind w:firstLine="640" w:firstLineChars="200"/>
        <w:jc w:val="both"/>
        <w:rPr>
          <w:rFonts w:hint="eastAsia" w:ascii="Times New Roman" w:hAnsi="Times New Roman" w:eastAsia="仿宋_GB2312" w:cs="Times New Roman"/>
          <w:color w:val="000000"/>
          <w:sz w:val="32"/>
          <w:szCs w:val="32"/>
          <w:lang w:val="zh-CN" w:eastAsia="zh-CN"/>
        </w:rPr>
      </w:pPr>
      <w:r>
        <w:rPr>
          <w:rFonts w:hint="eastAsia" w:ascii="Times New Roman" w:hAnsi="Times New Roman" w:eastAsia="仿宋_GB2312" w:cs="Times New Roman"/>
          <w:color w:val="000000"/>
          <w:sz w:val="32"/>
          <w:szCs w:val="32"/>
          <w:lang w:val="zh-CN" w:eastAsia="zh-CN"/>
        </w:rPr>
        <w:t>在预算金额内严格控制费用的支出，控制超支现象的发生。在费用报账支付时，要严格审核，控制费用跨年度报账，确保费用核算的及时性和完整性；按照费用的实际使用用途进行资金支付和财务列报，严格按照行政事业单位会计制度进行财务核算。</w:t>
      </w:r>
    </w:p>
    <w:p w14:paraId="351D6DFE">
      <w:pPr>
        <w:spacing w:line="570" w:lineRule="exact"/>
        <w:ind w:firstLine="640" w:firstLineChars="200"/>
        <w:jc w:val="both"/>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2.规范财务处理,提高财务信息质量。</w:t>
      </w:r>
    </w:p>
    <w:p w14:paraId="7EF10E51">
      <w:pPr>
        <w:spacing w:line="570" w:lineRule="exact"/>
        <w:ind w:firstLine="640" w:firstLineChars="200"/>
        <w:rPr>
          <w:rFonts w:eastAsia="黑体"/>
          <w:sz w:val="32"/>
          <w:szCs w:val="32"/>
        </w:rPr>
      </w:pPr>
      <w:r>
        <w:rPr>
          <w:rFonts w:hint="eastAsia" w:ascii="Times New Roman" w:hAnsi="Times New Roman" w:eastAsia="仿宋_GB2312" w:cs="Times New Roman"/>
          <w:color w:val="000000"/>
          <w:sz w:val="32"/>
          <w:szCs w:val="32"/>
          <w:lang w:val="zh-CN" w:eastAsia="zh-CN"/>
        </w:rPr>
        <w:t>严格按照《会计法》、《行政单位会计制度》、《行政单位财务规则》等规定执行财务核算，并结合实际情况、完整、准确地披露相关信息，做到决算与预算衔接。</w:t>
      </w:r>
    </w:p>
    <w:p w14:paraId="3D2EABB1">
      <w:pPr>
        <w:numPr>
          <w:ilvl w:val="0"/>
          <w:numId w:val="6"/>
        </w:numPr>
        <w:spacing w:line="570" w:lineRule="exact"/>
        <w:ind w:firstLine="640" w:firstLineChars="200"/>
        <w:rPr>
          <w:rFonts w:eastAsia="黑体"/>
          <w:sz w:val="32"/>
          <w:szCs w:val="32"/>
        </w:rPr>
      </w:pPr>
      <w:r>
        <w:rPr>
          <w:rFonts w:eastAsia="黑体"/>
          <w:sz w:val="32"/>
          <w:szCs w:val="32"/>
        </w:rPr>
        <w:t>部门整体支出绩效自评结果拟应用和公开情况</w:t>
      </w:r>
    </w:p>
    <w:p w14:paraId="02E41840">
      <w:pPr>
        <w:pageBreakBefore w:val="0"/>
        <w:kinsoku/>
        <w:wordWrap/>
        <w:overflowPunct/>
        <w:topLinePunct w:val="0"/>
        <w:bidi w:val="0"/>
        <w:adjustRightInd/>
        <w:snapToGrid/>
        <w:spacing w:line="540" w:lineRule="exact"/>
        <w:ind w:firstLine="600"/>
        <w:textAlignment w:val="auto"/>
        <w:rPr>
          <w:rFonts w:eastAsia="黑体"/>
          <w:sz w:val="32"/>
          <w:szCs w:val="32"/>
        </w:rPr>
      </w:pPr>
      <w:r>
        <w:rPr>
          <w:rFonts w:hint="eastAsia" w:ascii="仿宋_GB2312" w:hAnsi="仿宋" w:eastAsia="仿宋_GB2312" w:cs="Times New Roman"/>
          <w:kern w:val="2"/>
          <w:sz w:val="32"/>
          <w:szCs w:val="32"/>
          <w:lang w:val="en-US" w:eastAsia="zh-CN"/>
        </w:rPr>
        <w:t>我局将严格按照市财政局以及其他主管部门的要求，对项目绩效自评结果进行公开。各相关单位对照自评情况安排好下一步工作，确保后续工作稳妥顺利推进。</w:t>
      </w:r>
    </w:p>
    <w:p w14:paraId="64453540">
      <w:pPr>
        <w:numPr>
          <w:ilvl w:val="0"/>
          <w:numId w:val="6"/>
        </w:numPr>
        <w:spacing w:line="570" w:lineRule="exact"/>
        <w:ind w:left="0" w:leftChars="0" w:firstLine="640" w:firstLineChars="200"/>
        <w:rPr>
          <w:rFonts w:eastAsia="黑体"/>
          <w:sz w:val="32"/>
          <w:szCs w:val="32"/>
        </w:rPr>
      </w:pPr>
      <w:r>
        <w:rPr>
          <w:rFonts w:eastAsia="黑体"/>
          <w:sz w:val="32"/>
          <w:szCs w:val="32"/>
        </w:rPr>
        <w:t>其他需要说明的情况</w:t>
      </w:r>
    </w:p>
    <w:p w14:paraId="099F71CD">
      <w:pPr>
        <w:spacing w:line="57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lang w:val="en-US" w:eastAsia="zh-CN"/>
        </w:rPr>
        <w:t>无。</w:t>
      </w:r>
    </w:p>
    <w:p w14:paraId="435E946E">
      <w:pPr>
        <w:rPr>
          <w:rFonts w:hint="default" w:ascii="Times New Roman" w:hAnsi="Times New Roman" w:eastAsia="仿宋_GB2312" w:cs="Times New Roman"/>
          <w:b/>
          <w:bCs/>
          <w:color w:val="FF0000"/>
          <w:sz w:val="40"/>
          <w:szCs w:val="40"/>
          <w:lang w:val="en-US" w:eastAsia="zh-CN"/>
        </w:rPr>
      </w:pPr>
    </w:p>
    <w:sectPr>
      <w:footerReference r:id="rId7"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06FD6">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B6396">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E3AA5">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B20C2">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FEB17F">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EFEB17F">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9AF18">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F68671">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7F68671">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30E78D"/>
    <w:multiLevelType w:val="singleLevel"/>
    <w:tmpl w:val="A130E78D"/>
    <w:lvl w:ilvl="0" w:tentative="0">
      <w:start w:val="3"/>
      <w:numFmt w:val="chineseCounting"/>
      <w:suff w:val="nothing"/>
      <w:lvlText w:val="%1、"/>
      <w:lvlJc w:val="left"/>
      <w:rPr>
        <w:rFonts w:hint="eastAsia"/>
      </w:rPr>
    </w:lvl>
  </w:abstractNum>
  <w:abstractNum w:abstractNumId="1">
    <w:nsid w:val="A36F9B15"/>
    <w:multiLevelType w:val="singleLevel"/>
    <w:tmpl w:val="A36F9B15"/>
    <w:lvl w:ilvl="0" w:tentative="0">
      <w:start w:val="2"/>
      <w:numFmt w:val="chineseCounting"/>
      <w:suff w:val="nothing"/>
      <w:lvlText w:val="（%1）"/>
      <w:lvlJc w:val="left"/>
      <w:rPr>
        <w:rFonts w:hint="eastAsia"/>
      </w:rPr>
    </w:lvl>
  </w:abstractNum>
  <w:abstractNum w:abstractNumId="2">
    <w:nsid w:val="B5608A2A"/>
    <w:multiLevelType w:val="singleLevel"/>
    <w:tmpl w:val="B5608A2A"/>
    <w:lvl w:ilvl="0" w:tentative="0">
      <w:start w:val="9"/>
      <w:numFmt w:val="chineseCounting"/>
      <w:suff w:val="nothing"/>
      <w:lvlText w:val="%1、"/>
      <w:lvlJc w:val="left"/>
      <w:rPr>
        <w:rFonts w:hint="eastAsia"/>
      </w:rPr>
    </w:lvl>
  </w:abstractNum>
  <w:abstractNum w:abstractNumId="3">
    <w:nsid w:val="CFDE4CF6"/>
    <w:multiLevelType w:val="singleLevel"/>
    <w:tmpl w:val="CFDE4CF6"/>
    <w:lvl w:ilvl="0" w:tentative="0">
      <w:start w:val="2"/>
      <w:numFmt w:val="chineseCounting"/>
      <w:suff w:val="space"/>
      <w:lvlText w:val="第%1部分"/>
      <w:lvlJc w:val="left"/>
      <w:rPr>
        <w:rFonts w:hint="eastAsia"/>
      </w:rPr>
    </w:lvl>
  </w:abstractNum>
  <w:abstractNum w:abstractNumId="4">
    <w:nsid w:val="F93E3BF4"/>
    <w:multiLevelType w:val="singleLevel"/>
    <w:tmpl w:val="F93E3BF4"/>
    <w:lvl w:ilvl="0" w:tentative="0">
      <w:start w:val="5"/>
      <w:numFmt w:val="chineseCounting"/>
      <w:suff w:val="nothing"/>
      <w:lvlText w:val="%1、"/>
      <w:lvlJc w:val="left"/>
      <w:rPr>
        <w:rFonts w:hint="eastAsia"/>
      </w:rPr>
    </w:lvl>
  </w:abstractNum>
  <w:abstractNum w:abstractNumId="5">
    <w:nsid w:val="5060712B"/>
    <w:multiLevelType w:val="singleLevel"/>
    <w:tmpl w:val="5060712B"/>
    <w:lvl w:ilvl="0" w:tentative="0">
      <w:start w:val="3"/>
      <w:numFmt w:val="decimal"/>
      <w:suff w:val="nothing"/>
      <w:lvlText w:val="%1．"/>
      <w:lvlJc w:val="left"/>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85B23"/>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810A7C"/>
    <w:rsid w:val="03720CB3"/>
    <w:rsid w:val="03791753"/>
    <w:rsid w:val="04661809"/>
    <w:rsid w:val="07F90C0F"/>
    <w:rsid w:val="08817DDB"/>
    <w:rsid w:val="09D27E0F"/>
    <w:rsid w:val="0A081A83"/>
    <w:rsid w:val="0B6B22C9"/>
    <w:rsid w:val="0B882E7B"/>
    <w:rsid w:val="0B907F82"/>
    <w:rsid w:val="0E680D42"/>
    <w:rsid w:val="0F29227F"/>
    <w:rsid w:val="0F5D63CD"/>
    <w:rsid w:val="110C3C07"/>
    <w:rsid w:val="137F2DB6"/>
    <w:rsid w:val="145E0C1D"/>
    <w:rsid w:val="14AD5701"/>
    <w:rsid w:val="15D078F9"/>
    <w:rsid w:val="16504596"/>
    <w:rsid w:val="17410382"/>
    <w:rsid w:val="17AC211B"/>
    <w:rsid w:val="17B15508"/>
    <w:rsid w:val="18E216F1"/>
    <w:rsid w:val="1D1F4CC2"/>
    <w:rsid w:val="1D97DEFF"/>
    <w:rsid w:val="1DFF72E5"/>
    <w:rsid w:val="1E0345E3"/>
    <w:rsid w:val="1ECD1D9F"/>
    <w:rsid w:val="1EFC6F07"/>
    <w:rsid w:val="1F3A7811"/>
    <w:rsid w:val="1FA616CA"/>
    <w:rsid w:val="1FDF0B72"/>
    <w:rsid w:val="20E71F9A"/>
    <w:rsid w:val="22961F73"/>
    <w:rsid w:val="22AD4512"/>
    <w:rsid w:val="231F6524"/>
    <w:rsid w:val="23283D24"/>
    <w:rsid w:val="249C309C"/>
    <w:rsid w:val="25C85E02"/>
    <w:rsid w:val="25C94D59"/>
    <w:rsid w:val="27B01338"/>
    <w:rsid w:val="27B30E28"/>
    <w:rsid w:val="28F61541"/>
    <w:rsid w:val="2E3F6F72"/>
    <w:rsid w:val="2E56075F"/>
    <w:rsid w:val="2E8B49D1"/>
    <w:rsid w:val="2F063F34"/>
    <w:rsid w:val="2FDF85B8"/>
    <w:rsid w:val="2FFFEE04"/>
    <w:rsid w:val="3025663B"/>
    <w:rsid w:val="31E542D4"/>
    <w:rsid w:val="324A2389"/>
    <w:rsid w:val="331A61FF"/>
    <w:rsid w:val="339C06F5"/>
    <w:rsid w:val="33B3D739"/>
    <w:rsid w:val="347100A1"/>
    <w:rsid w:val="34BD6E42"/>
    <w:rsid w:val="34DF85B0"/>
    <w:rsid w:val="34EB1C02"/>
    <w:rsid w:val="356B30C3"/>
    <w:rsid w:val="3597011C"/>
    <w:rsid w:val="35D412B7"/>
    <w:rsid w:val="36AE738B"/>
    <w:rsid w:val="36EC307B"/>
    <w:rsid w:val="39EE7A9E"/>
    <w:rsid w:val="3B4308AA"/>
    <w:rsid w:val="3B8F36BC"/>
    <w:rsid w:val="3B94450A"/>
    <w:rsid w:val="3EB56DDC"/>
    <w:rsid w:val="3FA8005B"/>
    <w:rsid w:val="40167D4F"/>
    <w:rsid w:val="4249440B"/>
    <w:rsid w:val="43A86F10"/>
    <w:rsid w:val="45E83F3B"/>
    <w:rsid w:val="46587091"/>
    <w:rsid w:val="4703102D"/>
    <w:rsid w:val="48757D08"/>
    <w:rsid w:val="49060960"/>
    <w:rsid w:val="491FF225"/>
    <w:rsid w:val="49D50983"/>
    <w:rsid w:val="4B0E1D4E"/>
    <w:rsid w:val="4B0E61F2"/>
    <w:rsid w:val="4B294DDA"/>
    <w:rsid w:val="4B8D4CE9"/>
    <w:rsid w:val="4CD55219"/>
    <w:rsid w:val="4E3E294A"/>
    <w:rsid w:val="4FB235F0"/>
    <w:rsid w:val="4FFD214C"/>
    <w:rsid w:val="512322CB"/>
    <w:rsid w:val="51271DBC"/>
    <w:rsid w:val="51836B80"/>
    <w:rsid w:val="524A3FB4"/>
    <w:rsid w:val="53030F63"/>
    <w:rsid w:val="541F4FCC"/>
    <w:rsid w:val="56250A5B"/>
    <w:rsid w:val="56A417B8"/>
    <w:rsid w:val="56EE0C86"/>
    <w:rsid w:val="5777D4F5"/>
    <w:rsid w:val="57790E97"/>
    <w:rsid w:val="58A5065D"/>
    <w:rsid w:val="593E47B4"/>
    <w:rsid w:val="59DD8326"/>
    <w:rsid w:val="5A121A60"/>
    <w:rsid w:val="5ADD173D"/>
    <w:rsid w:val="5BFB631F"/>
    <w:rsid w:val="5D822E60"/>
    <w:rsid w:val="5DB30B4D"/>
    <w:rsid w:val="5DEF592A"/>
    <w:rsid w:val="5EF84D97"/>
    <w:rsid w:val="5FC6BB1E"/>
    <w:rsid w:val="5FF720F1"/>
    <w:rsid w:val="60823939"/>
    <w:rsid w:val="61475B62"/>
    <w:rsid w:val="61E810F3"/>
    <w:rsid w:val="625B18C5"/>
    <w:rsid w:val="640F3AB9"/>
    <w:rsid w:val="6447641B"/>
    <w:rsid w:val="64C00105"/>
    <w:rsid w:val="66F11155"/>
    <w:rsid w:val="67FF5C0B"/>
    <w:rsid w:val="685E17AF"/>
    <w:rsid w:val="6ADB7A47"/>
    <w:rsid w:val="6B8A6D77"/>
    <w:rsid w:val="6BCF3EE5"/>
    <w:rsid w:val="6C987844"/>
    <w:rsid w:val="6E5B49FB"/>
    <w:rsid w:val="6EFC0924"/>
    <w:rsid w:val="6FB74722"/>
    <w:rsid w:val="6FCD36D6"/>
    <w:rsid w:val="6FEF8B7E"/>
    <w:rsid w:val="70310E45"/>
    <w:rsid w:val="7044521C"/>
    <w:rsid w:val="718A5D23"/>
    <w:rsid w:val="71A6591B"/>
    <w:rsid w:val="723502F6"/>
    <w:rsid w:val="72872262"/>
    <w:rsid w:val="72CA214F"/>
    <w:rsid w:val="72CE2E3F"/>
    <w:rsid w:val="7375373A"/>
    <w:rsid w:val="737D59BA"/>
    <w:rsid w:val="73A86B71"/>
    <w:rsid w:val="73AB0BFE"/>
    <w:rsid w:val="73DE5EB2"/>
    <w:rsid w:val="747B2914"/>
    <w:rsid w:val="75524DAA"/>
    <w:rsid w:val="757904DB"/>
    <w:rsid w:val="76796366"/>
    <w:rsid w:val="77C37683"/>
    <w:rsid w:val="77FB47DB"/>
    <w:rsid w:val="795409C4"/>
    <w:rsid w:val="79D19834"/>
    <w:rsid w:val="79FF515B"/>
    <w:rsid w:val="7AB20098"/>
    <w:rsid w:val="7B3867F0"/>
    <w:rsid w:val="7C464660"/>
    <w:rsid w:val="7C60276B"/>
    <w:rsid w:val="7E9E1962"/>
    <w:rsid w:val="7E9F11B4"/>
    <w:rsid w:val="7EB3024D"/>
    <w:rsid w:val="7F37EC1E"/>
    <w:rsid w:val="7F7DCD9D"/>
    <w:rsid w:val="7F970A6F"/>
    <w:rsid w:val="7FC1FFF3"/>
    <w:rsid w:val="7FC69637"/>
    <w:rsid w:val="7FDF8620"/>
    <w:rsid w:val="7FE8C8F7"/>
    <w:rsid w:val="7FFB242F"/>
    <w:rsid w:val="7FFDB408"/>
    <w:rsid w:val="7FFE4EEB"/>
    <w:rsid w:val="95FB2B98"/>
    <w:rsid w:val="9A639BC2"/>
    <w:rsid w:val="9FF7D786"/>
    <w:rsid w:val="ABBFB23D"/>
    <w:rsid w:val="BF6D9A0A"/>
    <w:rsid w:val="C3B4DA5A"/>
    <w:rsid w:val="CBFF70E0"/>
    <w:rsid w:val="CFF50B82"/>
    <w:rsid w:val="CFFFAD89"/>
    <w:rsid w:val="DB7BD518"/>
    <w:rsid w:val="DFFE359E"/>
    <w:rsid w:val="DFFE4FFD"/>
    <w:rsid w:val="EEABED75"/>
    <w:rsid w:val="EFDE7D2C"/>
    <w:rsid w:val="F56FDF51"/>
    <w:rsid w:val="F6B69F17"/>
    <w:rsid w:val="F77F1D61"/>
    <w:rsid w:val="F7FED3A9"/>
    <w:rsid w:val="F8C9DB26"/>
    <w:rsid w:val="F97E8EAE"/>
    <w:rsid w:val="FB36E1A6"/>
    <w:rsid w:val="FB3BE134"/>
    <w:rsid w:val="FC278370"/>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unhideWhenUsed/>
    <w:qFormat/>
    <w:uiPriority w:val="99"/>
    <w:pPr>
      <w:suppressAutoHyphens/>
      <w:ind w:left="1680"/>
    </w:pPr>
    <w:rPr>
      <w:szCs w:val="20"/>
    </w:rPr>
  </w:style>
  <w:style w:type="paragraph" w:styleId="3">
    <w:name w:val="Body Text"/>
    <w:basedOn w:val="1"/>
    <w:next w:val="2"/>
    <w:qFormat/>
    <w:uiPriority w:val="0"/>
    <w:pPr>
      <w:widowControl/>
      <w:spacing w:before="100" w:beforeAutospacing="1" w:after="100" w:afterAutospacing="1"/>
      <w:jc w:val="left"/>
    </w:pPr>
    <w:rPr>
      <w:rFonts w:ascii="宋体" w:hAnsi="宋体" w:eastAsia="宋体" w:cs="宋体"/>
      <w:kern w:val="0"/>
      <w:sz w:val="24"/>
      <w:szCs w:val="24"/>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Body Text 2"/>
    <w:qFormat/>
    <w:uiPriority w:val="0"/>
    <w:pPr>
      <w:widowControl w:val="0"/>
      <w:spacing w:after="120" w:afterAutospacing="0" w:line="480" w:lineRule="auto"/>
      <w:jc w:val="both"/>
    </w:pPr>
    <w:rPr>
      <w:rFonts w:ascii="Calibri" w:hAnsi="Calibri" w:eastAsia="宋体" w:cs="Arial"/>
      <w:kern w:val="2"/>
      <w:sz w:val="21"/>
      <w:szCs w:val="24"/>
      <w:lang w:val="en-US" w:eastAsia="zh-CN" w:bidi="ar-SA"/>
    </w:rPr>
  </w:style>
  <w:style w:type="character" w:styleId="13">
    <w:name w:val="Strong"/>
    <w:qFormat/>
    <w:uiPriority w:val="0"/>
    <w:rPr>
      <w:b/>
      <w:bCs/>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6"/>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 w:type="paragraph" w:customStyle="1" w:styleId="22">
    <w:name w:val="正文-公1"/>
    <w:basedOn w:val="23"/>
    <w:next w:val="1"/>
    <w:qFormat/>
    <w:uiPriority w:val="0"/>
    <w:pPr>
      <w:ind w:firstLine="200" w:firstLineChars="200"/>
    </w:pPr>
  </w:style>
  <w:style w:type="paragraph" w:customStyle="1" w:styleId="2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2"/>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13162</Words>
  <Characters>14095</Characters>
  <Lines>69</Lines>
  <Paragraphs>19</Paragraphs>
  <TotalTime>5</TotalTime>
  <ScaleCrop>false</ScaleCrop>
  <LinksUpToDate>false</LinksUpToDate>
  <CharactersWithSpaces>14128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联想</cp:lastModifiedBy>
  <cp:lastPrinted>2024-08-10T10:20:00Z</cp:lastPrinted>
  <dcterms:modified xsi:type="dcterms:W3CDTF">2026-09-29T08:26:01Z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E7D1DB806E284AD2B00E3D1DA2ACE71E_13</vt:lpwstr>
  </property>
  <property fmtid="{D5CDD505-2E9C-101B-9397-08002B2CF9AE}" pid="4" name="KSOTemplateDocerSaveRecord">
    <vt:lpwstr>eyJoZGlkIjoiNWZlMWY1NjQyYTg3NzFlMTk2NGRiYTU0Nzk4OGM5ZjMiLCJ1c2VySWQiOiIzNDIyODExNzgifQ==</vt:lpwstr>
  </property>
</Properties>
</file>