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DF559">
      <w:pPr>
        <w:pStyle w:val="15"/>
        <w:jc w:val="center"/>
        <w:rPr>
          <w:rFonts w:ascii="Times New Roman" w:hAnsi="Times New Roman" w:cs="Times New Roman"/>
          <w:sz w:val="56"/>
          <w:szCs w:val="56"/>
        </w:rPr>
      </w:pPr>
    </w:p>
    <w:p w14:paraId="710D104F">
      <w:pPr>
        <w:pStyle w:val="15"/>
        <w:jc w:val="center"/>
        <w:rPr>
          <w:rFonts w:ascii="Times New Roman" w:hAnsi="Times New Roman" w:cs="Times New Roman"/>
          <w:sz w:val="84"/>
          <w:szCs w:val="84"/>
        </w:rPr>
      </w:pPr>
    </w:p>
    <w:p w14:paraId="72362356">
      <w:pPr>
        <w:pStyle w:val="15"/>
        <w:jc w:val="center"/>
        <w:rPr>
          <w:rFonts w:ascii="Times New Roman" w:hAnsi="Times New Roman" w:cs="Times New Roman"/>
          <w:sz w:val="84"/>
          <w:szCs w:val="84"/>
        </w:rPr>
      </w:pPr>
    </w:p>
    <w:p w14:paraId="41DA0F1A">
      <w:pPr>
        <w:pStyle w:val="15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ascii="Times New Roman" w:hAnsi="Times New Roman" w:eastAsia="方正小标宋简体" w:cs="Times New Roman"/>
          <w:sz w:val="72"/>
          <w:szCs w:val="72"/>
        </w:rPr>
        <w:t>202</w:t>
      </w:r>
      <w:r>
        <w:rPr>
          <w:rFonts w:hint="default" w:ascii="Times New Roman" w:hAnsi="Times New Roman" w:eastAsia="方正小标宋简体" w:cs="Times New Roman"/>
          <w:sz w:val="72"/>
          <w:szCs w:val="72"/>
          <w:lang w:val="en-US"/>
        </w:rPr>
        <w:t>5</w:t>
      </w:r>
      <w:r>
        <w:rPr>
          <w:rFonts w:ascii="Times New Roman" w:hAnsi="Times New Roman" w:eastAsia="方正小标宋简体" w:cs="Times New Roman"/>
          <w:sz w:val="72"/>
          <w:szCs w:val="72"/>
        </w:rPr>
        <w:t>年度</w:t>
      </w:r>
    </w:p>
    <w:p w14:paraId="5B31F2F4">
      <w:pPr>
        <w:pStyle w:val="15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hint="eastAsia" w:ascii="Times New Roman" w:hAnsi="Times New Roman" w:eastAsia="方正小标宋简体" w:cs="Times New Roman"/>
          <w:w w:val="85"/>
          <w:sz w:val="72"/>
          <w:szCs w:val="72"/>
        </w:rPr>
        <w:t>永州市市场监督管理局金洞分局</w:t>
      </w:r>
      <w:r>
        <w:rPr>
          <w:rFonts w:ascii="Times New Roman" w:hAnsi="Times New Roman" w:eastAsia="方正小标宋简体" w:cs="Times New Roman"/>
          <w:sz w:val="72"/>
          <w:szCs w:val="72"/>
        </w:rPr>
        <w:t>部门决算</w:t>
      </w:r>
    </w:p>
    <w:p w14:paraId="789927B8">
      <w:pPr>
        <w:pStyle w:val="15"/>
        <w:jc w:val="both"/>
        <w:rPr>
          <w:rFonts w:ascii="Times New Roman" w:hAnsi="Times New Roman" w:cs="Times New Roman"/>
          <w:sz w:val="56"/>
          <w:szCs w:val="56"/>
        </w:rPr>
      </w:pPr>
    </w:p>
    <w:p w14:paraId="6795F17D">
      <w:pPr>
        <w:pStyle w:val="15"/>
        <w:rPr>
          <w:rFonts w:ascii="Times New Roman" w:hAnsi="Times New Roman" w:cs="Times New Roman"/>
          <w:sz w:val="56"/>
          <w:szCs w:val="56"/>
        </w:rPr>
      </w:pPr>
    </w:p>
    <w:p w14:paraId="29A9DE62">
      <w:pPr>
        <w:pStyle w:val="15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  <w:sectPr>
          <w:footerReference r:id="rId3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58CA1B65">
      <w:pPr>
        <w:pStyle w:val="15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0324C0C5">
      <w:pPr>
        <w:pStyle w:val="15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ascii="Times New Roman" w:hAnsi="Times New Roman" w:cs="Times New Roman"/>
          <w:bCs/>
          <w:sz w:val="36"/>
          <w:szCs w:val="28"/>
        </w:rPr>
        <w:t>目  录</w:t>
      </w:r>
    </w:p>
    <w:p w14:paraId="12968735">
      <w:pPr>
        <w:pStyle w:val="15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7B620BAC">
      <w:pPr>
        <w:pStyle w:val="15"/>
        <w:spacing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第一部分  </w:t>
      </w:r>
      <w:r>
        <w:rPr>
          <w:rFonts w:hint="eastAsia" w:ascii="Times New Roman" w:hAnsi="Times New Roman" w:cs="Times New Roman"/>
          <w:bCs/>
          <w:sz w:val="32"/>
          <w:szCs w:val="32"/>
        </w:rPr>
        <w:t>永州市市场监督管理局金洞分局</w:t>
      </w:r>
      <w:r>
        <w:rPr>
          <w:rFonts w:ascii="Times New Roman" w:hAnsi="Times New Roman" w:cs="Times New Roman"/>
          <w:bCs/>
          <w:sz w:val="32"/>
          <w:szCs w:val="32"/>
        </w:rPr>
        <w:t>概况</w:t>
      </w:r>
    </w:p>
    <w:p w14:paraId="7419A095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一、部门职责</w:t>
      </w:r>
    </w:p>
    <w:p w14:paraId="2076B118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二、机构设置及决算单位构成</w:t>
      </w:r>
    </w:p>
    <w:p w14:paraId="4F8DC24E">
      <w:pPr>
        <w:pStyle w:val="15"/>
        <w:spacing w:before="156" w:beforeLines="50" w:after="156" w:afterLines="50" w:line="600" w:lineRule="exact"/>
        <w:rPr>
          <w:rFonts w:hint="eastAsia" w:ascii="Times New Roman" w:hAnsi="Times New Roman" w:eastAsia="黑体" w:cs="Times New Roman"/>
          <w:b w:val="0"/>
          <w:bCs/>
          <w:color w:val="FF0000"/>
          <w:sz w:val="24"/>
          <w:szCs w:val="24"/>
          <w:lang w:eastAsia="zh-CN"/>
        </w:rPr>
      </w:pPr>
      <w:r>
        <w:rPr>
          <w:rFonts w:ascii="Times New Roman" w:hAnsi="Times New Roman" w:cs="Times New Roman"/>
          <w:bCs/>
          <w:sz w:val="32"/>
          <w:szCs w:val="32"/>
        </w:rPr>
        <w:t>第二部分 部门决算表</w:t>
      </w:r>
    </w:p>
    <w:p w14:paraId="55896B4D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一、收入支出决算总表</w:t>
      </w:r>
    </w:p>
    <w:p w14:paraId="40E6D908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二、收入决算表</w:t>
      </w:r>
    </w:p>
    <w:p w14:paraId="0BD4F1CB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三、支出决算表</w:t>
      </w:r>
    </w:p>
    <w:p w14:paraId="1B3946F8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四、财政拨款收入支出决算总表</w:t>
      </w:r>
    </w:p>
    <w:p w14:paraId="73C000E6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五、一般公共预算财政拨款支出决算表</w:t>
      </w:r>
    </w:p>
    <w:p w14:paraId="79AC68C4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六、一般公共预算财政拨款基本支出决算明细表</w:t>
      </w:r>
    </w:p>
    <w:p w14:paraId="43517193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七、政府性基金预算财政拨款收入支出决算表</w:t>
      </w:r>
    </w:p>
    <w:p w14:paraId="7DF85A37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八、国有资本经营预算财政拨款支出决算表</w:t>
      </w:r>
    </w:p>
    <w:p w14:paraId="4175947B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九、财政拨款“三公”经费支出决算表</w:t>
      </w:r>
    </w:p>
    <w:p w14:paraId="5A8BC5A5">
      <w:pPr>
        <w:pStyle w:val="15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第三部分 部门决算情况说明</w:t>
      </w:r>
    </w:p>
    <w:p w14:paraId="6F240F2E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一、收入支出决算总体情况说明</w:t>
      </w:r>
    </w:p>
    <w:p w14:paraId="7C36D1D5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二、收入决算情况说明</w:t>
      </w:r>
    </w:p>
    <w:p w14:paraId="028909AC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三、支出决算情况说明</w:t>
      </w:r>
    </w:p>
    <w:p w14:paraId="75C395A6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四、财政拨款收入支出决算总体情况说明</w:t>
      </w:r>
    </w:p>
    <w:p w14:paraId="7C6F141A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五、一般公共预算财政拨款支出决算情况说明</w:t>
      </w:r>
    </w:p>
    <w:p w14:paraId="4BE4990D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sectPr>
          <w:footerReference r:id="rId4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4A3B1380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六、一般公共预算财政拨款基本支出决算情况说明</w:t>
      </w:r>
    </w:p>
    <w:p w14:paraId="44B75754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七、财政拨款“三公”经费支出决算情况说明</w:t>
      </w:r>
    </w:p>
    <w:p w14:paraId="1FEBDB60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八、政府性基金预算收入支出决算情况</w:t>
      </w:r>
    </w:p>
    <w:p w14:paraId="7F099C8A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九、关于机关运行经费支出说明</w:t>
      </w:r>
    </w:p>
    <w:p w14:paraId="0FB3753C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十、一般性支出情况说明</w:t>
      </w:r>
    </w:p>
    <w:p w14:paraId="2E7E9FBC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十一、关于政府采购支出说明</w:t>
      </w:r>
    </w:p>
    <w:p w14:paraId="3A1AD60A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十二、关于国有资产占用情况说明</w:t>
      </w:r>
    </w:p>
    <w:p w14:paraId="04D4680F">
      <w:pPr>
        <w:pStyle w:val="15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十三、关于202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年度预算绩效管理情况的说明</w:t>
      </w:r>
    </w:p>
    <w:p w14:paraId="44D1F32D">
      <w:pPr>
        <w:pStyle w:val="15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第四部分 名词解释</w:t>
      </w:r>
    </w:p>
    <w:p w14:paraId="67921E0B">
      <w:pPr>
        <w:pStyle w:val="15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第五部分 附件</w:t>
      </w:r>
    </w:p>
    <w:p w14:paraId="51926F98">
      <w:pPr>
        <w:pStyle w:val="15"/>
        <w:spacing w:line="600" w:lineRule="exact"/>
        <w:rPr>
          <w:rFonts w:ascii="Times New Roman" w:hAnsi="Times New Roman" w:cs="Times New Roman"/>
          <w:bCs/>
          <w:sz w:val="28"/>
          <w:szCs w:val="28"/>
        </w:rPr>
      </w:pPr>
    </w:p>
    <w:p w14:paraId="0E1BB970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D89F710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8F030E5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698C9C9">
      <w:pPr>
        <w:pStyle w:val="10"/>
        <w:rPr>
          <w:rFonts w:ascii="Times New Roman" w:hAnsi="Times New Roman" w:cs="Times New Roman"/>
        </w:rPr>
        <w:sectPr>
          <w:footerReference r:id="rId5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4C424103">
      <w:pPr>
        <w:rPr>
          <w:rFonts w:ascii="Times New Roman" w:hAnsi="Times New Roman" w:eastAsia="方正小标宋_GBK" w:cs="Times New Roman"/>
          <w:sz w:val="72"/>
          <w:szCs w:val="72"/>
        </w:rPr>
      </w:pPr>
    </w:p>
    <w:p w14:paraId="08286F60">
      <w:pPr>
        <w:pStyle w:val="15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第一部分</w:t>
      </w:r>
    </w:p>
    <w:p w14:paraId="5B17EF54">
      <w:pPr>
        <w:pStyle w:val="15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永州市市场监督管理局金洞分局</w:t>
      </w:r>
      <w:r>
        <w:rPr>
          <w:rFonts w:ascii="Times New Roman" w:hAnsi="Times New Roman" w:eastAsia="方正小标宋_GBK" w:cs="Times New Roman"/>
          <w:sz w:val="52"/>
          <w:szCs w:val="52"/>
        </w:rPr>
        <w:t>概况</w:t>
      </w:r>
    </w:p>
    <w:p w14:paraId="51479A15">
      <w:pPr>
        <w:pStyle w:val="6"/>
        <w:ind w:left="0" w:leftChars="0" w:firstLine="0" w:firstLineChars="0"/>
        <w:rPr>
          <w:rFonts w:ascii="Times New Roman" w:hAnsi="Times New Roman" w:cs="Times New Roman"/>
        </w:rPr>
      </w:pPr>
    </w:p>
    <w:p w14:paraId="5B31E31E">
      <w:pPr>
        <w:pStyle w:val="16"/>
        <w:spacing w:line="600" w:lineRule="exact"/>
        <w:ind w:firstLine="0" w:firstLineChars="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部门职责</w:t>
      </w:r>
    </w:p>
    <w:p w14:paraId="50AC9B0D">
      <w:pPr>
        <w:spacing w:line="600" w:lineRule="exact"/>
        <w:ind w:firstLine="800" w:firstLineChars="25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负责永州市金洞管理区辖区内市场监督管理。贯彻执行国家和省、市、区有关市场监督管理的方针政策和法律法规，组织实施质量强区战略、 食品安全战略和知识产权战略,拟制并组织实施有关规划，规范和维护市场秩序，营造诚实守信、公平竞争的市场环境。</w:t>
      </w:r>
    </w:p>
    <w:p w14:paraId="47D2AFA9">
      <w:pPr>
        <w:spacing w:line="600" w:lineRule="exact"/>
        <w:ind w:firstLine="800" w:firstLineChars="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负责内资企业、农民专业合作社和从事经营活动的单位、个体工商户等市场主体的登记注册和监督管理工作。</w:t>
      </w:r>
    </w:p>
    <w:p w14:paraId="180D5B32">
      <w:pPr>
        <w:spacing w:line="600" w:lineRule="exact"/>
        <w:ind w:firstLine="800" w:firstLineChars="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负责权限内食品生产、流通和餐饮服务环节的行政许可。建立覆盖食品生产、流通、消费全过程的监督检查制度和隐患排查治理机制并组织实施，防范区域性、系统性食品安全风险。</w:t>
      </w:r>
    </w:p>
    <w:p w14:paraId="09C84251">
      <w:pPr>
        <w:spacing w:line="600" w:lineRule="exact"/>
        <w:ind w:firstLine="800" w:firstLineChars="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负责权限内药品、医疗器械经营环节的行政许可，职责范围内的药品、医疗器械和化妆品的质量管理，实施监督检查，依法查处药品、医疗器械、化妆品经营使用环节的违法行为。</w:t>
      </w:r>
    </w:p>
    <w:p w14:paraId="79E568AE">
      <w:pPr>
        <w:spacing w:line="600" w:lineRule="exact"/>
        <w:ind w:firstLine="800" w:firstLineChars="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权限内特种设备、计量器具的行政许可及备案工作。综合管理特种设备安全监察、监督工作，监督检查高耗能特种设备节能标准和锅炉环境保护标准的执行情况。按规定权限配合组织调查处理特种设备事故并进行统计分析。</w:t>
      </w:r>
    </w:p>
    <w:p w14:paraId="38967B8F">
      <w:pPr>
        <w:spacing w:line="600" w:lineRule="exact"/>
        <w:ind w:firstLine="800" w:firstLineChars="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五）管理产品质量安全风险监控、全区监督抽查工作，落实质量安全追溯制度。负责统一管理计量工作。推行法定计量单位和国家计量制度，依职责管理计量器具及量值传递和比对工作。规范、监督商品量和市场计量行为。</w:t>
      </w:r>
    </w:p>
    <w:p w14:paraId="5EC69207">
      <w:pPr>
        <w:spacing w:line="600" w:lineRule="exact"/>
        <w:ind w:firstLine="800" w:firstLineChars="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六）依法监督管理市场交易、网络商品交易及有关服务的行为。组织指导查处价格收费违法违规、不正当竞争、违法直销、传销、侵犯商标专利知识产权和制售假冒伪劣行为。指导广告业的发展，监督管理广告活动。指导依法查处无照生产经营和相关无证生产经营行为。</w:t>
      </w:r>
    </w:p>
    <w:p w14:paraId="029746F9">
      <w:pPr>
        <w:spacing w:line="600" w:lineRule="exact"/>
        <w:ind w:firstLine="800" w:firstLineChars="25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（七）落实严格保护商标、专利、原产地地理标志等相关工作，负责知识产权保护体系建设，组织指导商标、专利执法工作。</w:t>
      </w:r>
    </w:p>
    <w:p w14:paraId="2BA4E877">
      <w:pPr>
        <w:spacing w:line="600" w:lineRule="exact"/>
        <w:ind w:firstLine="800" w:firstLineChars="25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（八）负责组织开展服务领域消费维权工作，查处制售假冒伪劣等违法行为，指导消费者咨询、申诉、举报受理、处理和网络体系建设等工作，保护经营者、消费者合法权益。</w:t>
      </w:r>
    </w:p>
    <w:p w14:paraId="7EBCBBAB">
      <w:pPr>
        <w:spacing w:line="600" w:lineRule="exact"/>
        <w:ind w:firstLine="800" w:firstLineChars="25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九）完成区党委、管委及上级部门交办的其他任务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32A98D36">
      <w:pPr>
        <w:spacing w:line="600" w:lineRule="exact"/>
        <w:ind w:firstLine="800" w:firstLineChars="250"/>
        <w:jc w:val="left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二、机构设置及决算单位构成</w:t>
      </w:r>
    </w:p>
    <w:p w14:paraId="123A5E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Cs/>
          <w:color w:val="FF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（一）内设机构设置。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永州市市场监督管理局金洞分局内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设机构包括：</w:t>
      </w:r>
      <w:r>
        <w:rPr>
          <w:rFonts w:hint="eastAsia" w:ascii="仿宋_GB2312" w:hAnsi="仿宋_GB2312" w:eastAsia="仿宋_GB2312" w:cs="仿宋_GB2312"/>
          <w:sz w:val="32"/>
          <w:szCs w:val="32"/>
        </w:rPr>
        <w:t>综合办公室3人、食品药品监督管理股3人、质量安全监督管理股3人、市场交易和信用监督管理股3人、行政审批股2人。</w:t>
      </w:r>
    </w:p>
    <w:p w14:paraId="43021F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（二）决算单位构成。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永州市市场监督管理局金洞分局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年部门决算汇总公开单位构成包括：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永州市市场监督管理局金洞分局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本级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。</w:t>
      </w:r>
    </w:p>
    <w:p w14:paraId="02844BD9"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</w:p>
    <w:p w14:paraId="76EE2F11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720A391D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7121846A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685FD43F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3BE24533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4A9BE7D0">
      <w:pPr>
        <w:pStyle w:val="10"/>
        <w:rPr>
          <w:rFonts w:ascii="Times New Roman" w:hAnsi="Times New Roman" w:cs="Times New Roman"/>
        </w:rPr>
      </w:pPr>
    </w:p>
    <w:p w14:paraId="2F4A90BA">
      <w:pPr>
        <w:pStyle w:val="6"/>
        <w:sectPr>
          <w:footerReference r:id="rId6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449DDE77">
      <w:pPr>
        <w:pStyle w:val="15"/>
        <w:numPr>
          <w:ilvl w:val="0"/>
          <w:numId w:val="0"/>
        </w:numPr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2701445">
      <w:pPr>
        <w:pStyle w:val="15"/>
        <w:numPr>
          <w:ilvl w:val="0"/>
          <w:numId w:val="0"/>
        </w:numPr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05E4210">
      <w:pPr>
        <w:pStyle w:val="15"/>
        <w:numPr>
          <w:ilvl w:val="0"/>
          <w:numId w:val="1"/>
        </w:numPr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C518531">
      <w:pPr>
        <w:pStyle w:val="15"/>
        <w:numPr>
          <w:ilvl w:val="0"/>
          <w:numId w:val="0"/>
        </w:numPr>
        <w:ind w:firstLine="2860" w:firstLineChars="550"/>
        <w:jc w:val="both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部门决算表</w:t>
      </w:r>
    </w:p>
    <w:p w14:paraId="25C109AD">
      <w:pPr>
        <w:pStyle w:val="15"/>
        <w:numPr>
          <w:ilvl w:val="0"/>
          <w:numId w:val="0"/>
        </w:numPr>
        <w:ind w:firstLine="2860" w:firstLineChars="550"/>
        <w:jc w:val="both"/>
        <w:rPr>
          <w:rFonts w:ascii="Times New Roman" w:hAnsi="Times New Roman" w:eastAsia="方正小标宋_GBK" w:cs="Times New Roman"/>
          <w:sz w:val="52"/>
          <w:szCs w:val="52"/>
        </w:rPr>
      </w:pPr>
    </w:p>
    <w:p w14:paraId="0E125145">
      <w:pPr>
        <w:widowControl/>
        <w:spacing w:line="600" w:lineRule="exact"/>
        <w:rPr>
          <w:rFonts w:ascii="Times New Roman" w:hAnsi="Times New Roman" w:eastAsia="方正小标宋_GBK" w:cs="Times New Roman"/>
          <w:sz w:val="70"/>
          <w:szCs w:val="70"/>
        </w:rPr>
      </w:pPr>
      <w:r>
        <w:rPr>
          <w:rFonts w:hint="eastAsia" w:ascii="Times New Roman" w:hAnsi="Times New Roman" w:eastAsia="黑体" w:cs="Times New Roman"/>
          <w:bCs/>
          <w:kern w:val="0"/>
          <w:sz w:val="44"/>
          <w:szCs w:val="44"/>
          <w:lang w:val="en-US" w:eastAsia="zh-CN"/>
        </w:rPr>
        <w:t>详见《附件1：202</w:t>
      </w:r>
      <w:r>
        <w:rPr>
          <w:rFonts w:hint="default" w:ascii="Times New Roman" w:hAnsi="Times New Roman" w:eastAsia="黑体" w:cs="Times New Roman"/>
          <w:bCs/>
          <w:kern w:val="0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黑体" w:cs="Times New Roman"/>
          <w:bCs/>
          <w:kern w:val="0"/>
          <w:sz w:val="44"/>
          <w:szCs w:val="44"/>
          <w:lang w:val="en-US" w:eastAsia="zh-CN"/>
        </w:rPr>
        <w:t>年度部门决算公开表》</w:t>
      </w:r>
    </w:p>
    <w:p w14:paraId="5335F959">
      <w:pP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br w:type="page"/>
      </w:r>
    </w:p>
    <w:p w14:paraId="20D4F46A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</w:p>
    <w:p w14:paraId="47D6D594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731054D7">
      <w:pPr>
        <w:pStyle w:val="15"/>
        <w:jc w:val="both"/>
        <w:rPr>
          <w:rFonts w:ascii="Times New Roman" w:hAnsi="Times New Roman" w:eastAsia="方正小标宋_GBK" w:cs="Times New Roman"/>
          <w:sz w:val="72"/>
          <w:szCs w:val="72"/>
        </w:rPr>
      </w:pPr>
    </w:p>
    <w:p w14:paraId="5A69ECB1">
      <w:pPr>
        <w:pStyle w:val="15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第三部分</w:t>
      </w:r>
    </w:p>
    <w:p w14:paraId="45567F33">
      <w:pPr>
        <w:pStyle w:val="15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202</w:t>
      </w:r>
      <w:r>
        <w:rPr>
          <w:rFonts w:hint="default" w:ascii="Times New Roman" w:hAnsi="Times New Roman" w:eastAsia="方正小标宋_GBK" w:cs="Times New Roman"/>
          <w:sz w:val="52"/>
          <w:szCs w:val="52"/>
          <w:lang w:val="en-US"/>
        </w:rPr>
        <w:t>5</w:t>
      </w:r>
      <w:r>
        <w:rPr>
          <w:rFonts w:ascii="Times New Roman" w:hAnsi="Times New Roman" w:eastAsia="方正小标宋_GBK" w:cs="Times New Roman"/>
          <w:sz w:val="52"/>
          <w:szCs w:val="52"/>
        </w:rPr>
        <w:t>年度部门决算情况说明</w:t>
      </w:r>
    </w:p>
    <w:p w14:paraId="02EDE179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70"/>
          <w:szCs w:val="70"/>
        </w:rPr>
        <w:br w:type="page"/>
      </w:r>
    </w:p>
    <w:p w14:paraId="6E284886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一、收入支出决算总体情况说明</w:t>
      </w:r>
    </w:p>
    <w:p w14:paraId="6431B7FE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25</w:t>
      </w:r>
      <w:r>
        <w:rPr>
          <w:rFonts w:ascii="Times New Roman" w:hAnsi="Times New Roman" w:eastAsia="仿宋_GB2312" w:cs="Times New Roman"/>
          <w:sz w:val="32"/>
          <w:szCs w:val="32"/>
        </w:rPr>
        <w:t>年度收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入</w:t>
      </w:r>
      <w:r>
        <w:rPr>
          <w:rFonts w:ascii="Times New Roman" w:hAnsi="Times New Roman" w:eastAsia="仿宋_GB2312" w:cs="Times New Roman"/>
          <w:sz w:val="32"/>
          <w:szCs w:val="32"/>
        </w:rPr>
        <w:t>总计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万元。与上年相比，增加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67.54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32.22</w:t>
      </w:r>
      <w:r>
        <w:rPr>
          <w:rFonts w:ascii="Times New Roman" w:hAnsi="Times New Roman" w:eastAsia="仿宋_GB2312" w:cs="Times New Roman"/>
          <w:sz w:val="32"/>
          <w:szCs w:val="32"/>
        </w:rPr>
        <w:t>%，主要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原因有两个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因机构改革，原经开区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工作人员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于2024年8月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划转至我单位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人员规模增加，相应经费增加；二是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单位部分人员正常晋级晋档，工资待遇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较上年有所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04B1444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</w:t>
      </w:r>
      <w:r>
        <w:rPr>
          <w:rFonts w:ascii="Times New Roman" w:hAnsi="Times New Roman" w:eastAsia="仿宋_GB2312" w:cs="Times New Roman"/>
          <w:sz w:val="32"/>
          <w:szCs w:val="32"/>
        </w:rPr>
        <w:t>总计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万元。与上年相比，增加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67.54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32.22</w:t>
      </w:r>
      <w:r>
        <w:rPr>
          <w:rFonts w:ascii="Times New Roman" w:hAnsi="Times New Roman" w:eastAsia="仿宋_GB2312" w:cs="Times New Roman"/>
          <w:sz w:val="32"/>
          <w:szCs w:val="32"/>
        </w:rPr>
        <w:t>%，主要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原因有两个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因机构改革，原经开区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工作人员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于2024年8月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划转至我单位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人员规模增加，相应经费增加；二是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单位部分人员正常晋级晋档，工资待遇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较上年有所增加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A9EFFA8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二、收入决算情况说明</w:t>
      </w:r>
    </w:p>
    <w:p w14:paraId="4CFF473C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年度收入合计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万元，其中：财政拨款收入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%；上级补助收入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%；事业收入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%；经营收入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%；附属单位上缴收入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%；其他收入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555E377A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三、支出决算情况说明</w:t>
      </w:r>
    </w:p>
    <w:p w14:paraId="16BC1527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年度支出合计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262.07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94.55</w:t>
      </w:r>
      <w:r>
        <w:rPr>
          <w:rFonts w:ascii="Times New Roman" w:hAnsi="Times New Roman" w:eastAsia="仿宋_GB2312" w:cs="Times New Roman"/>
          <w:sz w:val="32"/>
          <w:szCs w:val="32"/>
        </w:rPr>
        <w:t>%；项目支出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15.12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5.45</w:t>
      </w:r>
      <w:r>
        <w:rPr>
          <w:rFonts w:ascii="Times New Roman" w:hAnsi="Times New Roman" w:eastAsia="仿宋_GB2312" w:cs="Times New Roman"/>
          <w:sz w:val="32"/>
          <w:szCs w:val="32"/>
        </w:rPr>
        <w:t>%；上缴上级支出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%；经营支出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%；对附属单位补助支出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7DB90CEC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四、财政拨款收入支出决算总体情况说明</w:t>
      </w:r>
    </w:p>
    <w:p w14:paraId="160A890C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收入</w:t>
      </w:r>
      <w:r>
        <w:rPr>
          <w:rFonts w:ascii="Times New Roman" w:hAnsi="Times New Roman" w:eastAsia="仿宋_GB2312" w:cs="Times New Roman"/>
          <w:sz w:val="32"/>
          <w:szCs w:val="32"/>
        </w:rPr>
        <w:t>总计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67.54</w:t>
      </w:r>
      <w:r>
        <w:rPr>
          <w:rFonts w:ascii="Times New Roman" w:hAnsi="Times New Roman" w:eastAsia="仿宋_GB2312" w:cs="Times New Roman"/>
          <w:sz w:val="32"/>
          <w:szCs w:val="32"/>
        </w:rPr>
        <w:t>万元,增长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32.22</w:t>
      </w:r>
      <w:r>
        <w:rPr>
          <w:rFonts w:ascii="Times New Roman" w:hAnsi="Times New Roman" w:eastAsia="仿宋_GB2312" w:cs="Times New Roman"/>
          <w:sz w:val="32"/>
          <w:szCs w:val="32"/>
        </w:rPr>
        <w:t>%，主要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原因有两个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因机构改革，原经开区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工作人员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于2024年8月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划转至我单位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人员规模增加，相应经费增加；二是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单位部分人员正常晋级晋档，工资待遇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较上年有所增加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F88D839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支出</w:t>
      </w:r>
      <w:r>
        <w:rPr>
          <w:rFonts w:ascii="Times New Roman" w:hAnsi="Times New Roman" w:eastAsia="仿宋_GB2312" w:cs="Times New Roman"/>
          <w:sz w:val="32"/>
          <w:szCs w:val="32"/>
        </w:rPr>
        <w:t>总计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67.54</w:t>
      </w:r>
      <w:r>
        <w:rPr>
          <w:rFonts w:ascii="Times New Roman" w:hAnsi="Times New Roman" w:eastAsia="仿宋_GB2312" w:cs="Times New Roman"/>
          <w:sz w:val="32"/>
          <w:szCs w:val="32"/>
        </w:rPr>
        <w:t>万元,增长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32.22</w:t>
      </w:r>
      <w:r>
        <w:rPr>
          <w:rFonts w:ascii="Times New Roman" w:hAnsi="Times New Roman" w:eastAsia="仿宋_GB2312" w:cs="Times New Roman"/>
          <w:sz w:val="32"/>
          <w:szCs w:val="32"/>
        </w:rPr>
        <w:t>%，主要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原因有两个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主要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原因有两个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因机构改革，原经开区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工作人员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于2024年8月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划转至我单位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人员规模增加，相应经费增加；二是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单位部分人员正常晋级晋档，工资待遇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较上年有所增加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BECEF35">
      <w:pPr>
        <w:pStyle w:val="15"/>
        <w:numPr>
          <w:ilvl w:val="0"/>
          <w:numId w:val="2"/>
        </w:numPr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一般公共预算财政拨款支出决算情况说明</w:t>
      </w:r>
    </w:p>
    <w:p w14:paraId="01534684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（一）一般公共预算财政拨款支出决算总体情况</w:t>
      </w:r>
    </w:p>
    <w:p w14:paraId="78AAE4E5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万元，占本年支出合计的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%，与上年相比，财政拨款支出增加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67.54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32.22</w:t>
      </w:r>
      <w:r>
        <w:rPr>
          <w:rFonts w:ascii="Times New Roman" w:hAnsi="Times New Roman" w:eastAsia="仿宋_GB2312" w:cs="Times New Roman"/>
          <w:sz w:val="32"/>
          <w:szCs w:val="32"/>
        </w:rPr>
        <w:t>%，主要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原因有两个：一是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因机构改革，原经开区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工作人员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于2024年8月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划转至我单位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人员规模增加，相应经费增加；二是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单位部分人员正常晋级晋档，工资待遇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较上年有所增加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EAA0EBE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（二）一般公共预算财政拨款支出决算结构情况</w:t>
      </w:r>
    </w:p>
    <w:p w14:paraId="3F13F3A5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FF000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万元，主要用于以下方面：一般公共服务（类）支出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227.24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81.98</w:t>
      </w:r>
      <w:r>
        <w:rPr>
          <w:rFonts w:ascii="Times New Roman" w:hAnsi="Times New Roman" w:eastAsia="仿宋_GB2312" w:cs="Times New Roman"/>
          <w:sz w:val="32"/>
          <w:szCs w:val="32"/>
        </w:rPr>
        <w:t>%；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社会保障和就业支出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21.91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7.90</w:t>
      </w:r>
      <w:r>
        <w:rPr>
          <w:rFonts w:ascii="Times New Roman" w:hAnsi="Times New Roman" w:eastAsia="仿宋_GB2312" w:cs="Times New Roman"/>
          <w:sz w:val="32"/>
          <w:szCs w:val="32"/>
        </w:rPr>
        <w:t>%;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卫生健康支出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9.46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3.4</w:t>
      </w:r>
      <w:r>
        <w:rPr>
          <w:rFonts w:ascii="Times New Roman" w:hAnsi="Times New Roman" w:eastAsia="仿宋_GB2312" w:cs="Times New Roman"/>
          <w:sz w:val="32"/>
          <w:szCs w:val="32"/>
        </w:rPr>
        <w:t>%;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住房保障支出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18.57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6.70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E0C2AD9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（三）一般公共预算财政拨款支出决算具体情况</w:t>
      </w:r>
    </w:p>
    <w:p w14:paraId="0846A377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年度财政拨款支出年初预算数为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284.61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的97.39%</w:t>
      </w:r>
      <w:r>
        <w:rPr>
          <w:rFonts w:ascii="Times New Roman" w:hAnsi="Times New Roman" w:eastAsia="仿宋_GB2312" w:cs="Times New Roman"/>
          <w:sz w:val="32"/>
          <w:szCs w:val="32"/>
        </w:rPr>
        <w:t>，其中：</w:t>
      </w:r>
    </w:p>
    <w:p w14:paraId="6277F296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1、一般公共服务（类）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市场监督管理事务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行政运行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7EDE99F8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217.48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212.38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97.65</w:t>
      </w:r>
      <w:r>
        <w:rPr>
          <w:rFonts w:ascii="Times New Roman" w:hAnsi="Times New Roman" w:eastAsia="仿宋_GB2312" w:cs="Times New Roman"/>
          <w:sz w:val="32"/>
          <w:szCs w:val="32"/>
        </w:rPr>
        <w:t>%，决算数小于年初预算数的主要原因是：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2025年度单位调出3人，相应经费划拨至调入单位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49ED96C5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2、一般公共服务（类）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市场监督管理事务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食品安全监管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526B3587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年初预算未安排，为年中追加安排的工作经费。</w:t>
      </w:r>
    </w:p>
    <w:p w14:paraId="6BB8450B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、一般公共服务（类）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市场监督管理事务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其他市场监督管理事务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4A5030E3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4.86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40.5</w:t>
      </w:r>
      <w:r>
        <w:rPr>
          <w:rFonts w:ascii="Times New Roman" w:hAnsi="Times New Roman" w:eastAsia="仿宋_GB2312" w:cs="Times New Roman"/>
          <w:sz w:val="32"/>
          <w:szCs w:val="32"/>
        </w:rPr>
        <w:t>%，决算数小于年初预算数的主要原因是：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部分计划开展的专项执法行动进行优化调整或统筹整合，工作延后实施，相应支出暂未产生。</w:t>
      </w:r>
    </w:p>
    <w:p w14:paraId="7EA70976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社会保障和就业支出（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）行政事业单位养老支出（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）机关事业单位基本养老保险缴费支出（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0865F6E6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初预算为24.32万元，支出决算为21.91万元，完成年初预算的90.09%，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小于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年初预算数的主要原因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是：2025年度单位调出3人，相应经费划拨至调入单位。</w:t>
      </w:r>
    </w:p>
    <w:p w14:paraId="349139E1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卫生健康支出（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）行政事业单位医疗（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）行政单位医疗（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005111F0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10.12万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9.20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90.91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小于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年初预算数的主要原因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是：2025年度单位调出3人，相应经费划拨至调入单位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703ACDE0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卫生健康支出（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）行政事业单位医疗（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）公务员医疗补助（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7FAA0F04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万元，决算数大于年初预算数的主要原因是：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年初预算未安排，为年中追加安排的工作经费。</w:t>
      </w:r>
    </w:p>
    <w:p w14:paraId="7E2A3352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住房保障支出（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）住房改革支出（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）住房公积金（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7B04F18B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20.69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18.57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89.75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%，决算数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小于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年初预算数的主要原因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是：2025年度单位调出3人，相应经费划拨至调入单位。</w:t>
      </w:r>
    </w:p>
    <w:p w14:paraId="779F4CED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六、一般公共预算财政拨款基本支出决算情况说明</w:t>
      </w:r>
    </w:p>
    <w:p w14:paraId="05A119B6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年度一般公共预算财政拨款基本支出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262.07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</w:t>
      </w:r>
    </w:p>
    <w:p w14:paraId="3FB02235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人员经费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220.50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84.14</w:t>
      </w:r>
      <w:r>
        <w:rPr>
          <w:rFonts w:ascii="Times New Roman" w:hAnsi="Times New Roman" w:eastAsia="仿宋_GB2312" w:cs="Times New Roman"/>
          <w:sz w:val="32"/>
          <w:szCs w:val="32"/>
        </w:rPr>
        <w:t>%,主要包括基本工资、津贴补贴、奖金、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机关事业单位基本养老保险缴费、 职工基本医疗保险缴费、其他社会保障缴费、住房公积金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1BAF12A0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公用经费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41.57</w:t>
      </w:r>
      <w:r>
        <w:rPr>
          <w:rFonts w:ascii="Times New Roman" w:hAnsi="Times New Roman" w:eastAsia="仿宋_GB2312" w:cs="Times New Roman"/>
          <w:sz w:val="32"/>
          <w:szCs w:val="32"/>
        </w:rPr>
        <w:t>万元，占基本支出的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15.86</w:t>
      </w:r>
      <w:r>
        <w:rPr>
          <w:rFonts w:ascii="Times New Roman" w:hAnsi="Times New Roman" w:eastAsia="仿宋_GB2312" w:cs="Times New Roman"/>
          <w:sz w:val="32"/>
          <w:szCs w:val="32"/>
        </w:rPr>
        <w:t>%，主要包括办公费、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电费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邮电费、 差旅费、劳务费、工会经费、福利费、其他交通费用、其他商品和服务支出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14F83083">
      <w:pPr>
        <w:pStyle w:val="15"/>
        <w:numPr>
          <w:ilvl w:val="0"/>
          <w:numId w:val="0"/>
        </w:numPr>
        <w:overflowPunct w:val="0"/>
        <w:autoSpaceDE/>
        <w:autoSpaceDN/>
        <w:spacing w:line="600" w:lineRule="exact"/>
        <w:ind w:leftChars="200" w:firstLine="320" w:firstLineChars="1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hint="eastAsia" w:ascii="Times New Roman" w:hAnsi="Times New Roman" w:cs="Times New Roman"/>
          <w:bCs/>
          <w:sz w:val="32"/>
          <w:szCs w:val="32"/>
          <w:lang w:eastAsia="zh-CN"/>
        </w:rPr>
        <w:t>七、</w:t>
      </w:r>
      <w:r>
        <w:rPr>
          <w:rFonts w:ascii="Times New Roman" w:hAnsi="Times New Roman" w:cs="Times New Roman"/>
          <w:bCs/>
          <w:sz w:val="32"/>
          <w:szCs w:val="32"/>
        </w:rPr>
        <w:t>财政拨款“三公”经费支出决算情况说明</w:t>
      </w:r>
    </w:p>
    <w:p w14:paraId="378B1101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（一）“三公”经费财政拨款支出决算总体情况说明</w:t>
      </w:r>
    </w:p>
    <w:p w14:paraId="7FC6DE62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  <w:highlight w:val="yellow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1.94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与预算数据持平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本单位依据相关规定，严格“三公”经费管理，本年度未产生相关经费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45191227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（二）“三公”经费财政拨款支出决算具体情况说明</w:t>
      </w:r>
    </w:p>
    <w:p w14:paraId="00A8381B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2025年度我单位未开展因公出国（境）活动。</w:t>
      </w:r>
    </w:p>
    <w:p w14:paraId="71EBB165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本单位无更新公务用车。</w:t>
      </w:r>
    </w:p>
    <w:p w14:paraId="049573B3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0万元。</w:t>
      </w:r>
    </w:p>
    <w:p w14:paraId="0E66E2D2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1.94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与预算数持平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本单位依据相关规定，严格“三公”经费管理，本年度未产生相关经费</w:t>
      </w:r>
      <w:r>
        <w:rPr>
          <w:rFonts w:ascii="Times New Roman" w:hAnsi="Times New Roman" w:eastAsia="仿宋_GB2312" w:cs="Times New Roman"/>
          <w:sz w:val="32"/>
          <w:szCs w:val="32"/>
        </w:rPr>
        <w:t>。202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发生</w:t>
      </w:r>
      <w:r>
        <w:rPr>
          <w:rFonts w:ascii="Times New Roman" w:hAnsi="Times New Roman" w:eastAsia="仿宋_GB2312" w:cs="Times New Roman"/>
          <w:sz w:val="32"/>
          <w:szCs w:val="32"/>
        </w:rPr>
        <w:t>接待支出。</w:t>
      </w:r>
    </w:p>
    <w:p w14:paraId="240AB20A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八、政府性基金预算收入支出决算情况</w:t>
      </w:r>
    </w:p>
    <w:p w14:paraId="649CB101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年度本单位无政府性基金收支。</w:t>
      </w:r>
    </w:p>
    <w:p w14:paraId="253ABC0D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九、关于机关运行经费支出说明</w:t>
      </w:r>
    </w:p>
    <w:p w14:paraId="05BDEF86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年度机关运行经费支出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41.57</w:t>
      </w:r>
      <w:r>
        <w:rPr>
          <w:rFonts w:ascii="Times New Roman" w:hAnsi="Times New Roman" w:eastAsia="仿宋_GB2312" w:cs="Times New Roman"/>
          <w:sz w:val="32"/>
          <w:szCs w:val="32"/>
        </w:rPr>
        <w:t>万元，比上年决算数）增加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10.88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35.45</w:t>
      </w:r>
      <w:r>
        <w:rPr>
          <w:rFonts w:ascii="Times New Roman" w:hAnsi="Times New Roman" w:eastAsia="仿宋_GB2312" w:cs="Times New Roman"/>
          <w:sz w:val="32"/>
          <w:szCs w:val="32"/>
        </w:rPr>
        <w:t>%。主要原因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是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因机构改革，原经开区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工作人员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于2024年8月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划转至我单位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人员规模增加，相应经费增加。</w:t>
      </w:r>
    </w:p>
    <w:p w14:paraId="7728C0B8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十、一般性支出情况说明</w:t>
      </w:r>
    </w:p>
    <w:p w14:paraId="6F4E8C60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年本部门开支会议费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主要原因是未开展会议、培训等活动，无会议、培训相关支出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DBCD553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Cs/>
          <w:sz w:val="32"/>
          <w:szCs w:val="32"/>
          <w:lang w:val="en-US" w:eastAsia="zh-CN"/>
        </w:rPr>
        <w:t>十一、关于政府采购支出说明</w:t>
      </w:r>
    </w:p>
    <w:p w14:paraId="5DDB26D8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年度政府采购支出总额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2.4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万元，其中：政府采购货物支出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2.4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万元、政府采购工程支出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万元、政府采购服务支出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万元。授予中小企业合同金额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2.4</w:t>
      </w:r>
      <w:r>
        <w:rPr>
          <w:rFonts w:ascii="Times New Roman" w:hAnsi="Times New Roman" w:eastAsia="仿宋_GB2312" w:cs="Times New Roman"/>
          <w:sz w:val="32"/>
          <w:szCs w:val="32"/>
        </w:rPr>
        <w:t>万元，占政府采购支出总额的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%，其中：授予小微企业合同金额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2.4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占授予中小企业合同金额的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%。货物采购授予中小企业合同金额占货物支出金额的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%，工程采购授予中小企业合同金额占工程支出金额的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%，服务采购授予中小企业合同金额占服务支出金额的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4A637679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十二、关于国有资产占用情况说明</w:t>
      </w:r>
    </w:p>
    <w:p w14:paraId="3E807FD2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截至202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年12月31日，部门（单位）共有车辆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辆，其中，副部（省）级及以上领导用车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辆、主要负责人用车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辆、机要通信用车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辆、应急保障用车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辆、执法执勤用车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辆、特种专业技术用车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辆、离退休干部服务用车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辆、其他用车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辆，单位价值100万元以上设备（不含车辆）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台（套）。</w:t>
      </w:r>
    </w:p>
    <w:p w14:paraId="673B2F37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Cs/>
          <w:color w:val="auto"/>
          <w:sz w:val="32"/>
          <w:szCs w:val="32"/>
        </w:rPr>
        <w:t>十三、关于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5</w:t>
      </w:r>
      <w:r>
        <w:rPr>
          <w:rFonts w:ascii="Times New Roman" w:hAnsi="Times New Roman" w:cs="Times New Roman"/>
          <w:bCs/>
          <w:color w:val="auto"/>
          <w:sz w:val="32"/>
          <w:szCs w:val="32"/>
        </w:rPr>
        <w:t>年度预算绩效情况的说明</w:t>
      </w:r>
    </w:p>
    <w:p w14:paraId="0F85E2F7">
      <w:pPr>
        <w:overflowPunct w:val="0"/>
        <w:spacing w:line="600" w:lineRule="exact"/>
        <w:ind w:firstLine="640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年度本部门（单位）整体支出开展绩效自评，涉及项目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15.12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5.5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 w14:paraId="0A914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（二）绩效评价结果。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一是绩效自评结果。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年度本单位整体</w:t>
      </w:r>
      <w:r>
        <w:rPr>
          <w:rFonts w:ascii="Times New Roman" w:hAnsi="Times New Roman" w:eastAsia="仿宋_GB2312" w:cs="Times New Roman"/>
          <w:sz w:val="32"/>
          <w:szCs w:val="32"/>
        </w:rPr>
        <w:t>预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284.61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277.19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97.39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%，绩效自评得分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97.5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分，评价等级为“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良好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”。绩效目标完成情况：</w:t>
      </w:r>
    </w:p>
    <w:p w14:paraId="049F8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本年度，我局严格对照年初设定的部门整体绩效目标，统筹推进市场监管各项履职工作，合理规范使用财政资金，预算执行总体平稳，整体绩效目标基本完成、总体达标。</w:t>
      </w:r>
    </w:p>
    <w:p w14:paraId="6FAAF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1.持续优化营商环境。一是市场主体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稳步增长。坚持经营主体需求导向，增强服务意识、发展意识，实现企业开办线上“一网通办”线下“一窗通办”全程便利化服务。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截至12月29日，实有经营主体1997户，其中企业实有642户，个转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企净增5户，分别完成年度发展预期的135%、259%和100%；二是公平竞争环境不断优化。严格落实公平竞争审查制度，督促各成员单位做好增量文件审查工作，共审查增量文件9件，抽查文件5件，梳理涉及经营主体经济活动的现行有效政策措施21件，未发现含有歧视性和不公平市场待遇内容；三是信用监管基础夯实。开展“双随机、一公开”监管抽查工作，部门联合抽查率54.55%，任务完成率和结果公示率100%。高效开展经营主体年报指导与服务，全区企业年报率91.75%。优化信用修复服务，为26户市场主体修复信用，助力企业重塑良好形象。</w:t>
      </w:r>
    </w:p>
    <w:p w14:paraId="35765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2.严守“四大安全”底线。一是严控食品安全风险。开展食品安全抽检60批次，查办抽检不合格食品案件3起，公示率及核查处置率100%。深入推进校园餐、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农村假冒伪劣食品、制售假劣肉制品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等食品安全领域突出问题整治工作，食品生产经营单位风险等级评定率、监督检查任务覆盖率、任务完成率及问题整改率均为100%；二是严治药品安全隐患。开展药械化经营“清源”行动和疫苗质量安全监管工作，督促问题隐患整改，完成药械化不良反应监测报告任务，充分发挥风险监测和及时防控作用；三是严管重点工业产品质量。完成2025年度产品质量抽检计划，开展两电车辆、建筑保温材料、农资产品隐患排查治理及新标宣贯，联合住建部门开展“瘦身钢筋”专项整治，全覆盖抽检钢筋经营单位，产品质量秩序持续稳定；四是严防特种设备安全事故。完成特种设备2025年度常规监督检查计划，开展隐患排查治理，电梯无纸化维保完成率100%，在用特种设备定检率100%。全年未发生“三品一特”安全事故，有效保障辖区秩序安全平稳。</w:t>
      </w:r>
    </w:p>
    <w:p w14:paraId="7544E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护航市场公平秩序。一是重点领域执法震慑有力。持续开展民生领域案件查办“铁拳”行动，聚焦农村假冒伪劣食品、民生相关违规收费、居民水电气计量等重点问题，重拳出击。全年共查办各类违法案件9件，罚没款8.11万元，有力净化市场环境；二是消费维权快速响应。畅通12315、12345投诉举报渠道，全年受理处置各类诉求17件，按时办结率100%，调解成功率100%。大力推广在线消费纠纷解决（ODR）机制，ODR单位活跃度持续提高；三是广告监管持续加力。开展民生领域广告监管专项行动，充分运用互联网监测平台，强化对重点网站、APP、微信公众号等精准监测，处置虚假宣传投诉举报5起，查办案件1件。</w:t>
      </w:r>
    </w:p>
    <w:p w14:paraId="28979886">
      <w:pPr>
        <w:pStyle w:val="2"/>
        <w:rPr>
          <w:rFonts w:hint="eastAsia"/>
          <w:lang w:val="en-US" w:eastAsia="zh-CN"/>
        </w:rPr>
      </w:pPr>
    </w:p>
    <w:p w14:paraId="3603ED51">
      <w:pPr>
        <w:pStyle w:val="15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FF0000"/>
          <w:sz w:val="32"/>
          <w:szCs w:val="32"/>
          <w:lang w:eastAsia="zh-CN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  <w:t>（三）评价结果应用情况。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，分局将严格落实过“紧日子”要求，“多头”管控资金使用。一是注重资金分配源头管控机制，精准测算人头经费；二是聚焦核心，优化支出配比，加大对重点领域的投入；三是依托一体化系统，强化项目资金的执行进度和绩效目标管控；四是健全完善部门财务制度，严格落实财务管理相关制度。</w:t>
      </w:r>
    </w:p>
    <w:p w14:paraId="0A4AA448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66C57ABA">
      <w:pPr>
        <w:pStyle w:val="15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cs="Times New Roman"/>
          <w:sz w:val="72"/>
          <w:szCs w:val="72"/>
        </w:rPr>
        <w:br w:type="column"/>
      </w:r>
      <w:r>
        <w:rPr>
          <w:rFonts w:ascii="Times New Roman" w:hAnsi="Times New Roman" w:eastAsia="方正小标宋_GBK" w:cs="Times New Roman"/>
          <w:sz w:val="52"/>
          <w:szCs w:val="52"/>
        </w:rPr>
        <w:t>第四部分    名词解释</w:t>
      </w:r>
    </w:p>
    <w:p w14:paraId="63B76F65">
      <w:pPr>
        <w:widowControl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14:paraId="7D92F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</w:rPr>
        <w:t>一、一般公共预算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对以税收为主体的财政收入，安排用于保障和改善民生、推动经济社会发展、维护国家安全、维持国家机构正常运转等方面的收支预算。</w:t>
      </w:r>
    </w:p>
    <w:p w14:paraId="03AAD948">
      <w:pPr>
        <w:ind w:firstLine="640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</w:rPr>
        <w:t>二、政府性基金预算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对依照法律、行政法规的规定在一定期限内向特定对象征收、收取或者以其他方式筹集的资金，专项用于特定公共事业发展的收支预算。</w:t>
      </w:r>
    </w:p>
    <w:p w14:paraId="295C6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</w:rPr>
        <w:t>三、非税收入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指各级国家机关、事业单位、社会团体以及其他组织，依据有关法律、行政法规，履行管理职能、行使国有资产或者国有资源所有权、提供特定服务或者以政府名义征收、收取、提取、罚没、追缴、募集的税收以外的财政性资金。</w:t>
      </w:r>
    </w:p>
    <w:p w14:paraId="3C62DF20">
      <w:pPr>
        <w:widowControl/>
        <w:spacing w:line="600" w:lineRule="exact"/>
        <w:ind w:firstLine="660"/>
        <w:rPr>
          <w:rFonts w:eastAsia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  <w:lang w:val="en-US" w:eastAsia="zh-CN"/>
        </w:rPr>
        <w:t>四、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</w:rPr>
        <w:t>机关运行经费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  <w:lang w:eastAsia="zh-CN"/>
        </w:rPr>
        <w:t>：</w:t>
      </w:r>
      <w:r>
        <w:rPr>
          <w:rFonts w:eastAsia="仿宋_GB2312"/>
          <w:sz w:val="32"/>
          <w:szCs w:val="32"/>
        </w:rPr>
        <w:t>是指各部门的公用经费，包括办公及印刷费、邮电费、差旅费、会议费、福利费、日常维修费、专用资料及一般设备购置费、办公用房水电费、办公用房取暖费、办公用房物业管理费、公务用车运行维护费以及其他费用。</w:t>
      </w:r>
    </w:p>
    <w:p w14:paraId="7D7A8D21">
      <w:pPr>
        <w:widowControl/>
        <w:spacing w:line="600" w:lineRule="exact"/>
        <w:ind w:firstLine="660"/>
        <w:rPr>
          <w:rFonts w:ascii="Times New Roman" w:hAnsi="Times New Roman" w:cs="Times New Roman"/>
          <w:sz w:val="72"/>
          <w:szCs w:val="72"/>
        </w:rPr>
      </w:pPr>
      <w:r>
        <w:rPr>
          <w:rFonts w:hint="eastAsia" w:ascii="楷体_GB2312" w:hAnsi="楷体_GB2312" w:eastAsia="楷体_GB2312" w:cs="楷体_GB2312"/>
          <w:b w:val="0"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五、“三公”经费：</w:t>
      </w:r>
      <w:r>
        <w:rPr>
          <w:rFonts w:eastAsia="仿宋_GB2312"/>
          <w:sz w:val="32"/>
          <w:szCs w:val="32"/>
        </w:rPr>
        <w:t>纳入</w:t>
      </w:r>
      <w:r>
        <w:rPr>
          <w:rFonts w:hint="eastAsia" w:eastAsia="仿宋_GB2312"/>
          <w:sz w:val="32"/>
          <w:szCs w:val="32"/>
          <w:lang w:eastAsia="zh-CN"/>
        </w:rPr>
        <w:t>市</w:t>
      </w:r>
      <w:r>
        <w:rPr>
          <w:rFonts w:eastAsia="仿宋_GB2312"/>
          <w:sz w:val="32"/>
          <w:szCs w:val="32"/>
        </w:rPr>
        <w:t>财政预算管理的</w:t>
      </w:r>
      <w:r>
        <w:rPr>
          <w:rFonts w:hint="eastAsia" w:eastAsia="仿宋_GB2312"/>
          <w:sz w:val="32"/>
          <w:szCs w:val="32"/>
          <w:lang w:eastAsia="zh-CN"/>
        </w:rPr>
        <w:t>“</w:t>
      </w:r>
      <w:r>
        <w:rPr>
          <w:rFonts w:eastAsia="仿宋_GB2312"/>
          <w:sz w:val="32"/>
          <w:szCs w:val="32"/>
        </w:rPr>
        <w:t>三公</w:t>
      </w:r>
      <w:r>
        <w:rPr>
          <w:rFonts w:hint="eastAsia" w:eastAsia="仿宋_GB2312"/>
          <w:sz w:val="32"/>
          <w:szCs w:val="32"/>
          <w:lang w:eastAsia="zh-CN"/>
        </w:rPr>
        <w:t>”</w:t>
      </w:r>
      <w:r>
        <w:rPr>
          <w:rFonts w:eastAsia="仿宋_GB2312"/>
          <w:sz w:val="32"/>
          <w:szCs w:val="32"/>
        </w:rPr>
        <w:t>经费，是指用一般公共预算</w:t>
      </w:r>
      <w:r>
        <w:rPr>
          <w:rFonts w:hint="eastAsia" w:eastAsia="仿宋_GB2312"/>
          <w:sz w:val="32"/>
          <w:szCs w:val="32"/>
          <w:lang w:val="en-US" w:eastAsia="zh-CN"/>
        </w:rPr>
        <w:t>财政</w:t>
      </w:r>
      <w:r>
        <w:rPr>
          <w:rFonts w:eastAsia="仿宋_GB2312"/>
          <w:sz w:val="32"/>
          <w:szCs w:val="32"/>
        </w:rPr>
        <w:t>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</w:p>
    <w:p w14:paraId="5D1B03D7">
      <w:pPr>
        <w:pStyle w:val="15"/>
        <w:jc w:val="center"/>
        <w:rPr>
          <w:rFonts w:hint="eastAsia" w:ascii="Times New Roman" w:hAnsi="Times New Roman" w:eastAsia="黑体" w:cs="Times New Roman"/>
          <w:sz w:val="72"/>
          <w:szCs w:val="72"/>
          <w:lang w:eastAsia="zh-CN"/>
        </w:rPr>
      </w:pPr>
    </w:p>
    <w:p w14:paraId="13548F0D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3B707CE7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7084428A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4C0079E4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72C29D40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0221E649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42EE2EE0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5F50F415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7A47062C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7AB6A8DB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10B66AD1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64265A84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2B1A5604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58667E88">
      <w:pPr>
        <w:pStyle w:val="15"/>
        <w:jc w:val="both"/>
        <w:rPr>
          <w:rFonts w:ascii="Times New Roman" w:hAnsi="Times New Roman" w:cs="Times New Roman"/>
          <w:sz w:val="72"/>
          <w:szCs w:val="72"/>
        </w:rPr>
      </w:pPr>
    </w:p>
    <w:p w14:paraId="47E66B00">
      <w:pPr>
        <w:pStyle w:val="15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第五部分   附 件</w:t>
      </w:r>
    </w:p>
    <w:p w14:paraId="42127BA4">
      <w:pPr>
        <w:rPr>
          <w:rFonts w:ascii="Times New Roman" w:hAnsi="Times New Roman" w:cs="Times New Roman"/>
          <w:sz w:val="72"/>
          <w:szCs w:val="72"/>
        </w:rPr>
      </w:pPr>
    </w:p>
    <w:p w14:paraId="759B3947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07D66EF9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3DFAF672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489ED4D8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75B88E8D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2EB7C14D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75AB166D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58731BE7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11B296C4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536EF448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7A928CD5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5D865042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669FFBF5">
      <w:pPr>
        <w:jc w:val="center"/>
        <w:rPr>
          <w:rFonts w:hint="eastAsia" w:ascii="方正小标宋简体" w:eastAsia="方正小标宋简体"/>
          <w:sz w:val="52"/>
          <w:szCs w:val="52"/>
        </w:rPr>
      </w:pPr>
    </w:p>
    <w:p w14:paraId="74670516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202</w:t>
      </w:r>
      <w:r>
        <w:rPr>
          <w:rFonts w:hint="eastAsia" w:ascii="方正小标宋简体" w:eastAsia="方正小标宋简体"/>
          <w:sz w:val="52"/>
          <w:szCs w:val="52"/>
          <w:lang w:val="en-US" w:eastAsia="zh-CN"/>
        </w:rPr>
        <w:t>5</w:t>
      </w:r>
      <w:r>
        <w:rPr>
          <w:rFonts w:hint="eastAsia" w:ascii="方正小标宋简体" w:eastAsia="方正小标宋简体"/>
          <w:sz w:val="52"/>
          <w:szCs w:val="52"/>
        </w:rPr>
        <w:t>年度</w:t>
      </w:r>
    </w:p>
    <w:p w14:paraId="5622125F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永州市市场监督管理局金洞分局</w:t>
      </w:r>
    </w:p>
    <w:p w14:paraId="22C62C97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整体支出绩效自评报告</w:t>
      </w:r>
    </w:p>
    <w:p w14:paraId="54B654D5">
      <w:pPr>
        <w:pStyle w:val="15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7954AF2B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106E9FA5">
      <w:pPr>
        <w:pStyle w:val="15"/>
        <w:jc w:val="center"/>
        <w:rPr>
          <w:rFonts w:ascii="Times New Roman" w:hAnsi="Times New Roman" w:cs="Times New Roman"/>
          <w:sz w:val="72"/>
          <w:szCs w:val="72"/>
        </w:rPr>
      </w:pPr>
    </w:p>
    <w:p w14:paraId="0CEA322D">
      <w:pPr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cs="Times New Roman"/>
          <w:color w:val="000000"/>
          <w:kern w:val="0"/>
          <w:sz w:val="32"/>
          <w:szCs w:val="32"/>
        </w:rPr>
        <w:br w:type="page"/>
      </w:r>
    </w:p>
    <w:p w14:paraId="338B7A39">
      <w:p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部门（单位）基本情况</w:t>
      </w:r>
    </w:p>
    <w:p w14:paraId="0E96EAE5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永州市市场监督管理局金洞分局为永州市市场监督管理局派出机构，根据永州市市场监督管理局授权，履行辖区内市场监督管理职责，并承办金洞管理区党委、管委交办的其他事项。</w:t>
      </w:r>
    </w:p>
    <w:p w14:paraId="18177AC1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2025年我局实有机关事业编制22人，在职人员14人，设职能股室5个，无基层所。我局专项资金按照省、市局要求严格做到专款专用,并制定了专项管理资金使用办法，充分地运用到监管工作当中。</w:t>
      </w:r>
    </w:p>
    <w:p w14:paraId="6FAB6A48">
      <w:pPr>
        <w:pStyle w:val="16"/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二、一般公共预算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收支</w:t>
      </w:r>
      <w:r>
        <w:rPr>
          <w:rFonts w:ascii="Times New Roman" w:hAnsi="Times New Roman" w:eastAsia="黑体"/>
          <w:sz w:val="32"/>
          <w:szCs w:val="32"/>
        </w:rPr>
        <w:t>情况</w:t>
      </w:r>
    </w:p>
    <w:p w14:paraId="79631C02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本年度</w:t>
      </w:r>
      <w:r>
        <w:rPr>
          <w:rFonts w:hint="eastAsia" w:ascii="仿宋_GB2312" w:hAnsi="Times New Roman" w:eastAsia="仿宋_GB2312" w:cs="Times New Roman"/>
          <w:sz w:val="32"/>
          <w:szCs w:val="32"/>
        </w:rPr>
        <w:t>我局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一般公共预算财政拨款年初预算284.61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万元，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全年决算支出277.19万元，预算执行总体平稳。支出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主要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分为基本支出和项目支出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</w:p>
    <w:p w14:paraId="38A7D8B7">
      <w:pPr>
        <w:pStyle w:val="16"/>
        <w:spacing w:line="570" w:lineRule="exact"/>
        <w:ind w:firstLine="64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（一）基本支出情况</w:t>
      </w:r>
    </w:p>
    <w:p w14:paraId="366FCC00">
      <w:pPr>
        <w:pStyle w:val="16"/>
        <w:spacing w:line="560" w:lineRule="exact"/>
        <w:ind w:firstLine="640"/>
        <w:outlineLvl w:val="1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2025年</w:t>
      </w:r>
      <w:r>
        <w:rPr>
          <w:rFonts w:hint="eastAsia" w:ascii="Times New Roman" w:hAnsi="Times New Roman" w:eastAsia="仿宋_GB2312"/>
          <w:sz w:val="32"/>
          <w:szCs w:val="32"/>
        </w:rPr>
        <w:t>我局基本支出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262.07</w:t>
      </w:r>
      <w:r>
        <w:rPr>
          <w:rFonts w:hint="eastAsia" w:ascii="Times New Roman" w:hAnsi="Times New Roman" w:eastAsia="仿宋_GB2312"/>
          <w:sz w:val="32"/>
          <w:szCs w:val="32"/>
        </w:rPr>
        <w:t>万元，主要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用于保障</w:t>
      </w:r>
      <w:r>
        <w:rPr>
          <w:rFonts w:hint="eastAsia" w:ascii="Times New Roman" w:hAnsi="Times New Roman" w:eastAsia="仿宋_GB2312"/>
          <w:sz w:val="32"/>
          <w:szCs w:val="32"/>
        </w:rPr>
        <w:t>人员工资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社保缴费、公积金、日常办公运转等基本履职需求。</w:t>
      </w:r>
    </w:p>
    <w:p w14:paraId="7BBBEB2B">
      <w:pPr>
        <w:pStyle w:val="16"/>
        <w:spacing w:line="570" w:lineRule="exact"/>
        <w:ind w:firstLine="64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（二）项目支出情况</w:t>
      </w:r>
    </w:p>
    <w:p w14:paraId="133C33B4">
      <w:pPr>
        <w:pStyle w:val="16"/>
        <w:spacing w:line="560" w:lineRule="exact"/>
        <w:ind w:firstLine="640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年我局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项目支出15.12</w:t>
      </w:r>
      <w:r>
        <w:rPr>
          <w:rFonts w:hint="eastAsia" w:ascii="Times New Roman" w:hAnsi="Times New Roman" w:eastAsia="仿宋_GB2312"/>
          <w:sz w:val="32"/>
          <w:szCs w:val="32"/>
        </w:rPr>
        <w:t>万元，其中食品安全监管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10万元，其他市场监督管理事务4.86万元，</w:t>
      </w:r>
      <w:r>
        <w:rPr>
          <w:rFonts w:hint="eastAsia" w:ascii="Times New Roman" w:hAnsi="Times New Roman" w:eastAsia="仿宋_GB2312"/>
          <w:sz w:val="32"/>
          <w:szCs w:val="32"/>
        </w:rPr>
        <w:t>公务员医疗补助支出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0.25万</w:t>
      </w:r>
      <w:r>
        <w:rPr>
          <w:rFonts w:hint="eastAsia" w:ascii="Times New Roman" w:hAnsi="Times New Roman" w:eastAsia="仿宋_GB2312"/>
          <w:sz w:val="32"/>
          <w:szCs w:val="32"/>
        </w:rPr>
        <w:t>元。主要用于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食品安全监管、执法办案相关和</w:t>
      </w:r>
      <w:r>
        <w:rPr>
          <w:rFonts w:hint="eastAsia" w:ascii="Times New Roman" w:hAnsi="Times New Roman" w:eastAsia="仿宋_GB2312"/>
          <w:sz w:val="32"/>
          <w:szCs w:val="32"/>
        </w:rPr>
        <w:t>公务员医疗补助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我局严格按照财政局的要求，实行专项资金专款专用，无挤占挪用的现象。</w:t>
      </w:r>
    </w:p>
    <w:p w14:paraId="66801695">
      <w:pPr>
        <w:pStyle w:val="16"/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三、政府性基金预算支出情况</w:t>
      </w:r>
    </w:p>
    <w:p w14:paraId="1D6E7E99">
      <w:pPr>
        <w:pStyle w:val="16"/>
        <w:spacing w:line="570" w:lineRule="exact"/>
        <w:ind w:firstLine="64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我单位无政府性基金预算支出情况。</w:t>
      </w:r>
    </w:p>
    <w:p w14:paraId="75491E37">
      <w:pPr>
        <w:pStyle w:val="16"/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四、国有资本经营预算支出情况</w:t>
      </w:r>
      <w:r>
        <w:rPr>
          <w:rFonts w:hint="eastAsia" w:ascii="Times New Roman" w:hAnsi="Times New Roman" w:eastAsia="黑体"/>
          <w:sz w:val="32"/>
          <w:szCs w:val="32"/>
        </w:rPr>
        <w:t>。</w:t>
      </w:r>
    </w:p>
    <w:p w14:paraId="6CCD5DFA">
      <w:pPr>
        <w:pStyle w:val="16"/>
        <w:spacing w:line="57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我单位无国有资本经营预算支出情况。</w:t>
      </w:r>
    </w:p>
    <w:p w14:paraId="51E935C8">
      <w:pPr>
        <w:pStyle w:val="16"/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五、社会保险基金预算支出情况</w:t>
      </w:r>
    </w:p>
    <w:p w14:paraId="29C6B23A">
      <w:pPr>
        <w:pStyle w:val="16"/>
        <w:spacing w:line="57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我单位无社会保险基金预算支出情况。</w:t>
      </w:r>
    </w:p>
    <w:p w14:paraId="16C93276">
      <w:pPr>
        <w:numPr>
          <w:ilvl w:val="0"/>
          <w:numId w:val="3"/>
        </w:numPr>
        <w:spacing w:line="57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部门整体支出绩效情况</w:t>
      </w:r>
    </w:p>
    <w:p w14:paraId="682DD525">
      <w:pPr>
        <w:spacing w:line="57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（一）成本指标</w:t>
      </w:r>
    </w:p>
    <w:p w14:paraId="5EC4BED2">
      <w:pPr>
        <w:spacing w:line="57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经济成本指标：部门整体支出控制在284.61万元以内</w:t>
      </w:r>
    </w:p>
    <w:p w14:paraId="354D5F30">
      <w:pPr>
        <w:spacing w:line="57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（二）产出指标</w:t>
      </w:r>
    </w:p>
    <w:p w14:paraId="328B9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数量指标。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完成年度办案任务，执法办案数量大于2件。</w:t>
      </w:r>
    </w:p>
    <w:p w14:paraId="50522F4E">
      <w:pPr>
        <w:spacing w:line="57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质量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指标。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不合格产品处置率为100%；市场主体年报率为91.75%；消费投诉办结率为100%；不合格产品核查处置均按时完成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2289363">
      <w:pPr>
        <w:spacing w:line="57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（三）效益指标</w:t>
      </w:r>
    </w:p>
    <w:p w14:paraId="2430CB07">
      <w:pPr>
        <w:spacing w:line="57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1.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经济效益指标：罚没收入均已征收入库。</w:t>
      </w:r>
    </w:p>
    <w:p w14:paraId="530E8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社会效益指标。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本年度市场秩序稳定，未发生较大舆情及安全事故。</w:t>
      </w:r>
    </w:p>
    <w:p w14:paraId="17CF87A9">
      <w:pPr>
        <w:spacing w:line="57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（四）满意度指标</w:t>
      </w:r>
    </w:p>
    <w:p w14:paraId="33093795">
      <w:pPr>
        <w:spacing w:line="570" w:lineRule="exact"/>
        <w:ind w:left="420" w:leftChars="200"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消费者投诉处理满意度100%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57BD6D3">
      <w:pPr>
        <w:pStyle w:val="16"/>
        <w:spacing w:line="570" w:lineRule="exact"/>
        <w:ind w:firstLine="64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七、存在的问题及原因分析</w:t>
      </w:r>
    </w:p>
    <w:p w14:paraId="4CA37AC8">
      <w:pPr>
        <w:spacing w:line="600" w:lineRule="exact"/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由于分局人手有限，财务人员兼任多个岗位，财务知识储备不足，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在预算执行均衡统筹的力度上有待加强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35E946E">
      <w:pPr>
        <w:pStyle w:val="15"/>
        <w:overflowPunct w:val="0"/>
        <w:autoSpaceDE/>
        <w:autoSpaceDN/>
        <w:spacing w:line="600" w:lineRule="exact"/>
        <w:ind w:firstLine="800" w:firstLineChars="200"/>
        <w:jc w:val="both"/>
        <w:rPr>
          <w:rFonts w:hint="default" w:ascii="Times New Roman" w:hAnsi="Times New Roman" w:eastAsia="仿宋_GB2312" w:cs="Times New Roman"/>
          <w:b/>
          <w:bCs/>
          <w:color w:val="FF0000"/>
          <w:sz w:val="40"/>
          <w:szCs w:val="40"/>
          <w:lang w:val="en-US" w:eastAsia="zh-CN"/>
        </w:rPr>
      </w:pPr>
    </w:p>
    <w:sectPr>
      <w:footerReference r:id="rId7" w:type="default"/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06FD6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B6396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E3AA5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B20C2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FEB17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FEB17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9AF18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F68671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F68671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589446"/>
    <w:multiLevelType w:val="singleLevel"/>
    <w:tmpl w:val="82589446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FDE4CF6"/>
    <w:multiLevelType w:val="singleLevel"/>
    <w:tmpl w:val="CFDE4CF6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2">
    <w:nsid w:val="F93E3BF4"/>
    <w:multiLevelType w:val="singleLevel"/>
    <w:tmpl w:val="F93E3BF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0001A"/>
    <w:rsid w:val="0002229B"/>
    <w:rsid w:val="000273BD"/>
    <w:rsid w:val="0003620C"/>
    <w:rsid w:val="00040CBC"/>
    <w:rsid w:val="000415B7"/>
    <w:rsid w:val="00041E3F"/>
    <w:rsid w:val="00055DAA"/>
    <w:rsid w:val="00061F7B"/>
    <w:rsid w:val="000658A3"/>
    <w:rsid w:val="00074155"/>
    <w:rsid w:val="00080785"/>
    <w:rsid w:val="000A3F69"/>
    <w:rsid w:val="000B20F1"/>
    <w:rsid w:val="000C5742"/>
    <w:rsid w:val="00103957"/>
    <w:rsid w:val="00152C6D"/>
    <w:rsid w:val="00162D39"/>
    <w:rsid w:val="001678BD"/>
    <w:rsid w:val="00182373"/>
    <w:rsid w:val="001A67DB"/>
    <w:rsid w:val="001B67D1"/>
    <w:rsid w:val="001C3C29"/>
    <w:rsid w:val="001D2B79"/>
    <w:rsid w:val="001D51E5"/>
    <w:rsid w:val="001E080D"/>
    <w:rsid w:val="001E53D0"/>
    <w:rsid w:val="001F0C3B"/>
    <w:rsid w:val="00202C82"/>
    <w:rsid w:val="00214427"/>
    <w:rsid w:val="00220689"/>
    <w:rsid w:val="00221AFD"/>
    <w:rsid w:val="00226CB7"/>
    <w:rsid w:val="00252450"/>
    <w:rsid w:val="00264552"/>
    <w:rsid w:val="00264EF9"/>
    <w:rsid w:val="00265724"/>
    <w:rsid w:val="0027426B"/>
    <w:rsid w:val="00296D60"/>
    <w:rsid w:val="002E0A30"/>
    <w:rsid w:val="0030077D"/>
    <w:rsid w:val="003130C4"/>
    <w:rsid w:val="00316C4B"/>
    <w:rsid w:val="0032192B"/>
    <w:rsid w:val="0033283E"/>
    <w:rsid w:val="003479BD"/>
    <w:rsid w:val="0037197D"/>
    <w:rsid w:val="003768D5"/>
    <w:rsid w:val="003926B9"/>
    <w:rsid w:val="003C2E17"/>
    <w:rsid w:val="003C47E6"/>
    <w:rsid w:val="003C4FC2"/>
    <w:rsid w:val="00401F9A"/>
    <w:rsid w:val="00416E61"/>
    <w:rsid w:val="0042790C"/>
    <w:rsid w:val="004506F9"/>
    <w:rsid w:val="00462315"/>
    <w:rsid w:val="004717A2"/>
    <w:rsid w:val="00473DF3"/>
    <w:rsid w:val="00487911"/>
    <w:rsid w:val="00490F48"/>
    <w:rsid w:val="00491741"/>
    <w:rsid w:val="004B0CEE"/>
    <w:rsid w:val="004C2A0A"/>
    <w:rsid w:val="004F5EFB"/>
    <w:rsid w:val="00500E5F"/>
    <w:rsid w:val="005122EF"/>
    <w:rsid w:val="0051441A"/>
    <w:rsid w:val="00517C33"/>
    <w:rsid w:val="00517D5F"/>
    <w:rsid w:val="00523644"/>
    <w:rsid w:val="0054069E"/>
    <w:rsid w:val="00544866"/>
    <w:rsid w:val="00552A3D"/>
    <w:rsid w:val="00574CC8"/>
    <w:rsid w:val="005767CC"/>
    <w:rsid w:val="00590D9F"/>
    <w:rsid w:val="00595D26"/>
    <w:rsid w:val="005A74E6"/>
    <w:rsid w:val="005B404E"/>
    <w:rsid w:val="005D4D55"/>
    <w:rsid w:val="005E0E6C"/>
    <w:rsid w:val="005E2CFB"/>
    <w:rsid w:val="005F2103"/>
    <w:rsid w:val="005F3D1C"/>
    <w:rsid w:val="005F4189"/>
    <w:rsid w:val="006171EE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6F56C8"/>
    <w:rsid w:val="00702E34"/>
    <w:rsid w:val="00704395"/>
    <w:rsid w:val="00710FE7"/>
    <w:rsid w:val="00717621"/>
    <w:rsid w:val="00720FF1"/>
    <w:rsid w:val="00727A53"/>
    <w:rsid w:val="007502DE"/>
    <w:rsid w:val="00787B42"/>
    <w:rsid w:val="007C4539"/>
    <w:rsid w:val="007F3657"/>
    <w:rsid w:val="00810F0C"/>
    <w:rsid w:val="00811AA2"/>
    <w:rsid w:val="00812ED5"/>
    <w:rsid w:val="008277D9"/>
    <w:rsid w:val="0084478C"/>
    <w:rsid w:val="0086638C"/>
    <w:rsid w:val="008764FA"/>
    <w:rsid w:val="008A1079"/>
    <w:rsid w:val="008A3E8D"/>
    <w:rsid w:val="008A5055"/>
    <w:rsid w:val="008D17F4"/>
    <w:rsid w:val="009237C4"/>
    <w:rsid w:val="00944C48"/>
    <w:rsid w:val="00950252"/>
    <w:rsid w:val="00967F5D"/>
    <w:rsid w:val="009A0F95"/>
    <w:rsid w:val="009B3ADF"/>
    <w:rsid w:val="009C31C5"/>
    <w:rsid w:val="009C3B52"/>
    <w:rsid w:val="009E6817"/>
    <w:rsid w:val="009E6E9A"/>
    <w:rsid w:val="00A01D2B"/>
    <w:rsid w:val="00A1392A"/>
    <w:rsid w:val="00A42218"/>
    <w:rsid w:val="00A70249"/>
    <w:rsid w:val="00A70B02"/>
    <w:rsid w:val="00A71D9F"/>
    <w:rsid w:val="00A92E9F"/>
    <w:rsid w:val="00AB18FF"/>
    <w:rsid w:val="00B26269"/>
    <w:rsid w:val="00B33BEA"/>
    <w:rsid w:val="00B57C9F"/>
    <w:rsid w:val="00B63572"/>
    <w:rsid w:val="00B845B3"/>
    <w:rsid w:val="00B85D8B"/>
    <w:rsid w:val="00BB4A40"/>
    <w:rsid w:val="00BD6022"/>
    <w:rsid w:val="00BD6C3E"/>
    <w:rsid w:val="00BE3674"/>
    <w:rsid w:val="00C10681"/>
    <w:rsid w:val="00C10822"/>
    <w:rsid w:val="00C15C89"/>
    <w:rsid w:val="00C27C0D"/>
    <w:rsid w:val="00C3049A"/>
    <w:rsid w:val="00C31B1E"/>
    <w:rsid w:val="00C32F2E"/>
    <w:rsid w:val="00C73888"/>
    <w:rsid w:val="00C77645"/>
    <w:rsid w:val="00CE04C3"/>
    <w:rsid w:val="00CE34BE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5A607FA"/>
    <w:rsid w:val="0964023A"/>
    <w:rsid w:val="19F94F44"/>
    <w:rsid w:val="1D844232"/>
    <w:rsid w:val="1D97DEFF"/>
    <w:rsid w:val="1DFF72E5"/>
    <w:rsid w:val="1E6908EA"/>
    <w:rsid w:val="1EFC6F07"/>
    <w:rsid w:val="1FDF0B72"/>
    <w:rsid w:val="29176D77"/>
    <w:rsid w:val="2EEB0D05"/>
    <w:rsid w:val="2FDF85B8"/>
    <w:rsid w:val="2FFFEE04"/>
    <w:rsid w:val="33B3D739"/>
    <w:rsid w:val="34DF85B0"/>
    <w:rsid w:val="35586B6B"/>
    <w:rsid w:val="38AD5420"/>
    <w:rsid w:val="3B8F36BC"/>
    <w:rsid w:val="3C5A766D"/>
    <w:rsid w:val="3DE6740A"/>
    <w:rsid w:val="491FF225"/>
    <w:rsid w:val="4C3B4DC5"/>
    <w:rsid w:val="4CAC7A71"/>
    <w:rsid w:val="4FFD214C"/>
    <w:rsid w:val="51A83198"/>
    <w:rsid w:val="535A53CF"/>
    <w:rsid w:val="5777D4F5"/>
    <w:rsid w:val="59DD8326"/>
    <w:rsid w:val="5D284EF1"/>
    <w:rsid w:val="5DEF592A"/>
    <w:rsid w:val="5FC6BB1E"/>
    <w:rsid w:val="5FF720F1"/>
    <w:rsid w:val="67FF5C0B"/>
    <w:rsid w:val="6B833C3B"/>
    <w:rsid w:val="6BCF3EE5"/>
    <w:rsid w:val="6EFC0924"/>
    <w:rsid w:val="6FB74722"/>
    <w:rsid w:val="6FEF8B7E"/>
    <w:rsid w:val="71A6591B"/>
    <w:rsid w:val="737D59BA"/>
    <w:rsid w:val="77C37683"/>
    <w:rsid w:val="77FB47DB"/>
    <w:rsid w:val="79D19834"/>
    <w:rsid w:val="79FF515B"/>
    <w:rsid w:val="7A6A05C6"/>
    <w:rsid w:val="7E6D055E"/>
    <w:rsid w:val="7E9E1962"/>
    <w:rsid w:val="7E9F11B4"/>
    <w:rsid w:val="7EB3024D"/>
    <w:rsid w:val="7F37EC1E"/>
    <w:rsid w:val="7F7DCD9D"/>
    <w:rsid w:val="7F970A6F"/>
    <w:rsid w:val="7FC1FFF3"/>
    <w:rsid w:val="7FC69637"/>
    <w:rsid w:val="7FDF8620"/>
    <w:rsid w:val="7FE8C8F7"/>
    <w:rsid w:val="7FFB242F"/>
    <w:rsid w:val="7FFDB408"/>
    <w:rsid w:val="7FFE4EEB"/>
    <w:rsid w:val="95FB2B98"/>
    <w:rsid w:val="9A639BC2"/>
    <w:rsid w:val="9FF7D786"/>
    <w:rsid w:val="ABBFB23D"/>
    <w:rsid w:val="BF6D9A0A"/>
    <w:rsid w:val="C3B4DA5A"/>
    <w:rsid w:val="CBFF70E0"/>
    <w:rsid w:val="CFF50B82"/>
    <w:rsid w:val="CFFFAD89"/>
    <w:rsid w:val="DB7BD518"/>
    <w:rsid w:val="DFFE359E"/>
    <w:rsid w:val="DFFE4FFD"/>
    <w:rsid w:val="EEABED75"/>
    <w:rsid w:val="EFDE7D2C"/>
    <w:rsid w:val="F56FDF51"/>
    <w:rsid w:val="F6B69F17"/>
    <w:rsid w:val="F77F1D61"/>
    <w:rsid w:val="F7FED3A9"/>
    <w:rsid w:val="F8C9DB26"/>
    <w:rsid w:val="F97E8EAE"/>
    <w:rsid w:val="FB36E1A6"/>
    <w:rsid w:val="FB3BE134"/>
    <w:rsid w:val="FC278370"/>
    <w:rsid w:val="FCFF4275"/>
    <w:rsid w:val="FD7FEEEA"/>
    <w:rsid w:val="FDFFB577"/>
    <w:rsid w:val="FEEA50FE"/>
    <w:rsid w:val="FF7D47A9"/>
    <w:rsid w:val="FFCF21CB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iPriority="99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beforeAutospacing="0" w:after="120" w:afterAutospacing="0"/>
    </w:pPr>
    <w:rPr>
      <w:rFonts w:ascii="Times New Roman" w:hAnsi="Times New Roman" w:eastAsia="宋体" w:cs="Times New Roman"/>
    </w:rPr>
  </w:style>
  <w:style w:type="paragraph" w:styleId="3">
    <w:name w:val="index 5"/>
    <w:basedOn w:val="1"/>
    <w:next w:val="1"/>
    <w:unhideWhenUsed/>
    <w:qFormat/>
    <w:uiPriority w:val="99"/>
    <w:pPr>
      <w:suppressAutoHyphens/>
      <w:ind w:left="1680"/>
    </w:pPr>
    <w:rPr>
      <w:szCs w:val="20"/>
    </w:rPr>
  </w:style>
  <w:style w:type="paragraph" w:styleId="4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Body Text Indent"/>
    <w:basedOn w:val="1"/>
    <w:next w:val="6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6">
    <w:name w:val="Body Text First Indent 2"/>
    <w:basedOn w:val="5"/>
    <w:next w:val="1"/>
    <w:unhideWhenUsed/>
    <w:qFormat/>
    <w:uiPriority w:val="99"/>
    <w:pPr>
      <w:ind w:firstLine="420" w:firstLineChars="200"/>
    </w:p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footnote text"/>
    <w:basedOn w:val="1"/>
    <w:next w:val="6"/>
    <w:semiHidden/>
    <w:qFormat/>
    <w:uiPriority w:val="0"/>
    <w:pPr>
      <w:snapToGrid w:val="0"/>
      <w:jc w:val="left"/>
    </w:pPr>
    <w:rPr>
      <w:sz w:val="18"/>
      <w:szCs w:val="18"/>
    </w:rPr>
  </w:style>
  <w:style w:type="character" w:customStyle="1" w:styleId="13">
    <w:name w:val="页眉 Char"/>
    <w:basedOn w:val="12"/>
    <w:link w:val="9"/>
    <w:qFormat/>
    <w:uiPriority w:val="99"/>
    <w:rPr>
      <w:sz w:val="18"/>
      <w:szCs w:val="18"/>
    </w:rPr>
  </w:style>
  <w:style w:type="character" w:customStyle="1" w:styleId="14">
    <w:name w:val="页脚 Char"/>
    <w:basedOn w:val="12"/>
    <w:link w:val="8"/>
    <w:qFormat/>
    <w:uiPriority w:val="99"/>
    <w:rPr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2"/>
    <w:link w:val="7"/>
    <w:semiHidden/>
    <w:qFormat/>
    <w:uiPriority w:val="99"/>
    <w:rPr>
      <w:sz w:val="18"/>
      <w:szCs w:val="18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2e0f4017-2f59-4834-99a2-99e1f6453185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E125145</paraID>
      <start>6</start>
      <end>7</end>
      <status>unmodified</status>
      <modifiedWord/>
      <trackRevisions>false</trackRevisions>
    </reviewItem>
    <reviewItem>
      <errorID>00e78174-a0f9-464c-bfbb-790722ee7a1e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160A890C</paraID>
      <start>38</start>
      <end>39</end>
      <status>unmodified</status>
      <modifiedWord/>
      <trackRevisions>false</trackRevisions>
    </reviewItem>
    <reviewItem>
      <errorID>2edbcadd-0e57-418f-8282-66b6ba73e17b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F88D839</paraID>
      <start>38</start>
      <end>39</end>
      <status>unmodified</status>
      <modifiedWord/>
      <trackRevisions>false</trackRevisions>
    </reviewItem>
    <reviewItem>
      <errorID>6191bd4a-a96b-4a71-80f8-0284a3402d15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3F13F3A5</paraID>
      <start>81</start>
      <end>82</end>
      <status>unmodified</status>
      <modifiedWord/>
      <trackRevisions>false</trackRevisions>
    </reviewItem>
    <reviewItem>
      <errorID>04a6f9ae-52d6-4347-9f1d-88d5a9eef8f7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3F13F3A5</paraID>
      <start>100</start>
      <end>101</end>
      <status>unmodified</status>
      <modifiedWord/>
      <trackRevisions>false</trackRevisions>
    </reviewItem>
    <reviewItem>
      <errorID>12864a6d-60a3-405a-b760-08fc73dc714c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6277F296</paraID>
      <start>0</start>
      <end>2</end>
      <status>unmodified</status>
      <modifiedWord/>
      <trackRevisions>false</trackRevisions>
    </reviewItem>
    <reviewItem>
      <errorID>d487d891-c31f-47ca-8e20-f94dabccf9d5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49ED96C5</paraID>
      <start>0</start>
      <end>2</end>
      <status>unmodified</status>
      <modifiedWord/>
      <trackRevisions>false</trackRevisions>
    </reviewItem>
    <reviewItem>
      <errorID>f685845f-3752-48f7-b36f-452004abaf73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6BB8450B</paraID>
      <start>0</start>
      <end>2</end>
      <status>unmodified</status>
      <modifiedWord/>
      <trackRevisions>false</trackRevisions>
    </reviewItem>
    <reviewItem>
      <errorID>89401e46-6cdd-4a00-8bc1-f19fa403507f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7EA70976</paraID>
      <start>0</start>
      <end>2</end>
      <status>unmodified</status>
      <modifiedWord/>
      <trackRevisions>false</trackRevisions>
    </reviewItem>
    <reviewItem>
      <errorID>06eaf2ed-f972-4155-aa82-f7919e46fe59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349139E1</paraID>
      <start>0</start>
      <end>2</end>
      <status>unmodified</status>
      <modifiedWord/>
      <trackRevisions>false</trackRevisions>
    </reviewItem>
    <reviewItem>
      <errorID>0ad57939-dde5-4c04-8e24-ddce2d6cf2aa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703ACDE0</paraID>
      <start>0</start>
      <end>2</end>
      <status>unmodified</status>
      <modifiedWord/>
      <trackRevisions>false</trackRevisions>
    </reviewItem>
    <reviewItem>
      <errorID>2148723b-334a-4028-90a9-a761fca69184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7E2A3352</paraID>
      <start>0</start>
      <end>2</end>
      <status>unmodified</status>
      <modifiedWord/>
      <trackRevisions>false</trackRevisions>
    </reviewItem>
    <reviewItem>
      <errorID>3f345b40-f2bd-46a1-a5b0-d489fd96e797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3FB02235</paraID>
      <start>25</start>
      <end>26</end>
      <status>unmodified</status>
      <modifiedWord/>
      <trackRevisions>false</trackRevisions>
    </reviewItem>
    <reviewItem>
      <errorID>54b00f05-5dbc-418e-84cf-672178d14d74</errorID>
      <errorWord>）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7728C0B8</paraID>
      <start>31</start>
      <end>32</end>
      <status>unmodified</status>
      <modifiedWord/>
      <trackRevisions>false</trackRevisions>
    </reviewItem>
    <reviewItem>
      <errorID>3ffee446-5928-4fcf-9fde-7679218b4fd6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18177AC1</paraID>
      <start>62</start>
      <end>63</end>
      <status>unmodified</status>
      <modifiedWord/>
      <trackRevisions>false</trackRevisions>
    </reviewItem>
    <reviewItem>
      <errorID>129dbd19-83ff-4378-89cf-b3f4711bbf03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18177AC1</paraID>
      <start>80</start>
      <end>81</end>
      <status>modified</status>
      <modifiedWord>地</modifiedWord>
      <trackRevisions>false</trackRevisions>
    </reviewItem>
    <reviewItem>
      <errorID>ba3f1c93-1ae3-4dea-9b8b-4da912924a1b</errorID>
      <errorWord>万远</errorWord>
      <group>L1_Word</group>
      <groupName>字词问题</groupName>
      <ability>L2_Typo</ability>
      <abilityName>字词错误</abilityName>
      <candidateList>
        <item>万元</item>
      </candidateList>
      <explain/>
      <paraID>79631C02</paraID>
      <start>40</start>
      <end>42</end>
      <status>modified</status>
      <modifiedWord>万元</modifiedWord>
      <trackRevisions>false</trackRevisions>
    </reviewItem>
    <reviewItem>
      <errorID>59a0e649-af7c-4363-a6a9-459037da9c96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328B9ACD</paraID>
      <start>0</start>
      <end>2</end>
      <status>modified</status>
      <modifiedWord>1.</modifiedWord>
      <trackRevisions>false</trackRevisions>
    </reviewItem>
    <reviewItem>
      <errorID>9a842b1d-efa5-44f0-af6e-8b940b1a4a26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50522F4E</paraID>
      <start>0</start>
      <end>2</end>
      <status>modified</status>
      <modifiedWord>2.</modifiedWord>
      <trackRevisions>false</trackRevisions>
    </reviewItem>
    <reviewItem>
      <errorID>3a71beea-1074-4af3-93d0-cc98641a95e6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2430CB07</paraID>
      <start>4</start>
      <end>6</end>
      <status>modified</status>
      <modifiedWord>1.</modifiedWord>
      <trackRevisions>false</trackRevisions>
    </reviewItem>
    <reviewItem>
      <errorID>8e5e4a02-b6e7-4371-8312-c29cfd793e76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530E8244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e1b890-d534-422a-910b-f9548fd90b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23</Pages>
  <Words>573</Words>
  <Characters>579</Characters>
  <Lines>69</Lines>
  <Paragraphs>19</Paragraphs>
  <TotalTime>0</TotalTime>
  <ScaleCrop>false</ScaleCrop>
  <LinksUpToDate>false</LinksUpToDate>
  <CharactersWithSpaces>588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2025-08-20T02:17:00Z</dcterms:created>
  <dc:creator>李航 null</dc:creator>
  <cp:lastModifiedBy>安宁</cp:lastModifiedBy>
  <cp:lastPrinted>2026-09-29T07:41:59Z</cp:lastPrinted>
  <dcterms:modified xsi:type="dcterms:W3CDTF">2026-09-29T07:45:11Z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BB7B6AA21D207914D6FDA268992A22D6</vt:lpwstr>
  </property>
  <property fmtid="{D5CDD505-2E9C-101B-9397-08002B2CF9AE}" pid="4" name="KSOTemplateDocerSaveRecord">
    <vt:lpwstr>eyJoZGlkIjoiZjcwZGQ3N2NiNjBhYTU1NzZiNmNmNjQ2NTE1ZDNiNDAiLCJ1c2VySWQiOiI1ODcxMzQwNjMifQ==</vt:lpwstr>
  </property>
</Properties>
</file>