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00C7F">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3A9E2F4">
      <w:pPr>
        <w:pStyle w:val="13"/>
        <w:jc w:val="center"/>
        <w:rPr>
          <w:rFonts w:ascii="Times New Roman" w:hAnsi="Times New Roman" w:cs="Times New Roman"/>
          <w:sz w:val="56"/>
          <w:szCs w:val="56"/>
        </w:rPr>
      </w:pPr>
    </w:p>
    <w:p w14:paraId="39CEA9BA">
      <w:pPr>
        <w:pStyle w:val="13"/>
        <w:jc w:val="center"/>
        <w:rPr>
          <w:rFonts w:ascii="Times New Roman" w:hAnsi="Times New Roman" w:cs="Times New Roman"/>
          <w:sz w:val="84"/>
          <w:szCs w:val="84"/>
        </w:rPr>
      </w:pPr>
    </w:p>
    <w:p w14:paraId="2B9311AC">
      <w:pPr>
        <w:pStyle w:val="13"/>
        <w:jc w:val="center"/>
        <w:rPr>
          <w:rFonts w:ascii="Times New Roman" w:hAnsi="Times New Roman" w:cs="Times New Roman"/>
          <w:sz w:val="84"/>
          <w:szCs w:val="84"/>
        </w:rPr>
      </w:pPr>
    </w:p>
    <w:p w14:paraId="2607128B">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36E37A6">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永州市司法局</w:t>
      </w:r>
      <w:r>
        <w:rPr>
          <w:rFonts w:ascii="Times New Roman" w:hAnsi="Times New Roman" w:eastAsia="方正小标宋简体" w:cs="Times New Roman"/>
          <w:sz w:val="72"/>
          <w:szCs w:val="72"/>
        </w:rPr>
        <w:t>部门决算</w:t>
      </w:r>
    </w:p>
    <w:p w14:paraId="5E5E6E88">
      <w:pPr>
        <w:pStyle w:val="13"/>
        <w:jc w:val="center"/>
        <w:rPr>
          <w:rFonts w:ascii="Times New Roman" w:hAnsi="Times New Roman" w:eastAsia="方正小标宋_GBK" w:cs="Times New Roman"/>
          <w:sz w:val="56"/>
          <w:szCs w:val="56"/>
        </w:rPr>
      </w:pPr>
    </w:p>
    <w:p w14:paraId="4DA046EE">
      <w:pPr>
        <w:pStyle w:val="13"/>
        <w:jc w:val="center"/>
        <w:rPr>
          <w:rFonts w:ascii="Times New Roman" w:hAnsi="Times New Roman" w:cs="Times New Roman"/>
          <w:sz w:val="56"/>
          <w:szCs w:val="56"/>
        </w:rPr>
      </w:pPr>
    </w:p>
    <w:p w14:paraId="32095B78">
      <w:pPr>
        <w:pStyle w:val="13"/>
        <w:rPr>
          <w:rFonts w:ascii="Times New Roman" w:hAnsi="Times New Roman" w:cs="Times New Roman"/>
          <w:sz w:val="56"/>
          <w:szCs w:val="56"/>
        </w:rPr>
      </w:pPr>
    </w:p>
    <w:p w14:paraId="0C888D25">
      <w:pPr>
        <w:pStyle w:val="13"/>
        <w:jc w:val="center"/>
        <w:rPr>
          <w:rFonts w:ascii="Times New Roman" w:hAnsi="Times New Roman" w:cs="Times New Roman"/>
          <w:sz w:val="32"/>
          <w:szCs w:val="32"/>
        </w:rPr>
      </w:pPr>
    </w:p>
    <w:p w14:paraId="5A369774">
      <w:pPr>
        <w:pStyle w:val="13"/>
        <w:jc w:val="center"/>
        <w:rPr>
          <w:rFonts w:ascii="Times New Roman" w:hAnsi="Times New Roman" w:cs="Times New Roman"/>
          <w:sz w:val="32"/>
          <w:szCs w:val="32"/>
        </w:rPr>
      </w:pPr>
    </w:p>
    <w:p w14:paraId="119A4680">
      <w:pPr>
        <w:pStyle w:val="13"/>
        <w:jc w:val="center"/>
        <w:rPr>
          <w:rFonts w:ascii="Times New Roman" w:hAnsi="Times New Roman" w:cs="Times New Roman"/>
          <w:sz w:val="32"/>
          <w:szCs w:val="32"/>
        </w:rPr>
      </w:pPr>
    </w:p>
    <w:p w14:paraId="2FCD2DB8">
      <w:pPr>
        <w:pStyle w:val="13"/>
        <w:jc w:val="center"/>
        <w:rPr>
          <w:rFonts w:ascii="Times New Roman" w:hAnsi="Times New Roman" w:cs="Times New Roman"/>
          <w:sz w:val="32"/>
          <w:szCs w:val="32"/>
        </w:rPr>
      </w:pPr>
    </w:p>
    <w:p w14:paraId="62F2E532">
      <w:pPr>
        <w:pStyle w:val="13"/>
        <w:jc w:val="center"/>
        <w:rPr>
          <w:rFonts w:ascii="Times New Roman" w:hAnsi="Times New Roman" w:cs="Times New Roman"/>
          <w:sz w:val="32"/>
          <w:szCs w:val="32"/>
        </w:rPr>
      </w:pPr>
    </w:p>
    <w:p w14:paraId="64528C83">
      <w:pPr>
        <w:pStyle w:val="13"/>
        <w:jc w:val="center"/>
        <w:rPr>
          <w:rFonts w:ascii="Times New Roman" w:hAnsi="Times New Roman" w:cs="Times New Roman"/>
          <w:sz w:val="32"/>
          <w:szCs w:val="32"/>
        </w:rPr>
      </w:pPr>
    </w:p>
    <w:p w14:paraId="4524893A">
      <w:pPr>
        <w:pStyle w:val="13"/>
        <w:spacing w:line="540" w:lineRule="exact"/>
        <w:jc w:val="center"/>
        <w:rPr>
          <w:rFonts w:ascii="Times New Roman" w:hAnsi="Times New Roman" w:cs="Times New Roman"/>
          <w:sz w:val="56"/>
          <w:szCs w:val="56"/>
        </w:rPr>
      </w:pPr>
    </w:p>
    <w:p w14:paraId="7F8338AF">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9C410E0">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F2B37A8">
      <w:pPr>
        <w:pStyle w:val="13"/>
        <w:spacing w:line="600" w:lineRule="exact"/>
        <w:jc w:val="both"/>
        <w:rPr>
          <w:rFonts w:ascii="Times New Roman" w:hAnsi="Times New Roman" w:cs="Times New Roman"/>
          <w:b/>
          <w:sz w:val="36"/>
          <w:szCs w:val="28"/>
        </w:rPr>
      </w:pPr>
    </w:p>
    <w:p w14:paraId="182131DE">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6DF2C86">
      <w:pPr>
        <w:pStyle w:val="13"/>
        <w:spacing w:line="600" w:lineRule="exact"/>
        <w:jc w:val="center"/>
        <w:rPr>
          <w:rFonts w:ascii="Times New Roman" w:hAnsi="Times New Roman" w:cs="Times New Roman"/>
          <w:b/>
          <w:sz w:val="36"/>
          <w:szCs w:val="28"/>
        </w:rPr>
      </w:pPr>
    </w:p>
    <w:p w14:paraId="1E0287FF">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永州市司法局</w:t>
      </w:r>
      <w:r>
        <w:rPr>
          <w:rFonts w:ascii="Times New Roman" w:hAnsi="Times New Roman" w:cs="Times New Roman"/>
          <w:bCs/>
          <w:sz w:val="32"/>
          <w:szCs w:val="32"/>
        </w:rPr>
        <w:t>概况</w:t>
      </w:r>
    </w:p>
    <w:p w14:paraId="284A230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B389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F91CDC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1EF790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06680C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9AF06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6356F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A2F893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4B7669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47F29D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7F492B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6C5D8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772E953">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1B603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DC3DE5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7191B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541A9C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DE78BD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B2AB6A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F80D62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0162C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54DDE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3F4B1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26C50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8C0AC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64CACD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DE84A6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2873C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9F5935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9120731">
      <w:pPr>
        <w:pStyle w:val="13"/>
        <w:spacing w:line="600" w:lineRule="exact"/>
        <w:rPr>
          <w:rFonts w:ascii="Times New Roman" w:hAnsi="Times New Roman" w:cs="Times New Roman"/>
          <w:bCs/>
          <w:sz w:val="28"/>
          <w:szCs w:val="28"/>
        </w:rPr>
      </w:pPr>
    </w:p>
    <w:p w14:paraId="5ED270FC">
      <w:pPr>
        <w:jc w:val="center"/>
        <w:rPr>
          <w:rFonts w:ascii="Times New Roman" w:hAnsi="Times New Roman" w:cs="Times New Roman"/>
          <w:sz w:val="72"/>
          <w:szCs w:val="72"/>
        </w:rPr>
      </w:pPr>
    </w:p>
    <w:p w14:paraId="6295FDD7">
      <w:pPr>
        <w:jc w:val="center"/>
        <w:rPr>
          <w:rFonts w:ascii="Times New Roman" w:hAnsi="Times New Roman" w:cs="Times New Roman"/>
          <w:sz w:val="72"/>
          <w:szCs w:val="72"/>
        </w:rPr>
      </w:pPr>
    </w:p>
    <w:p w14:paraId="5FCCF7A1">
      <w:pPr>
        <w:jc w:val="center"/>
        <w:rPr>
          <w:rFonts w:ascii="Times New Roman" w:hAnsi="Times New Roman" w:cs="Times New Roman"/>
          <w:sz w:val="72"/>
          <w:szCs w:val="72"/>
        </w:rPr>
      </w:pPr>
    </w:p>
    <w:p w14:paraId="74BC017A">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0A410A5">
      <w:pPr>
        <w:rPr>
          <w:rFonts w:ascii="Times New Roman" w:hAnsi="Times New Roman" w:eastAsia="方正小标宋_GBK" w:cs="Times New Roman"/>
          <w:sz w:val="72"/>
          <w:szCs w:val="72"/>
        </w:rPr>
      </w:pPr>
    </w:p>
    <w:p w14:paraId="0AF4EF1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8850BB">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永州市司法局</w:t>
      </w:r>
      <w:r>
        <w:rPr>
          <w:rFonts w:ascii="Times New Roman" w:hAnsi="Times New Roman" w:eastAsia="方正小标宋_GBK" w:cs="Times New Roman"/>
          <w:sz w:val="52"/>
          <w:szCs w:val="52"/>
        </w:rPr>
        <w:t>概况</w:t>
      </w:r>
    </w:p>
    <w:p w14:paraId="62A46E7A">
      <w:pPr>
        <w:pStyle w:val="5"/>
        <w:ind w:left="0" w:leftChars="0" w:firstLine="0" w:firstLineChars="0"/>
        <w:rPr>
          <w:rFonts w:ascii="Times New Roman" w:hAnsi="Times New Roman" w:cs="Times New Roman"/>
        </w:rPr>
      </w:pPr>
    </w:p>
    <w:p w14:paraId="55607E37">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016281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(一)承担全面依法治市重大问题的政策研究，协调有关方面提出全面依法治市中长期规划建议，负责有关重大决策部署督察工作。 　　 　　</w:t>
      </w:r>
    </w:p>
    <w:p w14:paraId="6225ED26">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承担统筹规划立法工作的责任。协调有关方面提出立法规划和年度立法工作计划的建议。负责跟踪了解各有关部门对立法工作计划的落实情况，加强组织协调和督促指导，研究提出立法与改革决策相衔接的意见、措施。负责面向社会征集法规规章制定项目建议。 　　</w:t>
      </w:r>
    </w:p>
    <w:p w14:paraId="06B59217">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(三)负责起草或者组织起草有关地方性法规、规章草案。承办有关地方性法规和规章草案的审查工作。负责立法协调。 　　</w:t>
      </w:r>
    </w:p>
    <w:p w14:paraId="6D27B6D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(四)承办市政府规章的解释、立法后评估工作。负责协调各县区各部门实施法律法规和规章中的有关争议和问题。承办市政府规章清理、编纂工作，承办市政府规章报备工作。 　　</w:t>
      </w:r>
    </w:p>
    <w:p w14:paraId="7B3F9DE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指导全市规范性文件管理有关工作，承担市政府规范性文件送审稿的合法性审查工作，承办市政府及其部门规范性文件的登记工作。负责市政府规范性文件向省政府报送备案工作。负责县区政府规范性文件备案审查工作。受理有关规范性文件违法的审查申请。组织开展规范性文件清理工作。承担市政府法律顾问工作，负责对市政府重大行政决策进行合法性审查或论证说明。 　　</w:t>
      </w:r>
    </w:p>
    <w:p w14:paraId="751AC386">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承担统筹推进法治政府建设的责任。指导、监督市政府各部门、地方各级政府依法行政工作。负责综合协调行政执法，承担推进行政执法体制改革有关工作，推进严格规范公正文明执法。负责承办或协调相关单位承办市政府作为被申请人的行政复议事项。指导、监督全市行政复议和行政应诉工作，负责行政复议和行政应诉案件办理工作。承担市政府行政复议办公室的日常工作。　 　　</w:t>
      </w:r>
    </w:p>
    <w:p w14:paraId="195C32EA">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承担统筹规划全市法治社会建设的责任。负责拟定法治宣传教育规划，组织实施普法宣传工作，组织对外法治宣传。推动人民参与和促进法治建设。指导依法治理和法治创建工作。指导调解工作和人民陪审员、人民监督员选任管理工作，推进司法所建设。 　　</w:t>
      </w:r>
    </w:p>
    <w:p w14:paraId="75FD6ACD">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(八)指导、管理社区矫正工作。指导刑满释放人员帮教安置工作。　　</w:t>
      </w:r>
    </w:p>
    <w:p w14:paraId="441D73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(九)负责司法行政戒毒场所管理工作。指导、监督本系统强制隔离戒毒执行和戒毒康复工作。对社区戒毒和社区康复工作提供指导、支持和协助。管理市强制隔离戒毒所。 　　</w:t>
      </w:r>
    </w:p>
    <w:p w14:paraId="77FB2DF2">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(十)负责拟定公共法律服务体系建设规划并指导实施，统筹和布局城乡、区域法律服务资源。指导、监督律师、法律援助、司法鉴定、公证和基层法律服务管理工作。联系指导仲裁工作。 　　</w:t>
      </w:r>
    </w:p>
    <w:p w14:paraId="0358D885">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(十一)负责全市国家统一法律职业资格考试的组织实施工作。负责全市国家统一法律职业资格证书申请的初审呈报和证书发放及管理有关工作。负责规划和指导法律职业人员入职前培训工作。</w:t>
      </w:r>
    </w:p>
    <w:p w14:paraId="0C7FC71F">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(十二)负责全市法治对外合作工作。组织开展法治对外合作交流。</w:t>
      </w:r>
    </w:p>
    <w:p w14:paraId="6E8E8F5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(十三)负责本系统枪支、弹药、服装和警车管理工作，指导、监督本系统财务、装备、设施、场所等保障工作。 　　</w:t>
      </w:r>
    </w:p>
    <w:p w14:paraId="6A41D39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(十四)规划、协调、指导法治人才队伍建设相关工作。指导、监督本系统队伍建设。负责本系统警务管理和警务督察工作。协助各县区管理司法局领导干部。 　　</w:t>
      </w:r>
    </w:p>
    <w:p w14:paraId="0A05A64A">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(十五)完成市委、市政府交办的其他任务。</w:t>
      </w:r>
    </w:p>
    <w:p w14:paraId="67A628F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745FAFF">
      <w:pPr>
        <w:spacing w:line="600" w:lineRule="exact"/>
        <w:ind w:firstLine="803" w:firstLineChars="250"/>
        <w:jc w:val="left"/>
        <w:rPr>
          <w:rFonts w:hint="eastAsia" w:ascii="Times New Roman" w:hAnsi="Times New Roman" w:eastAsia="仿宋_GB2312" w:cs="Times New Roman"/>
          <w:sz w:val="32"/>
          <w:szCs w:val="32"/>
        </w:rPr>
      </w:pPr>
      <w:r>
        <w:rPr>
          <w:rFonts w:hint="eastAsia" w:ascii="楷体" w:hAnsi="楷体" w:eastAsia="楷体" w:cs="楷体"/>
          <w:b/>
          <w:bCs/>
          <w:sz w:val="32"/>
          <w:szCs w:val="32"/>
        </w:rPr>
        <w:t>（一）内设机构设置。</w:t>
      </w:r>
      <w:r>
        <w:rPr>
          <w:rFonts w:hint="eastAsia" w:ascii="Times New Roman" w:hAnsi="Times New Roman" w:eastAsia="仿宋_GB2312" w:cs="Times New Roman"/>
          <w:sz w:val="32"/>
          <w:szCs w:val="32"/>
        </w:rPr>
        <w:t>永州市司法局内设机构包括：市委依法治市办秘书科、办公室、法治调研与督察科、立法科、信息化建设与戒毒管理科、社区矫正管理科、行政复议与应诉一科、行政复议与应诉二科、行政执法协调监督科、规范性文件管理科、法律事务科、普法与依法治理科、人民参与和促进法治科、公共法律服务管理科、律师工作科、法律职业资格管理与对外合作交流科、装备财务保障科、政治部、警务管理科、教育培训科、机关党委、离退休人员服务科等二十二个职能科室及永州市法律援助中心一个内设二级机构。核定编制为74名，现有在编在岗71人，其中处级干部17人，科级及以下人员54人，离退休人员58人。车辆编制数6台，实有车辆5台。</w:t>
      </w:r>
    </w:p>
    <w:p w14:paraId="3FB19274">
      <w:pPr>
        <w:spacing w:line="600" w:lineRule="exact"/>
        <w:ind w:firstLine="803" w:firstLineChars="250"/>
        <w:jc w:val="left"/>
        <w:rPr>
          <w:rFonts w:hint="eastAsia" w:ascii="Times New Roman" w:hAnsi="Times New Roman" w:eastAsia="仿宋_GB2312" w:cs="Times New Roman"/>
          <w:bCs/>
          <w:kern w:val="0"/>
          <w:sz w:val="32"/>
          <w:szCs w:val="32"/>
          <w:lang w:eastAsia="zh-CN"/>
        </w:rPr>
      </w:pPr>
      <w:r>
        <w:rPr>
          <w:rFonts w:hint="eastAsia" w:ascii="楷体" w:hAnsi="楷体" w:eastAsia="楷体" w:cs="楷体"/>
          <w:b/>
          <w:bCs w:val="0"/>
          <w:kern w:val="0"/>
          <w:sz w:val="32"/>
          <w:szCs w:val="32"/>
        </w:rPr>
        <w:t>（二）决算单位构成。</w:t>
      </w:r>
      <w:r>
        <w:rPr>
          <w:rFonts w:hint="eastAsia" w:ascii="Times New Roman" w:hAnsi="Times New Roman" w:eastAsia="仿宋_GB2312" w:cs="Times New Roman"/>
          <w:bCs/>
          <w:kern w:val="0"/>
          <w:sz w:val="32"/>
          <w:szCs w:val="32"/>
          <w:lang w:eastAsia="zh-CN"/>
        </w:rPr>
        <w:t>永州市司法局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永州市司法局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61800A88">
      <w:pPr>
        <w:jc w:val="left"/>
        <w:rPr>
          <w:rFonts w:ascii="Times New Roman" w:hAnsi="Times New Roman" w:eastAsia="仿宋_GB2312" w:cs="Times New Roman"/>
          <w:sz w:val="28"/>
          <w:szCs w:val="32"/>
        </w:rPr>
      </w:pPr>
    </w:p>
    <w:p w14:paraId="763D0100">
      <w:pPr>
        <w:jc w:val="center"/>
        <w:rPr>
          <w:rFonts w:ascii="Times New Roman" w:hAnsi="Times New Roman" w:eastAsia="黑体" w:cs="Times New Roman"/>
          <w:sz w:val="28"/>
          <w:szCs w:val="28"/>
        </w:rPr>
      </w:pPr>
    </w:p>
    <w:p w14:paraId="7961FADE">
      <w:pPr>
        <w:jc w:val="center"/>
        <w:rPr>
          <w:rFonts w:ascii="Times New Roman" w:hAnsi="Times New Roman" w:eastAsia="黑体" w:cs="Times New Roman"/>
          <w:sz w:val="28"/>
          <w:szCs w:val="28"/>
        </w:rPr>
      </w:pPr>
    </w:p>
    <w:p w14:paraId="4CB3732F">
      <w:pPr>
        <w:jc w:val="center"/>
        <w:rPr>
          <w:rFonts w:ascii="Times New Roman" w:hAnsi="Times New Roman" w:eastAsia="黑体" w:cs="Times New Roman"/>
          <w:sz w:val="28"/>
          <w:szCs w:val="28"/>
        </w:rPr>
      </w:pPr>
    </w:p>
    <w:p w14:paraId="4FE42852">
      <w:pPr>
        <w:jc w:val="center"/>
        <w:rPr>
          <w:rFonts w:ascii="Times New Roman" w:hAnsi="Times New Roman" w:eastAsia="黑体" w:cs="Times New Roman"/>
          <w:sz w:val="28"/>
          <w:szCs w:val="28"/>
        </w:rPr>
      </w:pPr>
    </w:p>
    <w:p w14:paraId="38B21D53">
      <w:pPr>
        <w:jc w:val="center"/>
        <w:rPr>
          <w:rFonts w:ascii="Times New Roman" w:hAnsi="Times New Roman" w:eastAsia="黑体" w:cs="Times New Roman"/>
          <w:sz w:val="28"/>
          <w:szCs w:val="28"/>
        </w:rPr>
      </w:pPr>
    </w:p>
    <w:p w14:paraId="1419E133">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DDC95BF">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D81376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7D2D4B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04FB77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永州市司法局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0F647A5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38F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7C5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C47BBB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57F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64F0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505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F45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EE77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1BF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51441C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2BE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9DA2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ACE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248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93C6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C09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87801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29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0E1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7684">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1830.9</w:t>
            </w: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632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E29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7233">
            <w:pPr>
              <w:jc w:val="right"/>
              <w:rPr>
                <w:rFonts w:ascii="Times New Roman" w:hAnsi="Times New Roman" w:eastAsia="仿宋_GB2312" w:cs="Times New Roman"/>
                <w:color w:val="000000"/>
                <w:sz w:val="22"/>
              </w:rPr>
            </w:pPr>
          </w:p>
        </w:tc>
      </w:tr>
      <w:tr w14:paraId="5EA9CEA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F45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26B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7F3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1FB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2B1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6581">
            <w:pPr>
              <w:jc w:val="right"/>
              <w:rPr>
                <w:rFonts w:ascii="Times New Roman" w:hAnsi="Times New Roman" w:eastAsia="仿宋_GB2312" w:cs="Times New Roman"/>
                <w:color w:val="000000"/>
                <w:sz w:val="22"/>
              </w:rPr>
            </w:pPr>
          </w:p>
        </w:tc>
      </w:tr>
      <w:tr w14:paraId="69C97D1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AC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BD0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72A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F00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C5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C29F">
            <w:pPr>
              <w:jc w:val="right"/>
              <w:rPr>
                <w:rFonts w:ascii="Times New Roman" w:hAnsi="Times New Roman" w:eastAsia="仿宋_GB2312" w:cs="Times New Roman"/>
                <w:color w:val="000000"/>
                <w:sz w:val="22"/>
              </w:rPr>
            </w:pPr>
          </w:p>
        </w:tc>
      </w:tr>
      <w:tr w14:paraId="1A43D2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933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E5F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F63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33C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29F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5E12">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1830.9</w:t>
            </w:r>
            <w:r>
              <w:rPr>
                <w:rFonts w:hint="eastAsia" w:ascii="Times New Roman" w:hAnsi="Times New Roman" w:eastAsia="仿宋_GB2312" w:cs="Times New Roman"/>
                <w:color w:val="000000"/>
                <w:sz w:val="22"/>
                <w:lang w:val="en-US" w:eastAsia="zh-CN"/>
              </w:rPr>
              <w:t>0</w:t>
            </w:r>
          </w:p>
        </w:tc>
      </w:tr>
      <w:tr w14:paraId="11CB33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B46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B04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1B7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392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B6E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5ADC">
            <w:pPr>
              <w:jc w:val="right"/>
              <w:rPr>
                <w:rFonts w:ascii="Times New Roman" w:hAnsi="Times New Roman" w:eastAsia="仿宋_GB2312" w:cs="Times New Roman"/>
                <w:color w:val="000000"/>
                <w:sz w:val="22"/>
              </w:rPr>
            </w:pPr>
          </w:p>
        </w:tc>
      </w:tr>
      <w:tr w14:paraId="3D5D2C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5FB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B4D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C75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E0DC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B1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20B3">
            <w:pPr>
              <w:jc w:val="right"/>
              <w:rPr>
                <w:rFonts w:ascii="Times New Roman" w:hAnsi="Times New Roman" w:eastAsia="仿宋_GB2312" w:cs="Times New Roman"/>
                <w:color w:val="000000"/>
                <w:sz w:val="22"/>
              </w:rPr>
            </w:pPr>
          </w:p>
        </w:tc>
      </w:tr>
      <w:tr w14:paraId="749105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4A9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859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1EF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38B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CEE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E2E0">
            <w:pPr>
              <w:jc w:val="right"/>
              <w:rPr>
                <w:rFonts w:ascii="Times New Roman" w:hAnsi="Times New Roman" w:eastAsia="仿宋_GB2312" w:cs="Times New Roman"/>
                <w:color w:val="000000"/>
                <w:sz w:val="22"/>
              </w:rPr>
            </w:pPr>
          </w:p>
        </w:tc>
      </w:tr>
      <w:tr w14:paraId="17C755A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D1EC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29B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C567">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2C4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F7D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07C94">
            <w:pPr>
              <w:jc w:val="center"/>
              <w:rPr>
                <w:rFonts w:ascii="Times New Roman" w:hAnsi="Times New Roman" w:eastAsia="仿宋_GB2312" w:cs="Times New Roman"/>
                <w:color w:val="000000"/>
                <w:sz w:val="22"/>
              </w:rPr>
            </w:pPr>
          </w:p>
        </w:tc>
      </w:tr>
      <w:tr w14:paraId="42EF93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26CE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F34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8D2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3B2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D09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6B5E">
            <w:pPr>
              <w:rPr>
                <w:rFonts w:ascii="Times New Roman" w:hAnsi="Times New Roman" w:eastAsia="仿宋_GB2312" w:cs="Times New Roman"/>
                <w:b/>
                <w:color w:val="000000"/>
                <w:sz w:val="22"/>
              </w:rPr>
            </w:pPr>
          </w:p>
        </w:tc>
      </w:tr>
      <w:tr w14:paraId="68B019C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0A4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3E2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397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1830.9</w:t>
            </w: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494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EF4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B2A0">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1830.9</w:t>
            </w:r>
            <w:r>
              <w:rPr>
                <w:rFonts w:hint="eastAsia" w:ascii="Times New Roman" w:hAnsi="Times New Roman" w:eastAsia="仿宋_GB2312" w:cs="Times New Roman"/>
                <w:color w:val="000000"/>
                <w:sz w:val="22"/>
                <w:lang w:val="en-US" w:eastAsia="zh-CN"/>
              </w:rPr>
              <w:t>0</w:t>
            </w:r>
          </w:p>
        </w:tc>
      </w:tr>
      <w:tr w14:paraId="0C5D6A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28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5C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AB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06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E36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5067">
            <w:pPr>
              <w:rPr>
                <w:rFonts w:ascii="Times New Roman" w:hAnsi="Times New Roman" w:eastAsia="仿宋_GB2312" w:cs="Times New Roman"/>
                <w:color w:val="000000"/>
                <w:sz w:val="22"/>
              </w:rPr>
            </w:pPr>
          </w:p>
        </w:tc>
      </w:tr>
      <w:tr w14:paraId="1E8EC74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74D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CD5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EAAD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D2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792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C5F7">
            <w:pPr>
              <w:rPr>
                <w:rFonts w:ascii="Times New Roman" w:hAnsi="Times New Roman" w:eastAsia="仿宋_GB2312" w:cs="Times New Roman"/>
                <w:color w:val="000000"/>
                <w:sz w:val="22"/>
              </w:rPr>
            </w:pPr>
          </w:p>
        </w:tc>
      </w:tr>
      <w:tr w14:paraId="3C1F89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6AC0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182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813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1830.9</w:t>
            </w:r>
            <w:r>
              <w:rPr>
                <w:rFonts w:hint="eastAsia" w:ascii="Times New Roman" w:hAnsi="Times New Roman" w:eastAsia="仿宋_GB2312" w:cs="Times New Roman"/>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C88F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AED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069EF">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1830.9</w:t>
            </w:r>
            <w:r>
              <w:rPr>
                <w:rFonts w:hint="eastAsia" w:ascii="Times New Roman" w:hAnsi="Times New Roman" w:eastAsia="仿宋_GB2312" w:cs="Times New Roman"/>
                <w:color w:val="000000"/>
                <w:sz w:val="22"/>
                <w:lang w:val="en-US" w:eastAsia="zh-CN"/>
              </w:rPr>
              <w:t>0</w:t>
            </w:r>
          </w:p>
        </w:tc>
      </w:tr>
    </w:tbl>
    <w:p w14:paraId="1018194D">
      <w:pPr>
        <w:widowControl/>
        <w:jc w:val="left"/>
        <w:textAlignment w:val="center"/>
        <w:rPr>
          <w:rFonts w:ascii="Times New Roman" w:hAnsi="Times New Roman" w:eastAsia="宋体" w:cs="Times New Roman"/>
          <w:color w:val="000000"/>
          <w:kern w:val="0"/>
          <w:sz w:val="24"/>
          <w:szCs w:val="24"/>
          <w:lang w:bidi="ar"/>
        </w:rPr>
      </w:pPr>
    </w:p>
    <w:p w14:paraId="0B9EECE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653D899">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A25719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5AC2C2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13A54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3611C5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永州市司法局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33D894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BDC99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0F53B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FD0EE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B0370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C4683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0D48D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5E2D9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ACC44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24B58FA">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47E8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3D18D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5B81A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A58424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4CBA2C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B15F2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AD23E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66D53F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FF8CBDB">
            <w:pPr>
              <w:rPr>
                <w:rFonts w:ascii="Times New Roman" w:hAnsi="Times New Roman" w:eastAsia="仿宋_GB2312" w:cs="Times New Roman"/>
                <w:sz w:val="24"/>
                <w:szCs w:val="24"/>
              </w:rPr>
            </w:pPr>
          </w:p>
        </w:tc>
      </w:tr>
      <w:tr w14:paraId="0CF5100A">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28F29E5B">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F331BF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29470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F4FC00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A3BF34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0123C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E9588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A51977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0722B94">
            <w:pPr>
              <w:rPr>
                <w:rFonts w:ascii="Times New Roman" w:hAnsi="Times New Roman" w:eastAsia="仿宋_GB2312" w:cs="Times New Roman"/>
                <w:sz w:val="24"/>
                <w:szCs w:val="24"/>
              </w:rPr>
            </w:pPr>
          </w:p>
        </w:tc>
      </w:tr>
      <w:tr w14:paraId="4D65AB2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16D1D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36F27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8499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BFD48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363DF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A7A16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7E902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E4D51F">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B5F3AD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9BD935">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34E2CD">
            <w:pPr>
              <w:jc w:val="right"/>
              <w:rPr>
                <w:rFonts w:ascii="Times New Roman" w:hAnsi="Times New Roman" w:eastAsia="仿宋_GB2312" w:cs="Times New Roman"/>
                <w:sz w:val="24"/>
                <w:szCs w:val="24"/>
              </w:rPr>
            </w:pPr>
            <w:r>
              <w:rPr>
                <w:rFonts w:hint="eastAsia" w:ascii="Times New Roman" w:hAnsi="Times New Roman" w:eastAsia="仿宋_GB2312" w:cs="Times New Roman"/>
              </w:rPr>
              <w:t>1830.9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743A90">
            <w:pPr>
              <w:jc w:val="right"/>
              <w:rPr>
                <w:rFonts w:ascii="Times New Roman" w:hAnsi="Times New Roman" w:eastAsia="仿宋_GB2312" w:cs="Times New Roman"/>
                <w:sz w:val="24"/>
                <w:szCs w:val="24"/>
              </w:rPr>
            </w:pPr>
            <w:r>
              <w:rPr>
                <w:rFonts w:hint="eastAsia" w:ascii="Times New Roman" w:hAnsi="Times New Roman" w:eastAsia="仿宋_GB2312" w:cs="Times New Roman"/>
              </w:rPr>
              <w:t>1830.9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A3D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4DC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2BA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373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29D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151C45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09BE91">
            <w:pPr>
              <w:tabs>
                <w:tab w:val="center" w:pos="928"/>
              </w:tabs>
              <w:rPr>
                <w:rFonts w:hint="eastAsia" w:ascii="Times New Roman" w:hAnsi="Times New Roman" w:eastAsia="仿宋_GB2312" w:cs="Times New Roman"/>
                <w:sz w:val="24"/>
                <w:szCs w:val="24"/>
                <w:lang w:eastAsia="zh-CN"/>
              </w:rPr>
            </w:pPr>
            <w:r>
              <w:rPr>
                <w:rFonts w:ascii="Times New Roman" w:hAnsi="Times New Roman" w:eastAsia="仿宋_GB2312" w:cs="Times New Roman"/>
              </w:rPr>
              <w:t>　</w:t>
            </w:r>
            <w:r>
              <w:rPr>
                <w:rFonts w:hint="eastAsia" w:ascii="Times New Roman" w:hAnsi="Times New Roman" w:eastAsia="仿宋_GB2312" w:cs="Times New Roman"/>
                <w:lang w:eastAsia="zh-CN"/>
              </w:rPr>
              <w:t>2040601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AD79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90ABBF">
            <w:pPr>
              <w:jc w:val="right"/>
              <w:rPr>
                <w:rFonts w:ascii="Times New Roman" w:hAnsi="Times New Roman" w:eastAsia="仿宋_GB2312" w:cs="Times New Roman"/>
                <w:sz w:val="24"/>
                <w:szCs w:val="24"/>
              </w:rPr>
            </w:pPr>
            <w:r>
              <w:rPr>
                <w:rFonts w:hint="eastAsia" w:ascii="Times New Roman" w:hAnsi="Times New Roman" w:eastAsia="仿宋_GB2312" w:cs="Times New Roman"/>
              </w:rPr>
              <w:t>1557.9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15269F">
            <w:pPr>
              <w:jc w:val="right"/>
              <w:rPr>
                <w:rFonts w:ascii="Times New Roman" w:hAnsi="Times New Roman" w:eastAsia="仿宋_GB2312" w:cs="Times New Roman"/>
                <w:sz w:val="24"/>
                <w:szCs w:val="24"/>
              </w:rPr>
            </w:pPr>
            <w:r>
              <w:rPr>
                <w:rFonts w:hint="eastAsia" w:ascii="Times New Roman" w:hAnsi="Times New Roman" w:eastAsia="仿宋_GB2312" w:cs="Times New Roman"/>
              </w:rPr>
              <w:t>1557.9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45B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2CBB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A106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225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4AE5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E80E6A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24C8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C09EDE">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普法宣传</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8510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4597F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99F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277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613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036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2B4A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CE7ECB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49AA4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623376">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公共法律服务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55895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1AFC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CD2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88E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5BDC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5EA6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F0A5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6DF9C9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EF86D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F4E7C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其他司法支出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C109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253.00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243D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253.00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010B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B57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10C7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AFBD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5FD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86BF6E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28B8D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45321">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4B2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6BF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9F2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089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D21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9B9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410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480CAC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A1391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F7B41">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1A5B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3E1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1913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054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A0A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D70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5A44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062BA9A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41A57F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AC2FD57">
      <w:pPr>
        <w:widowControl/>
        <w:jc w:val="center"/>
        <w:textAlignment w:val="center"/>
        <w:rPr>
          <w:rFonts w:ascii="Times New Roman" w:hAnsi="Times New Roman" w:eastAsia="黑体" w:cs="Times New Roman"/>
          <w:color w:val="000000"/>
          <w:kern w:val="0"/>
          <w:sz w:val="32"/>
          <w:szCs w:val="32"/>
          <w:lang w:bidi="ar"/>
        </w:rPr>
      </w:pPr>
    </w:p>
    <w:p w14:paraId="225EB01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371DAE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C6E326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永州市司法局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364"/>
        <w:gridCol w:w="1686"/>
        <w:gridCol w:w="1877"/>
        <w:gridCol w:w="1275"/>
        <w:gridCol w:w="1276"/>
        <w:gridCol w:w="1819"/>
        <w:gridCol w:w="1276"/>
        <w:gridCol w:w="2638"/>
      </w:tblGrid>
      <w:tr w14:paraId="457FEC88">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5020D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8F3B8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1BBAE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AE652F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204CC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D5EF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99446D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80C4291">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7118D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14FB763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F51809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A8C775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7D49256">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6A674D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1E2B393">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9392F3A">
            <w:pPr>
              <w:widowControl/>
              <w:jc w:val="left"/>
              <w:rPr>
                <w:rFonts w:ascii="Times New Roman" w:hAnsi="Times New Roman" w:eastAsia="仿宋_GB2312" w:cs="Times New Roman"/>
                <w:b/>
                <w:bCs/>
                <w:kern w:val="0"/>
                <w:sz w:val="24"/>
                <w:szCs w:val="24"/>
              </w:rPr>
            </w:pPr>
          </w:p>
        </w:tc>
      </w:tr>
      <w:tr w14:paraId="523CC56E">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00B522AD">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334C1FF2">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7FFEF5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A4E933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FD632F1">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59C688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E724663">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A3AB902">
            <w:pPr>
              <w:widowControl/>
              <w:jc w:val="left"/>
              <w:rPr>
                <w:rFonts w:ascii="Times New Roman" w:hAnsi="Times New Roman" w:eastAsia="仿宋_GB2312" w:cs="Times New Roman"/>
                <w:kern w:val="0"/>
                <w:sz w:val="24"/>
                <w:szCs w:val="24"/>
              </w:rPr>
            </w:pPr>
          </w:p>
        </w:tc>
      </w:tr>
      <w:tr w14:paraId="7169BC9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5585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0CF109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207E81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7B7511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3C4DE5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601940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43F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84E2DC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92FEF9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38F6789B">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1830.9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7184F01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1557.9</w:t>
            </w:r>
            <w:r>
              <w:rPr>
                <w:rFonts w:hint="eastAsia" w:ascii="Times New Roman" w:hAnsi="Times New Roman" w:eastAsia="仿宋_GB2312" w:cs="Times New Roman"/>
                <w:lang w:val="en-US" w:eastAsia="zh-CN"/>
              </w:rPr>
              <w:t>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814636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273</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2A004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2B651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16E2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E95BF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EA0A2F">
            <w:pPr>
              <w:tabs>
                <w:tab w:val="center" w:pos="928"/>
              </w:tabs>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eastAsia="zh-CN"/>
              </w:rPr>
              <w:t>2040601</w:t>
            </w:r>
          </w:p>
        </w:tc>
        <w:tc>
          <w:tcPr>
            <w:tcW w:w="470" w:type="pct"/>
            <w:tcBorders>
              <w:top w:val="nil"/>
              <w:left w:val="nil"/>
              <w:bottom w:val="single" w:color="auto" w:sz="4" w:space="0"/>
              <w:right w:val="single" w:color="auto" w:sz="4" w:space="0"/>
            </w:tcBorders>
            <w:shd w:val="clear" w:color="000000" w:fill="FFFFFF"/>
            <w:noWrap/>
            <w:vAlign w:val="center"/>
          </w:tcPr>
          <w:p w14:paraId="378575CD">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877" w:type="dxa"/>
            <w:tcBorders>
              <w:top w:val="nil"/>
              <w:left w:val="nil"/>
              <w:bottom w:val="single" w:color="auto" w:sz="4" w:space="0"/>
              <w:right w:val="single" w:color="auto" w:sz="4" w:space="0"/>
            </w:tcBorders>
            <w:shd w:val="clear" w:color="auto" w:fill="auto"/>
            <w:noWrap/>
            <w:vAlign w:val="center"/>
          </w:tcPr>
          <w:p w14:paraId="6371CDEC">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1557.9</w:t>
            </w:r>
            <w:r>
              <w:rPr>
                <w:rFonts w:hint="eastAsia" w:ascii="Times New Roman" w:hAnsi="Times New Roman" w:eastAsia="仿宋_GB2312" w:cs="Times New Roman"/>
                <w:lang w:val="en-US" w:eastAsia="zh-CN"/>
              </w:rPr>
              <w:t>0</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171B304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1557.9</w:t>
            </w:r>
            <w:r>
              <w:rPr>
                <w:rFonts w:hint="eastAsia" w:ascii="Times New Roman" w:hAnsi="Times New Roman" w:eastAsia="仿宋_GB2312" w:cs="Times New Roman"/>
                <w:lang w:val="en-US" w:eastAsia="zh-CN"/>
              </w:rPr>
              <w:t>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E39E5B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B57710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9ECD3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EA1D8A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887A40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1E24DA">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2040605</w:t>
            </w:r>
          </w:p>
        </w:tc>
        <w:tc>
          <w:tcPr>
            <w:tcW w:w="470" w:type="pct"/>
            <w:tcBorders>
              <w:top w:val="nil"/>
              <w:left w:val="nil"/>
              <w:bottom w:val="single" w:color="auto" w:sz="4" w:space="0"/>
              <w:right w:val="single" w:color="auto" w:sz="4" w:space="0"/>
            </w:tcBorders>
            <w:shd w:val="clear" w:color="000000" w:fill="FFFFFF"/>
            <w:noWrap/>
            <w:vAlign w:val="center"/>
          </w:tcPr>
          <w:p w14:paraId="3DD95E3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普法宣传</w:t>
            </w:r>
          </w:p>
        </w:tc>
        <w:tc>
          <w:tcPr>
            <w:tcW w:w="1877" w:type="dxa"/>
            <w:tcBorders>
              <w:top w:val="nil"/>
              <w:left w:val="nil"/>
              <w:bottom w:val="single" w:color="auto" w:sz="4" w:space="0"/>
              <w:right w:val="single" w:color="auto" w:sz="4" w:space="0"/>
            </w:tcBorders>
            <w:shd w:val="clear" w:color="auto" w:fill="auto"/>
            <w:noWrap/>
            <w:vAlign w:val="center"/>
          </w:tcPr>
          <w:p w14:paraId="70550064">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8.00</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4AA6DC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76" w:type="dxa"/>
            <w:tcBorders>
              <w:top w:val="nil"/>
              <w:left w:val="nil"/>
              <w:bottom w:val="single" w:color="auto" w:sz="4" w:space="0"/>
              <w:right w:val="single" w:color="auto" w:sz="4" w:space="0"/>
            </w:tcBorders>
            <w:shd w:val="clear" w:color="auto" w:fill="auto"/>
            <w:noWrap/>
            <w:vAlign w:val="center"/>
          </w:tcPr>
          <w:p w14:paraId="1F12FF21">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8.00</w:t>
            </w:r>
            <w:r>
              <w:rPr>
                <w:rFonts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4C3127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659AB9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B8000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BB7A10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494C35">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2040607</w:t>
            </w:r>
          </w:p>
        </w:tc>
        <w:tc>
          <w:tcPr>
            <w:tcW w:w="470" w:type="pct"/>
            <w:tcBorders>
              <w:top w:val="nil"/>
              <w:left w:val="nil"/>
              <w:bottom w:val="single" w:color="auto" w:sz="4" w:space="0"/>
              <w:right w:val="single" w:color="auto" w:sz="4" w:space="0"/>
            </w:tcBorders>
            <w:shd w:val="clear" w:color="000000" w:fill="FFFFFF"/>
            <w:noWrap/>
            <w:vAlign w:val="center"/>
          </w:tcPr>
          <w:p w14:paraId="39343DF7">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公共法律服务</w:t>
            </w:r>
          </w:p>
        </w:tc>
        <w:tc>
          <w:tcPr>
            <w:tcW w:w="1877" w:type="dxa"/>
            <w:tcBorders>
              <w:top w:val="nil"/>
              <w:left w:val="nil"/>
              <w:bottom w:val="single" w:color="auto" w:sz="4" w:space="0"/>
              <w:right w:val="single" w:color="auto" w:sz="4" w:space="0"/>
            </w:tcBorders>
            <w:shd w:val="clear" w:color="auto" w:fill="auto"/>
            <w:noWrap/>
            <w:vAlign w:val="center"/>
          </w:tcPr>
          <w:p w14:paraId="5D4C665B">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12.00</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775A192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76" w:type="dxa"/>
            <w:tcBorders>
              <w:top w:val="nil"/>
              <w:left w:val="nil"/>
              <w:bottom w:val="single" w:color="auto" w:sz="4" w:space="0"/>
              <w:right w:val="single" w:color="auto" w:sz="4" w:space="0"/>
            </w:tcBorders>
            <w:shd w:val="clear" w:color="auto" w:fill="auto"/>
            <w:noWrap/>
            <w:vAlign w:val="center"/>
          </w:tcPr>
          <w:p w14:paraId="7D2DD736">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12.00</w:t>
            </w:r>
            <w:r>
              <w:rPr>
                <w:rFonts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1FD145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E5E29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A1007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4CD5A2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949F2E">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2040699</w:t>
            </w:r>
          </w:p>
        </w:tc>
        <w:tc>
          <w:tcPr>
            <w:tcW w:w="470" w:type="pct"/>
            <w:tcBorders>
              <w:top w:val="nil"/>
              <w:left w:val="nil"/>
              <w:bottom w:val="single" w:color="auto" w:sz="4" w:space="0"/>
              <w:right w:val="single" w:color="auto" w:sz="4" w:space="0"/>
            </w:tcBorders>
            <w:shd w:val="clear" w:color="000000" w:fill="FFFFFF"/>
            <w:noWrap/>
            <w:vAlign w:val="center"/>
          </w:tcPr>
          <w:p w14:paraId="6B345466">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其他司法支出</w:t>
            </w:r>
          </w:p>
        </w:tc>
        <w:tc>
          <w:tcPr>
            <w:tcW w:w="1877" w:type="dxa"/>
            <w:tcBorders>
              <w:top w:val="nil"/>
              <w:left w:val="nil"/>
              <w:bottom w:val="single" w:color="auto" w:sz="4" w:space="0"/>
              <w:right w:val="single" w:color="auto" w:sz="4" w:space="0"/>
            </w:tcBorders>
            <w:shd w:val="clear" w:color="auto" w:fill="auto"/>
            <w:noWrap/>
            <w:vAlign w:val="center"/>
          </w:tcPr>
          <w:p w14:paraId="45891215">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253.00</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F93FA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76" w:type="dxa"/>
            <w:tcBorders>
              <w:top w:val="nil"/>
              <w:left w:val="nil"/>
              <w:bottom w:val="single" w:color="auto" w:sz="4" w:space="0"/>
              <w:right w:val="single" w:color="auto" w:sz="4" w:space="0"/>
            </w:tcBorders>
            <w:shd w:val="clear" w:color="auto" w:fill="auto"/>
            <w:noWrap/>
            <w:vAlign w:val="center"/>
          </w:tcPr>
          <w:p w14:paraId="5B441440">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253.00</w:t>
            </w:r>
            <w:r>
              <w:rPr>
                <w:rFonts w:ascii="Times New Roman" w:hAnsi="Times New Roman" w:eastAsia="仿宋_GB2312" w:cs="Times New Roman"/>
              </w:rPr>
              <w:t>　</w:t>
            </w:r>
          </w:p>
        </w:tc>
        <w:tc>
          <w:tcPr>
            <w:tcW w:w="660" w:type="pct"/>
            <w:tcBorders>
              <w:top w:val="nil"/>
              <w:left w:val="nil"/>
              <w:bottom w:val="single" w:color="auto" w:sz="4" w:space="0"/>
              <w:right w:val="single" w:color="auto" w:sz="4" w:space="0"/>
            </w:tcBorders>
            <w:shd w:val="clear" w:color="auto" w:fill="auto"/>
            <w:noWrap/>
            <w:vAlign w:val="center"/>
          </w:tcPr>
          <w:p w14:paraId="307F11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799AA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7A9D0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FA253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A6D96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0766EC3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308B0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42F4B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12372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E9B75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52797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ED9AA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3431A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AF758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6F44724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A5438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5562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1DF89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75CCA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61B3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E65F16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9DC2C7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4FCE7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5A6C68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A8B6CC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071FB5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FA94CB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永州市司法局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931"/>
        <w:gridCol w:w="1715"/>
        <w:gridCol w:w="1573"/>
        <w:gridCol w:w="1686"/>
      </w:tblGrid>
      <w:tr w14:paraId="2FE82460">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9D313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7EE4E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9C33936">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DFBB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1A8BD0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03996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4A7F0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555C71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2624B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F10B9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EF7AA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7824F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27ABC7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F556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DDA69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77334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4B79C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A3D9B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593E5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92B52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29ECF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E0F6D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71E6C0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669A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59989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147D6AA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12F5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42223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5DBB2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3AB6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F3F4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8050E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3363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4245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83CF4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3276D8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1646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6261C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53D0C2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4D9F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26C1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2EC8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61FB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42D5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7AF9B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C6938A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D8A9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FBB9A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2DEC9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43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8C39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CEF8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65FA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9A12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8270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2E5BF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4041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17E202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71AA1D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28057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7312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098D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3BB7B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B6A4F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355E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20005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1EF3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FA835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8C771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8F7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94C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0529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ECE0E1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8666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CD1D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9EEAB1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2DCD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6DCA53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EDDA8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54AF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DF90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EAEF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A94F4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800E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C7B2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231F77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53A9F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6982A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501C8C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ACE9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62AC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9755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86B3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6F23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775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4A38F8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C130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A195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DC1AF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D271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6771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986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4D858E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B3C57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C6B49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325BE18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3C0E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51F7D8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77668B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CD921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3D4089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59917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1932D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4696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95B72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9D3080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BDE6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B459F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18F19B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26C9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BBE8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D7931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8C735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E6BE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E8AA6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AE4AF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CFEA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4B5D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E09F4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3B78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A3B8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DB21C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F0E8A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AFFC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AFDFE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012979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FB5F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7933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96128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9D2A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A3F3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41E7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2FEFA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0D07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9794D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08A8DC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64AB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E68A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5D61C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EABA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750B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8CEB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2E6F5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258CB4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2D3E8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C5B4ED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8DB326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CA3D2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2A9C44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4E35DC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25416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2724E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843E86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6141983">
      <w:pPr>
        <w:widowControl/>
        <w:jc w:val="center"/>
        <w:rPr>
          <w:rFonts w:ascii="Times New Roman" w:hAnsi="Times New Roman" w:eastAsia="方正小标宋_GBK" w:cs="Times New Roman"/>
          <w:kern w:val="0"/>
          <w:sz w:val="36"/>
          <w:szCs w:val="36"/>
        </w:rPr>
      </w:pPr>
    </w:p>
    <w:p w14:paraId="78E2EF2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27DCE83">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永州市司法局</w:t>
      </w:r>
      <w:r>
        <w:rPr>
          <w:rFonts w:ascii="Times New Roman" w:hAnsi="Times New Roman" w:eastAsia="仿宋_GB2312" w:cs="Times New Roman"/>
          <w:color w:val="000000"/>
          <w:kern w:val="0"/>
          <w:szCs w:val="21"/>
        </w:rPr>
        <w:t xml:space="preserve">                                                                                        公开05表</w:t>
      </w:r>
    </w:p>
    <w:p w14:paraId="13EDCBF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0D37A05">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04D4E3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E5E6E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BC8EBD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79025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567A00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288D49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56C162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4B7399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76F59E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A15125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CECDBF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C34B67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6EF546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63F0D1">
            <w:pPr>
              <w:widowControl/>
              <w:jc w:val="left"/>
              <w:rPr>
                <w:rFonts w:ascii="Times New Roman" w:hAnsi="Times New Roman" w:eastAsia="仿宋_GB2312" w:cs="Times New Roman"/>
                <w:kern w:val="0"/>
                <w:szCs w:val="21"/>
              </w:rPr>
            </w:pPr>
          </w:p>
        </w:tc>
      </w:tr>
      <w:tr w14:paraId="2C11407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E81C6C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428A5B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12033B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8DC4AE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6D1FF30">
            <w:pPr>
              <w:widowControl/>
              <w:jc w:val="left"/>
              <w:rPr>
                <w:rFonts w:ascii="Times New Roman" w:hAnsi="Times New Roman" w:eastAsia="仿宋_GB2312" w:cs="Times New Roman"/>
                <w:kern w:val="0"/>
                <w:szCs w:val="21"/>
              </w:rPr>
            </w:pPr>
          </w:p>
        </w:tc>
      </w:tr>
      <w:tr w14:paraId="23852C9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D5D2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D4759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3F5D07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352E6A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8A4F37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E3A1A7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F0B84C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2"/>
              </w:rPr>
              <w:t>1830.9</w:t>
            </w: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6AA8E18">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1557.9</w:t>
            </w:r>
            <w:r>
              <w:rPr>
                <w:rFonts w:hint="eastAsia" w:ascii="Times New Roman" w:hAnsi="Times New Roman" w:eastAsia="仿宋_GB2312" w:cs="Times New Roman"/>
                <w:kern w:val="0"/>
                <w:szCs w:val="21"/>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0D3C3BC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273.00</w:t>
            </w:r>
            <w:r>
              <w:rPr>
                <w:rFonts w:ascii="Times New Roman" w:hAnsi="Times New Roman" w:eastAsia="仿宋_GB2312" w:cs="Times New Roman"/>
                <w:kern w:val="0"/>
                <w:szCs w:val="21"/>
              </w:rPr>
              <w:t>　</w:t>
            </w:r>
          </w:p>
        </w:tc>
      </w:tr>
      <w:tr w14:paraId="6B90A3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B978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2040601</w:t>
            </w:r>
          </w:p>
        </w:tc>
        <w:tc>
          <w:tcPr>
            <w:tcW w:w="3527" w:type="dxa"/>
            <w:tcBorders>
              <w:top w:val="nil"/>
              <w:left w:val="nil"/>
              <w:bottom w:val="single" w:color="auto" w:sz="4" w:space="0"/>
              <w:right w:val="single" w:color="auto" w:sz="4" w:space="0"/>
            </w:tcBorders>
            <w:shd w:val="clear" w:color="auto" w:fill="auto"/>
            <w:vAlign w:val="center"/>
          </w:tcPr>
          <w:p w14:paraId="2C61F3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行政运行</w:t>
            </w:r>
          </w:p>
        </w:tc>
        <w:tc>
          <w:tcPr>
            <w:tcW w:w="3000" w:type="dxa"/>
            <w:tcBorders>
              <w:top w:val="nil"/>
              <w:left w:val="nil"/>
              <w:bottom w:val="single" w:color="auto" w:sz="4" w:space="0"/>
              <w:right w:val="single" w:color="auto" w:sz="4" w:space="0"/>
            </w:tcBorders>
            <w:shd w:val="clear" w:color="auto" w:fill="auto"/>
            <w:vAlign w:val="center"/>
          </w:tcPr>
          <w:p w14:paraId="64978F73">
            <w:pPr>
              <w:widowControl/>
              <w:jc w:val="lef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1557.9</w:t>
            </w:r>
            <w:r>
              <w:rPr>
                <w:rFonts w:hint="eastAsia" w:ascii="Times New Roman" w:hAnsi="Times New Roman" w:eastAsia="仿宋_GB2312" w:cs="Times New Roman"/>
                <w:kern w:val="0"/>
                <w:szCs w:val="21"/>
                <w:lang w:val="en-US" w:eastAsia="zh-CN"/>
              </w:rPr>
              <w:t>0</w:t>
            </w:r>
          </w:p>
        </w:tc>
        <w:tc>
          <w:tcPr>
            <w:tcW w:w="3492" w:type="dxa"/>
            <w:tcBorders>
              <w:top w:val="nil"/>
              <w:left w:val="nil"/>
              <w:bottom w:val="single" w:color="auto" w:sz="4" w:space="0"/>
              <w:right w:val="single" w:color="auto" w:sz="4" w:space="0"/>
            </w:tcBorders>
            <w:shd w:val="clear" w:color="auto" w:fill="auto"/>
            <w:vAlign w:val="center"/>
          </w:tcPr>
          <w:p w14:paraId="2C0E1CB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1557.9</w:t>
            </w:r>
            <w:r>
              <w:rPr>
                <w:rFonts w:hint="eastAsia" w:ascii="Times New Roman" w:hAnsi="Times New Roman" w:eastAsia="仿宋_GB2312" w:cs="Times New Roman"/>
                <w:kern w:val="0"/>
                <w:szCs w:val="21"/>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434AB8A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9039FC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ED6C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2040605</w:t>
            </w:r>
          </w:p>
        </w:tc>
        <w:tc>
          <w:tcPr>
            <w:tcW w:w="3527" w:type="dxa"/>
            <w:tcBorders>
              <w:top w:val="nil"/>
              <w:left w:val="nil"/>
              <w:bottom w:val="single" w:color="auto" w:sz="4" w:space="0"/>
              <w:right w:val="single" w:color="auto" w:sz="4" w:space="0"/>
            </w:tcBorders>
            <w:shd w:val="clear" w:color="auto" w:fill="auto"/>
            <w:vAlign w:val="center"/>
          </w:tcPr>
          <w:p w14:paraId="20BBA3F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普法宣传</w:t>
            </w:r>
          </w:p>
        </w:tc>
        <w:tc>
          <w:tcPr>
            <w:tcW w:w="3000" w:type="dxa"/>
            <w:tcBorders>
              <w:top w:val="nil"/>
              <w:left w:val="nil"/>
              <w:bottom w:val="single" w:color="auto" w:sz="4" w:space="0"/>
              <w:right w:val="single" w:color="auto" w:sz="4" w:space="0"/>
            </w:tcBorders>
            <w:shd w:val="clear" w:color="auto" w:fill="auto"/>
            <w:vAlign w:val="center"/>
          </w:tcPr>
          <w:p w14:paraId="24A0E5B9">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8</w:t>
            </w:r>
            <w:r>
              <w:rPr>
                <w:rFonts w:hint="eastAsia" w:ascii="Times New Roman" w:hAnsi="Times New Roman" w:eastAsia="仿宋_GB2312" w:cs="Times New Roman"/>
                <w:kern w:val="0"/>
                <w:szCs w:val="21"/>
                <w:lang w:val="en-US" w:eastAsia="zh-CN"/>
              </w:rPr>
              <w:t>.00</w:t>
            </w:r>
          </w:p>
        </w:tc>
        <w:tc>
          <w:tcPr>
            <w:tcW w:w="3492" w:type="dxa"/>
            <w:tcBorders>
              <w:top w:val="nil"/>
              <w:left w:val="nil"/>
              <w:bottom w:val="single" w:color="auto" w:sz="4" w:space="0"/>
              <w:right w:val="single" w:color="auto" w:sz="4" w:space="0"/>
            </w:tcBorders>
            <w:shd w:val="clear" w:color="auto" w:fill="auto"/>
            <w:vAlign w:val="center"/>
          </w:tcPr>
          <w:p w14:paraId="04C7F9A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87F74A4">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8.00</w:t>
            </w:r>
          </w:p>
        </w:tc>
      </w:tr>
      <w:tr w14:paraId="33E91E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31F73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2040607</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B89D0F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公共法律服务</w:t>
            </w:r>
          </w:p>
        </w:tc>
        <w:tc>
          <w:tcPr>
            <w:tcW w:w="3000" w:type="dxa"/>
            <w:tcBorders>
              <w:top w:val="nil"/>
              <w:left w:val="nil"/>
              <w:bottom w:val="single" w:color="auto" w:sz="4" w:space="0"/>
              <w:right w:val="single" w:color="auto" w:sz="4" w:space="0"/>
            </w:tcBorders>
            <w:shd w:val="clear" w:color="auto" w:fill="auto"/>
            <w:vAlign w:val="center"/>
          </w:tcPr>
          <w:p w14:paraId="0344CC89">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w:t>
            </w:r>
            <w:r>
              <w:rPr>
                <w:rFonts w:hint="eastAsia" w:ascii="Times New Roman" w:hAnsi="Times New Roman" w:eastAsia="仿宋_GB2312" w:cs="Times New Roman"/>
                <w:kern w:val="0"/>
                <w:szCs w:val="21"/>
                <w:lang w:val="en-US" w:eastAsia="zh-CN"/>
              </w:rPr>
              <w:t>.00</w:t>
            </w:r>
          </w:p>
        </w:tc>
        <w:tc>
          <w:tcPr>
            <w:tcW w:w="3492" w:type="dxa"/>
            <w:tcBorders>
              <w:top w:val="nil"/>
              <w:left w:val="nil"/>
              <w:bottom w:val="single" w:color="auto" w:sz="4" w:space="0"/>
              <w:right w:val="single" w:color="auto" w:sz="4" w:space="0"/>
            </w:tcBorders>
            <w:shd w:val="clear" w:color="auto" w:fill="auto"/>
            <w:vAlign w:val="center"/>
          </w:tcPr>
          <w:p w14:paraId="1E32600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B6C01BF">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12.00</w:t>
            </w:r>
          </w:p>
        </w:tc>
      </w:tr>
      <w:tr w14:paraId="33E124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7FBC5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2040699</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15378B9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其他司法支出</w:t>
            </w:r>
          </w:p>
        </w:tc>
        <w:tc>
          <w:tcPr>
            <w:tcW w:w="3000" w:type="dxa"/>
            <w:tcBorders>
              <w:top w:val="nil"/>
              <w:left w:val="nil"/>
              <w:bottom w:val="single" w:color="auto" w:sz="4" w:space="0"/>
              <w:right w:val="single" w:color="auto" w:sz="4" w:space="0"/>
            </w:tcBorders>
            <w:shd w:val="clear" w:color="auto" w:fill="auto"/>
            <w:vAlign w:val="center"/>
          </w:tcPr>
          <w:p w14:paraId="23230155">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253</w:t>
            </w:r>
            <w:r>
              <w:rPr>
                <w:rFonts w:hint="eastAsia" w:ascii="Times New Roman" w:hAnsi="Times New Roman" w:eastAsia="仿宋_GB2312" w:cs="Times New Roman"/>
                <w:kern w:val="0"/>
                <w:szCs w:val="21"/>
                <w:lang w:val="en-US" w:eastAsia="zh-CN"/>
              </w:rPr>
              <w:t>.00</w:t>
            </w:r>
          </w:p>
        </w:tc>
        <w:tc>
          <w:tcPr>
            <w:tcW w:w="3492" w:type="dxa"/>
            <w:tcBorders>
              <w:top w:val="nil"/>
              <w:left w:val="nil"/>
              <w:bottom w:val="single" w:color="auto" w:sz="4" w:space="0"/>
              <w:right w:val="single" w:color="auto" w:sz="4" w:space="0"/>
            </w:tcBorders>
            <w:shd w:val="clear" w:color="auto" w:fill="auto"/>
            <w:vAlign w:val="center"/>
          </w:tcPr>
          <w:p w14:paraId="7E7A4C9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7790BD9">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253.00</w:t>
            </w:r>
          </w:p>
        </w:tc>
      </w:tr>
      <w:tr w14:paraId="0B7105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AE2BC7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B016A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472168F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072424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028B5C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BF44B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0631B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2D89016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6DF0A8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01FF16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58FA746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4079B2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D6B33E8">
      <w:pPr>
        <w:widowControl/>
        <w:jc w:val="left"/>
        <w:rPr>
          <w:rFonts w:ascii="Times New Roman" w:hAnsi="Times New Roman" w:eastAsia="仿宋_GB2312" w:cs="Times New Roman"/>
          <w:bCs/>
          <w:kern w:val="0"/>
          <w:szCs w:val="21"/>
        </w:rPr>
      </w:pPr>
    </w:p>
    <w:p w14:paraId="02B6984F">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5EF629A">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7DF584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永州市司法局</w:t>
      </w:r>
      <w:r>
        <w:rPr>
          <w:rFonts w:ascii="Times New Roman" w:hAnsi="Times New Roman" w:eastAsia="仿宋_GB2312" w:cs="Times New Roman"/>
          <w:color w:val="000000"/>
          <w:kern w:val="0"/>
          <w:szCs w:val="21"/>
        </w:rPr>
        <w:t xml:space="preserve">                                                                                                         公开06表</w:t>
      </w:r>
    </w:p>
    <w:p w14:paraId="2D5E197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E629765">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69FCC4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A8730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0C41F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DA8790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AAB5A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808E9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748F3C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0859C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482CD0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96850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7E4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C10E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DBEC91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1171.31</w:t>
            </w:r>
          </w:p>
        </w:tc>
        <w:tc>
          <w:tcPr>
            <w:tcW w:w="1116" w:type="dxa"/>
            <w:tcBorders>
              <w:top w:val="nil"/>
              <w:left w:val="nil"/>
              <w:bottom w:val="single" w:color="auto" w:sz="4" w:space="0"/>
              <w:right w:val="single" w:color="auto" w:sz="4" w:space="0"/>
            </w:tcBorders>
            <w:shd w:val="clear" w:color="auto" w:fill="auto"/>
            <w:noWrap/>
            <w:vAlign w:val="center"/>
          </w:tcPr>
          <w:p w14:paraId="44DB7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7E4DD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78E5D9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236.65</w:t>
            </w:r>
          </w:p>
        </w:tc>
        <w:tc>
          <w:tcPr>
            <w:tcW w:w="1217" w:type="dxa"/>
            <w:tcBorders>
              <w:top w:val="nil"/>
              <w:left w:val="nil"/>
              <w:bottom w:val="single" w:color="auto" w:sz="4" w:space="0"/>
              <w:right w:val="single" w:color="auto" w:sz="4" w:space="0"/>
            </w:tcBorders>
            <w:shd w:val="clear" w:color="auto" w:fill="auto"/>
            <w:noWrap/>
            <w:vAlign w:val="center"/>
          </w:tcPr>
          <w:p w14:paraId="54A82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3F618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F81CCC6">
            <w:pPr>
              <w:widowControl/>
              <w:jc w:val="left"/>
              <w:rPr>
                <w:rFonts w:ascii="Times New Roman" w:hAnsi="Times New Roman" w:eastAsia="仿宋_GB2312" w:cs="Times New Roman"/>
                <w:color w:val="000000"/>
                <w:kern w:val="0"/>
                <w:szCs w:val="20"/>
              </w:rPr>
            </w:pPr>
          </w:p>
        </w:tc>
      </w:tr>
      <w:tr w14:paraId="52A2EC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B41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588D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C48530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408.77</w:t>
            </w:r>
          </w:p>
        </w:tc>
        <w:tc>
          <w:tcPr>
            <w:tcW w:w="1116" w:type="dxa"/>
            <w:tcBorders>
              <w:top w:val="nil"/>
              <w:left w:val="nil"/>
              <w:bottom w:val="single" w:color="auto" w:sz="4" w:space="0"/>
              <w:right w:val="single" w:color="auto" w:sz="4" w:space="0"/>
            </w:tcBorders>
            <w:shd w:val="clear" w:color="auto" w:fill="auto"/>
            <w:noWrap/>
            <w:vAlign w:val="center"/>
          </w:tcPr>
          <w:p w14:paraId="3D89D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5938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0335B9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6.51</w:t>
            </w:r>
          </w:p>
        </w:tc>
        <w:tc>
          <w:tcPr>
            <w:tcW w:w="1217" w:type="dxa"/>
            <w:tcBorders>
              <w:top w:val="nil"/>
              <w:left w:val="nil"/>
              <w:bottom w:val="single" w:color="auto" w:sz="4" w:space="0"/>
              <w:right w:val="single" w:color="auto" w:sz="4" w:space="0"/>
            </w:tcBorders>
            <w:shd w:val="clear" w:color="auto" w:fill="auto"/>
            <w:noWrap/>
            <w:vAlign w:val="center"/>
          </w:tcPr>
          <w:p w14:paraId="38440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E4974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FF04044">
            <w:pPr>
              <w:widowControl/>
              <w:jc w:val="left"/>
              <w:rPr>
                <w:rFonts w:ascii="Times New Roman" w:hAnsi="Times New Roman" w:eastAsia="仿宋_GB2312" w:cs="Times New Roman"/>
                <w:color w:val="000000"/>
                <w:kern w:val="0"/>
                <w:szCs w:val="20"/>
              </w:rPr>
            </w:pPr>
          </w:p>
        </w:tc>
      </w:tr>
      <w:tr w14:paraId="585FF9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06C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E02F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AF771D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243.33</w:t>
            </w:r>
          </w:p>
        </w:tc>
        <w:tc>
          <w:tcPr>
            <w:tcW w:w="1116" w:type="dxa"/>
            <w:tcBorders>
              <w:top w:val="nil"/>
              <w:left w:val="nil"/>
              <w:bottom w:val="single" w:color="auto" w:sz="4" w:space="0"/>
              <w:right w:val="single" w:color="auto" w:sz="4" w:space="0"/>
            </w:tcBorders>
            <w:shd w:val="clear" w:color="auto" w:fill="auto"/>
            <w:noWrap/>
            <w:vAlign w:val="center"/>
          </w:tcPr>
          <w:p w14:paraId="5ABF4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77B8F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42CB733">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9555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0119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FDB7F67">
            <w:pPr>
              <w:widowControl/>
              <w:jc w:val="left"/>
              <w:rPr>
                <w:rFonts w:ascii="Times New Roman" w:hAnsi="Times New Roman" w:eastAsia="仿宋_GB2312" w:cs="Times New Roman"/>
                <w:color w:val="000000"/>
                <w:kern w:val="0"/>
                <w:szCs w:val="20"/>
              </w:rPr>
            </w:pPr>
          </w:p>
        </w:tc>
      </w:tr>
      <w:tr w14:paraId="19FAC5B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90B9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ACF1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60B80D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252.88</w:t>
            </w:r>
          </w:p>
        </w:tc>
        <w:tc>
          <w:tcPr>
            <w:tcW w:w="1116" w:type="dxa"/>
            <w:tcBorders>
              <w:top w:val="nil"/>
              <w:left w:val="nil"/>
              <w:bottom w:val="single" w:color="auto" w:sz="4" w:space="0"/>
              <w:right w:val="single" w:color="auto" w:sz="4" w:space="0"/>
            </w:tcBorders>
            <w:shd w:val="clear" w:color="auto" w:fill="auto"/>
            <w:noWrap/>
            <w:vAlign w:val="center"/>
          </w:tcPr>
          <w:p w14:paraId="5180A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0E2F7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313040C">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6883B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FBDDE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0876D61">
            <w:pPr>
              <w:widowControl/>
              <w:jc w:val="left"/>
              <w:rPr>
                <w:rFonts w:ascii="Times New Roman" w:hAnsi="Times New Roman" w:eastAsia="仿宋_GB2312" w:cs="Times New Roman"/>
                <w:color w:val="000000"/>
                <w:kern w:val="0"/>
                <w:szCs w:val="20"/>
              </w:rPr>
            </w:pPr>
          </w:p>
        </w:tc>
      </w:tr>
      <w:tr w14:paraId="376A26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291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B21D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F11E8D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28A8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F288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B802BD6">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35B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BAD5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69F6AED">
            <w:pPr>
              <w:widowControl/>
              <w:jc w:val="left"/>
              <w:rPr>
                <w:rFonts w:ascii="Times New Roman" w:hAnsi="Times New Roman" w:eastAsia="仿宋_GB2312" w:cs="Times New Roman"/>
                <w:color w:val="000000"/>
                <w:kern w:val="0"/>
                <w:szCs w:val="20"/>
              </w:rPr>
            </w:pPr>
          </w:p>
        </w:tc>
      </w:tr>
      <w:tr w14:paraId="046528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A162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6B81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1096C0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1116" w:type="dxa"/>
            <w:tcBorders>
              <w:top w:val="nil"/>
              <w:left w:val="nil"/>
              <w:bottom w:val="single" w:color="auto" w:sz="4" w:space="0"/>
              <w:right w:val="single" w:color="auto" w:sz="4" w:space="0"/>
            </w:tcBorders>
            <w:shd w:val="clear" w:color="auto" w:fill="auto"/>
            <w:noWrap/>
            <w:vAlign w:val="center"/>
          </w:tcPr>
          <w:p w14:paraId="5A988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E69BD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6DB26B4">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0B7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2FDD5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62D65C6">
            <w:pPr>
              <w:widowControl/>
              <w:jc w:val="left"/>
              <w:rPr>
                <w:rFonts w:ascii="Times New Roman" w:hAnsi="Times New Roman" w:eastAsia="仿宋_GB2312" w:cs="Times New Roman"/>
                <w:color w:val="000000"/>
                <w:kern w:val="0"/>
                <w:szCs w:val="20"/>
              </w:rPr>
            </w:pPr>
          </w:p>
        </w:tc>
      </w:tr>
      <w:tr w14:paraId="0CDFA3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192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3295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0E912D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109.56</w:t>
            </w:r>
          </w:p>
        </w:tc>
        <w:tc>
          <w:tcPr>
            <w:tcW w:w="1116" w:type="dxa"/>
            <w:tcBorders>
              <w:top w:val="nil"/>
              <w:left w:val="nil"/>
              <w:bottom w:val="single" w:color="auto" w:sz="4" w:space="0"/>
              <w:right w:val="single" w:color="auto" w:sz="4" w:space="0"/>
            </w:tcBorders>
            <w:shd w:val="clear" w:color="auto" w:fill="auto"/>
            <w:noWrap/>
            <w:vAlign w:val="center"/>
          </w:tcPr>
          <w:p w14:paraId="2EA4D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54F835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ED6A34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8.00</w:t>
            </w:r>
          </w:p>
        </w:tc>
        <w:tc>
          <w:tcPr>
            <w:tcW w:w="1217" w:type="dxa"/>
            <w:tcBorders>
              <w:top w:val="nil"/>
              <w:left w:val="nil"/>
              <w:bottom w:val="single" w:color="auto" w:sz="4" w:space="0"/>
              <w:right w:val="single" w:color="auto" w:sz="4" w:space="0"/>
            </w:tcBorders>
            <w:shd w:val="clear" w:color="auto" w:fill="auto"/>
            <w:noWrap/>
            <w:vAlign w:val="center"/>
          </w:tcPr>
          <w:p w14:paraId="23211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6ECB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355FF9C">
            <w:pPr>
              <w:widowControl/>
              <w:jc w:val="left"/>
              <w:rPr>
                <w:rFonts w:ascii="Times New Roman" w:hAnsi="Times New Roman" w:eastAsia="仿宋_GB2312" w:cs="Times New Roman"/>
                <w:color w:val="000000"/>
                <w:kern w:val="0"/>
                <w:szCs w:val="20"/>
              </w:rPr>
            </w:pPr>
          </w:p>
        </w:tc>
      </w:tr>
      <w:tr w14:paraId="19DAB9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EFA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9A134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D5DB77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30A0E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C0384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9CC5568">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60DA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F2B3D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A51E8A8">
            <w:pPr>
              <w:widowControl/>
              <w:jc w:val="left"/>
              <w:rPr>
                <w:rFonts w:ascii="Times New Roman" w:hAnsi="Times New Roman" w:eastAsia="仿宋_GB2312" w:cs="Times New Roman"/>
                <w:color w:val="000000"/>
                <w:kern w:val="0"/>
                <w:szCs w:val="20"/>
              </w:rPr>
            </w:pPr>
          </w:p>
        </w:tc>
      </w:tr>
      <w:tr w14:paraId="32CE70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A293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AA2AC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2F6E63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46.09</w:t>
            </w:r>
          </w:p>
        </w:tc>
        <w:tc>
          <w:tcPr>
            <w:tcW w:w="1116" w:type="dxa"/>
            <w:tcBorders>
              <w:top w:val="nil"/>
              <w:left w:val="nil"/>
              <w:bottom w:val="single" w:color="auto" w:sz="4" w:space="0"/>
              <w:right w:val="single" w:color="auto" w:sz="4" w:space="0"/>
            </w:tcBorders>
            <w:shd w:val="clear" w:color="auto" w:fill="auto"/>
            <w:noWrap/>
            <w:vAlign w:val="center"/>
          </w:tcPr>
          <w:p w14:paraId="02E7A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27D91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7B4DF7E">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56AF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1C95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39C3A02">
            <w:pPr>
              <w:widowControl/>
              <w:jc w:val="left"/>
              <w:rPr>
                <w:rFonts w:ascii="Times New Roman" w:hAnsi="Times New Roman" w:eastAsia="仿宋_GB2312" w:cs="Times New Roman"/>
                <w:color w:val="000000"/>
                <w:kern w:val="0"/>
                <w:szCs w:val="20"/>
              </w:rPr>
            </w:pPr>
          </w:p>
        </w:tc>
      </w:tr>
      <w:tr w14:paraId="621650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9CFB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13DA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8CFFAF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11.71</w:t>
            </w:r>
          </w:p>
        </w:tc>
        <w:tc>
          <w:tcPr>
            <w:tcW w:w="1116" w:type="dxa"/>
            <w:tcBorders>
              <w:top w:val="nil"/>
              <w:left w:val="nil"/>
              <w:bottom w:val="single" w:color="auto" w:sz="4" w:space="0"/>
              <w:right w:val="single" w:color="auto" w:sz="4" w:space="0"/>
            </w:tcBorders>
            <w:shd w:val="clear" w:color="auto" w:fill="auto"/>
            <w:noWrap/>
            <w:vAlign w:val="center"/>
          </w:tcPr>
          <w:p w14:paraId="4AA4F0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DE0A4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00B379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15.00</w:t>
            </w:r>
          </w:p>
        </w:tc>
        <w:tc>
          <w:tcPr>
            <w:tcW w:w="1217" w:type="dxa"/>
            <w:tcBorders>
              <w:top w:val="nil"/>
              <w:left w:val="nil"/>
              <w:bottom w:val="single" w:color="auto" w:sz="4" w:space="0"/>
              <w:right w:val="single" w:color="auto" w:sz="4" w:space="0"/>
            </w:tcBorders>
            <w:shd w:val="clear" w:color="auto" w:fill="auto"/>
            <w:noWrap/>
            <w:vAlign w:val="center"/>
          </w:tcPr>
          <w:p w14:paraId="1BD63F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4D8A1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0DCF595">
            <w:pPr>
              <w:widowControl/>
              <w:jc w:val="left"/>
              <w:rPr>
                <w:rFonts w:ascii="Times New Roman" w:hAnsi="Times New Roman" w:eastAsia="仿宋_GB2312" w:cs="Times New Roman"/>
                <w:color w:val="000000"/>
                <w:kern w:val="0"/>
                <w:szCs w:val="20"/>
              </w:rPr>
            </w:pPr>
          </w:p>
        </w:tc>
      </w:tr>
      <w:tr w14:paraId="43BD3B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7BC8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E584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C58D705">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9554F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34A16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ACBA90D">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70F96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3FB5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2B8F6A5">
            <w:pPr>
              <w:widowControl/>
              <w:jc w:val="left"/>
              <w:rPr>
                <w:rFonts w:ascii="Times New Roman" w:hAnsi="Times New Roman" w:eastAsia="仿宋_GB2312" w:cs="Times New Roman"/>
                <w:color w:val="000000"/>
                <w:kern w:val="0"/>
                <w:szCs w:val="20"/>
              </w:rPr>
            </w:pPr>
          </w:p>
        </w:tc>
      </w:tr>
      <w:tr w14:paraId="7C1B44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3D5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7DF3B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BDA360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93.97</w:t>
            </w:r>
          </w:p>
        </w:tc>
        <w:tc>
          <w:tcPr>
            <w:tcW w:w="1116" w:type="dxa"/>
            <w:tcBorders>
              <w:top w:val="nil"/>
              <w:left w:val="nil"/>
              <w:bottom w:val="single" w:color="auto" w:sz="4" w:space="0"/>
              <w:right w:val="single" w:color="auto" w:sz="4" w:space="0"/>
            </w:tcBorders>
            <w:shd w:val="clear" w:color="auto" w:fill="auto"/>
            <w:noWrap/>
            <w:vAlign w:val="center"/>
          </w:tcPr>
          <w:p w14:paraId="3E834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EFC6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0AF622D">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3AF7D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5C1C80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C60CBDD">
            <w:pPr>
              <w:widowControl/>
              <w:jc w:val="left"/>
              <w:rPr>
                <w:rFonts w:ascii="Times New Roman" w:hAnsi="Times New Roman" w:eastAsia="仿宋_GB2312" w:cs="Times New Roman"/>
                <w:color w:val="000000"/>
                <w:kern w:val="0"/>
                <w:szCs w:val="20"/>
              </w:rPr>
            </w:pPr>
          </w:p>
        </w:tc>
      </w:tr>
      <w:tr w14:paraId="0A2162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1E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34C0E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BD7A432">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834C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CC7E3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ACD816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46BE8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BAE0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9AE5CBC">
            <w:pPr>
              <w:widowControl/>
              <w:jc w:val="left"/>
              <w:rPr>
                <w:rFonts w:ascii="Times New Roman" w:hAnsi="Times New Roman" w:eastAsia="仿宋_GB2312" w:cs="Times New Roman"/>
                <w:color w:val="000000"/>
                <w:kern w:val="0"/>
                <w:szCs w:val="20"/>
              </w:rPr>
            </w:pPr>
          </w:p>
        </w:tc>
      </w:tr>
      <w:tr w14:paraId="2205CB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C6C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38959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6D8F62A">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8EB37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70301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008C07F">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02F3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EFD69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3B81450">
            <w:pPr>
              <w:widowControl/>
              <w:jc w:val="left"/>
              <w:rPr>
                <w:rFonts w:ascii="Times New Roman" w:hAnsi="Times New Roman" w:eastAsia="仿宋_GB2312" w:cs="Times New Roman"/>
                <w:color w:val="000000"/>
                <w:kern w:val="0"/>
                <w:szCs w:val="20"/>
              </w:rPr>
            </w:pPr>
          </w:p>
        </w:tc>
      </w:tr>
      <w:tr w14:paraId="178381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0E90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4BF3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4251BC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149.93</w:t>
            </w:r>
          </w:p>
        </w:tc>
        <w:tc>
          <w:tcPr>
            <w:tcW w:w="1116" w:type="dxa"/>
            <w:tcBorders>
              <w:top w:val="nil"/>
              <w:left w:val="nil"/>
              <w:bottom w:val="single" w:color="auto" w:sz="4" w:space="0"/>
              <w:right w:val="single" w:color="auto" w:sz="4" w:space="0"/>
            </w:tcBorders>
            <w:shd w:val="clear" w:color="auto" w:fill="auto"/>
            <w:noWrap/>
            <w:vAlign w:val="center"/>
          </w:tcPr>
          <w:p w14:paraId="06DF1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7DE9C4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4E0E4A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0.99</w:t>
            </w:r>
          </w:p>
        </w:tc>
        <w:tc>
          <w:tcPr>
            <w:tcW w:w="1217" w:type="dxa"/>
            <w:tcBorders>
              <w:top w:val="nil"/>
              <w:left w:val="nil"/>
              <w:bottom w:val="single" w:color="auto" w:sz="4" w:space="0"/>
              <w:right w:val="single" w:color="auto" w:sz="4" w:space="0"/>
            </w:tcBorders>
            <w:shd w:val="clear" w:color="auto" w:fill="auto"/>
            <w:noWrap/>
            <w:vAlign w:val="center"/>
          </w:tcPr>
          <w:p w14:paraId="7FDB7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7B708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C50063D">
            <w:pPr>
              <w:widowControl/>
              <w:jc w:val="left"/>
              <w:rPr>
                <w:rFonts w:ascii="Times New Roman" w:hAnsi="Times New Roman" w:eastAsia="仿宋_GB2312" w:cs="Times New Roman"/>
                <w:color w:val="000000"/>
                <w:kern w:val="0"/>
                <w:szCs w:val="20"/>
              </w:rPr>
            </w:pPr>
          </w:p>
        </w:tc>
      </w:tr>
      <w:tr w14:paraId="112257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F8C1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D8C85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A4459F5">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06A0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2CD54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03DA82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2.93</w:t>
            </w:r>
          </w:p>
        </w:tc>
        <w:tc>
          <w:tcPr>
            <w:tcW w:w="1217" w:type="dxa"/>
            <w:tcBorders>
              <w:top w:val="nil"/>
              <w:left w:val="nil"/>
              <w:bottom w:val="single" w:color="auto" w:sz="4" w:space="0"/>
              <w:right w:val="single" w:color="auto" w:sz="4" w:space="0"/>
            </w:tcBorders>
            <w:shd w:val="clear" w:color="auto" w:fill="auto"/>
            <w:noWrap/>
            <w:vAlign w:val="center"/>
          </w:tcPr>
          <w:p w14:paraId="779B7C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27E2E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07700A7">
            <w:pPr>
              <w:widowControl/>
              <w:jc w:val="left"/>
              <w:rPr>
                <w:rFonts w:ascii="Times New Roman" w:hAnsi="Times New Roman" w:eastAsia="仿宋_GB2312" w:cs="Times New Roman"/>
                <w:color w:val="000000"/>
                <w:kern w:val="0"/>
                <w:szCs w:val="20"/>
              </w:rPr>
            </w:pPr>
          </w:p>
        </w:tc>
      </w:tr>
      <w:tr w14:paraId="4E1E09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7EC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0A19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9760F0B">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55CC2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5F68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3806FC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0.23</w:t>
            </w:r>
          </w:p>
        </w:tc>
        <w:tc>
          <w:tcPr>
            <w:tcW w:w="1217" w:type="dxa"/>
            <w:tcBorders>
              <w:top w:val="nil"/>
              <w:left w:val="nil"/>
              <w:bottom w:val="single" w:color="auto" w:sz="4" w:space="0"/>
              <w:right w:val="single" w:color="auto" w:sz="4" w:space="0"/>
            </w:tcBorders>
            <w:shd w:val="clear" w:color="auto" w:fill="auto"/>
            <w:noWrap/>
            <w:vAlign w:val="center"/>
          </w:tcPr>
          <w:p w14:paraId="39CAE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E7ABC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4B1F588">
            <w:pPr>
              <w:widowControl/>
              <w:jc w:val="left"/>
              <w:rPr>
                <w:rFonts w:ascii="Times New Roman" w:hAnsi="Times New Roman" w:eastAsia="仿宋_GB2312" w:cs="Times New Roman"/>
                <w:color w:val="000000"/>
                <w:kern w:val="0"/>
                <w:szCs w:val="20"/>
              </w:rPr>
            </w:pPr>
          </w:p>
        </w:tc>
      </w:tr>
      <w:tr w14:paraId="324145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687C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6319D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F3F6F4B">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9EB6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710BD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939EAA2">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D313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2E8C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58D113D">
            <w:pPr>
              <w:widowControl/>
              <w:jc w:val="left"/>
              <w:rPr>
                <w:rFonts w:ascii="Times New Roman" w:hAnsi="Times New Roman" w:eastAsia="仿宋_GB2312" w:cs="Times New Roman"/>
                <w:color w:val="000000"/>
                <w:kern w:val="0"/>
                <w:szCs w:val="20"/>
              </w:rPr>
            </w:pPr>
          </w:p>
        </w:tc>
      </w:tr>
      <w:tr w14:paraId="7C7AA3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F38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032F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6544DE8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37</w:t>
            </w:r>
            <w:r>
              <w:rPr>
                <w:rFonts w:hint="eastAsia" w:ascii="Times New Roman" w:hAnsi="Times New Roman" w:eastAsia="仿宋_GB2312" w:cs="Times New Roman"/>
                <w:color w:val="000000"/>
                <w:kern w:val="0"/>
                <w:szCs w:val="20"/>
                <w:lang w:val="en-US" w:eastAsia="zh-CN"/>
              </w:rPr>
              <w:t>.00</w:t>
            </w:r>
          </w:p>
        </w:tc>
        <w:tc>
          <w:tcPr>
            <w:tcW w:w="1116" w:type="dxa"/>
            <w:tcBorders>
              <w:top w:val="nil"/>
              <w:left w:val="nil"/>
              <w:bottom w:val="single" w:color="auto" w:sz="4" w:space="0"/>
              <w:right w:val="single" w:color="auto" w:sz="4" w:space="0"/>
            </w:tcBorders>
            <w:shd w:val="clear" w:color="auto" w:fill="auto"/>
            <w:noWrap/>
            <w:vAlign w:val="center"/>
          </w:tcPr>
          <w:p w14:paraId="46B9F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5518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E37540F">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28E41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E26A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A6C4FE2">
            <w:pPr>
              <w:widowControl/>
              <w:jc w:val="left"/>
              <w:rPr>
                <w:rFonts w:ascii="Times New Roman" w:hAnsi="Times New Roman" w:eastAsia="仿宋_GB2312" w:cs="Times New Roman"/>
                <w:color w:val="000000"/>
                <w:kern w:val="0"/>
                <w:szCs w:val="20"/>
              </w:rPr>
            </w:pPr>
          </w:p>
        </w:tc>
      </w:tr>
      <w:tr w14:paraId="3A73E9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409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91B84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33A32E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112.93</w:t>
            </w:r>
          </w:p>
        </w:tc>
        <w:tc>
          <w:tcPr>
            <w:tcW w:w="1116" w:type="dxa"/>
            <w:tcBorders>
              <w:top w:val="nil"/>
              <w:left w:val="nil"/>
              <w:bottom w:val="single" w:color="auto" w:sz="4" w:space="0"/>
              <w:right w:val="single" w:color="auto" w:sz="4" w:space="0"/>
            </w:tcBorders>
            <w:shd w:val="clear" w:color="auto" w:fill="auto"/>
            <w:noWrap/>
            <w:vAlign w:val="center"/>
          </w:tcPr>
          <w:p w14:paraId="21345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758FB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329208D">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D58D5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9C1A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16663DF">
            <w:pPr>
              <w:widowControl/>
              <w:jc w:val="left"/>
              <w:rPr>
                <w:rFonts w:ascii="Times New Roman" w:hAnsi="Times New Roman" w:eastAsia="仿宋_GB2312" w:cs="Times New Roman"/>
                <w:color w:val="000000"/>
                <w:kern w:val="0"/>
                <w:szCs w:val="20"/>
              </w:rPr>
            </w:pPr>
          </w:p>
        </w:tc>
      </w:tr>
      <w:tr w14:paraId="440744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8137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F6F1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772822EC">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DA1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47A0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BB2A57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8.07</w:t>
            </w:r>
          </w:p>
        </w:tc>
        <w:tc>
          <w:tcPr>
            <w:tcW w:w="1217" w:type="dxa"/>
            <w:tcBorders>
              <w:top w:val="nil"/>
              <w:left w:val="nil"/>
              <w:bottom w:val="single" w:color="auto" w:sz="4" w:space="0"/>
              <w:right w:val="single" w:color="auto" w:sz="4" w:space="0"/>
            </w:tcBorders>
            <w:shd w:val="clear" w:color="auto" w:fill="auto"/>
            <w:noWrap/>
            <w:vAlign w:val="center"/>
          </w:tcPr>
          <w:p w14:paraId="2E1FE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6FEAB6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56698DC">
            <w:pPr>
              <w:widowControl/>
              <w:jc w:val="left"/>
              <w:rPr>
                <w:rFonts w:ascii="Times New Roman" w:hAnsi="Times New Roman" w:eastAsia="仿宋_GB2312" w:cs="Times New Roman"/>
                <w:color w:val="000000"/>
                <w:kern w:val="0"/>
                <w:szCs w:val="20"/>
              </w:rPr>
            </w:pPr>
          </w:p>
        </w:tc>
      </w:tr>
      <w:tr w14:paraId="590B46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BC97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1096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4610071">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02945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BD9CF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68ED5B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11.20</w:t>
            </w:r>
          </w:p>
        </w:tc>
        <w:tc>
          <w:tcPr>
            <w:tcW w:w="1217" w:type="dxa"/>
            <w:tcBorders>
              <w:top w:val="nil"/>
              <w:left w:val="nil"/>
              <w:bottom w:val="single" w:color="auto" w:sz="4" w:space="0"/>
              <w:right w:val="single" w:color="auto" w:sz="4" w:space="0"/>
            </w:tcBorders>
            <w:shd w:val="clear" w:color="auto" w:fill="auto"/>
            <w:noWrap/>
            <w:vAlign w:val="center"/>
          </w:tcPr>
          <w:p w14:paraId="296C1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624A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6D5EE67">
            <w:pPr>
              <w:widowControl/>
              <w:jc w:val="left"/>
              <w:rPr>
                <w:rFonts w:ascii="Times New Roman" w:hAnsi="Times New Roman" w:eastAsia="仿宋_GB2312" w:cs="Times New Roman"/>
                <w:color w:val="000000"/>
                <w:kern w:val="0"/>
                <w:szCs w:val="20"/>
              </w:rPr>
            </w:pPr>
          </w:p>
        </w:tc>
      </w:tr>
      <w:tr w14:paraId="4D7162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DED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35775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FDE95B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5A21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8156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7E7980A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28.07</w:t>
            </w:r>
          </w:p>
        </w:tc>
        <w:tc>
          <w:tcPr>
            <w:tcW w:w="1217" w:type="dxa"/>
            <w:tcBorders>
              <w:top w:val="nil"/>
              <w:left w:val="nil"/>
              <w:bottom w:val="single" w:color="auto" w:sz="4" w:space="0"/>
              <w:right w:val="single" w:color="auto" w:sz="4" w:space="0"/>
            </w:tcBorders>
            <w:shd w:val="clear" w:color="auto" w:fill="auto"/>
            <w:noWrap/>
            <w:vAlign w:val="center"/>
          </w:tcPr>
          <w:p w14:paraId="10514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23AC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28032FA">
            <w:pPr>
              <w:widowControl/>
              <w:jc w:val="left"/>
              <w:rPr>
                <w:rFonts w:ascii="Times New Roman" w:hAnsi="Times New Roman" w:eastAsia="仿宋_GB2312" w:cs="Times New Roman"/>
                <w:color w:val="000000"/>
                <w:kern w:val="0"/>
                <w:szCs w:val="20"/>
              </w:rPr>
            </w:pPr>
          </w:p>
        </w:tc>
      </w:tr>
      <w:tr w14:paraId="304440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116B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C8049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72A73A9">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A1A9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522A4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20519D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15.00</w:t>
            </w:r>
          </w:p>
        </w:tc>
        <w:tc>
          <w:tcPr>
            <w:tcW w:w="1217" w:type="dxa"/>
            <w:tcBorders>
              <w:top w:val="nil"/>
              <w:left w:val="nil"/>
              <w:bottom w:val="single" w:color="auto" w:sz="4" w:space="0"/>
              <w:right w:val="single" w:color="auto" w:sz="4" w:space="0"/>
            </w:tcBorders>
            <w:shd w:val="clear" w:color="auto" w:fill="auto"/>
            <w:noWrap/>
            <w:vAlign w:val="center"/>
          </w:tcPr>
          <w:p w14:paraId="5D3B7E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295F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F6414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1B0CB6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83A10A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B3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7A4A73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B1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D7AFE4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D047E2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E0D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B46334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38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FF41727">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152D802">
            <w:pPr>
              <w:widowControl/>
              <w:jc w:val="left"/>
              <w:rPr>
                <w:rFonts w:ascii="Times New Roman" w:hAnsi="Times New Roman" w:eastAsia="仿宋_GB2312" w:cs="Times New Roman"/>
                <w:color w:val="000000"/>
                <w:kern w:val="0"/>
                <w:szCs w:val="20"/>
              </w:rPr>
            </w:pPr>
          </w:p>
        </w:tc>
      </w:tr>
      <w:tr w14:paraId="52EC10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43B1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2349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40F7FA6">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B3BB8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3420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686DEB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13.00</w:t>
            </w:r>
          </w:p>
        </w:tc>
        <w:tc>
          <w:tcPr>
            <w:tcW w:w="1217" w:type="dxa"/>
            <w:tcBorders>
              <w:top w:val="nil"/>
              <w:left w:val="nil"/>
              <w:bottom w:val="single" w:color="auto" w:sz="4" w:space="0"/>
              <w:right w:val="single" w:color="auto" w:sz="4" w:space="0"/>
            </w:tcBorders>
            <w:shd w:val="clear" w:color="auto" w:fill="auto"/>
            <w:noWrap/>
            <w:vAlign w:val="center"/>
          </w:tcPr>
          <w:p w14:paraId="30E5D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249B7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56A5DFB">
            <w:pPr>
              <w:widowControl/>
              <w:jc w:val="left"/>
              <w:rPr>
                <w:rFonts w:ascii="Times New Roman" w:hAnsi="Times New Roman" w:eastAsia="仿宋_GB2312" w:cs="Times New Roman"/>
                <w:color w:val="000000"/>
                <w:kern w:val="0"/>
                <w:szCs w:val="20"/>
              </w:rPr>
            </w:pPr>
          </w:p>
        </w:tc>
      </w:tr>
      <w:tr w14:paraId="248A89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DA17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A7613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0387C83">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B43E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C6E6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0C3242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58.69</w:t>
            </w:r>
          </w:p>
        </w:tc>
        <w:tc>
          <w:tcPr>
            <w:tcW w:w="1217" w:type="dxa"/>
            <w:tcBorders>
              <w:top w:val="nil"/>
              <w:left w:val="nil"/>
              <w:bottom w:val="single" w:color="auto" w:sz="4" w:space="0"/>
              <w:right w:val="single" w:color="auto" w:sz="4" w:space="0"/>
            </w:tcBorders>
            <w:shd w:val="clear" w:color="auto" w:fill="auto"/>
            <w:noWrap/>
            <w:vAlign w:val="center"/>
          </w:tcPr>
          <w:p w14:paraId="0F739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4E39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BC4C7D5">
            <w:pPr>
              <w:widowControl/>
              <w:jc w:val="left"/>
              <w:rPr>
                <w:rFonts w:ascii="Times New Roman" w:hAnsi="Times New Roman" w:eastAsia="仿宋_GB2312" w:cs="Times New Roman"/>
                <w:color w:val="000000"/>
                <w:kern w:val="0"/>
                <w:szCs w:val="20"/>
              </w:rPr>
            </w:pPr>
          </w:p>
        </w:tc>
      </w:tr>
      <w:tr w14:paraId="58B7F0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D3B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B8DBF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E841DE2">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00C0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49238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F8B251B">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9B2FDA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D0D595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109A0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491A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1DA2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7694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996F19D">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03B6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306D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EE9033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66.96</w:t>
            </w:r>
          </w:p>
        </w:tc>
        <w:tc>
          <w:tcPr>
            <w:tcW w:w="1217" w:type="dxa"/>
            <w:tcBorders>
              <w:top w:val="nil"/>
              <w:left w:val="nil"/>
              <w:bottom w:val="single" w:color="auto" w:sz="4" w:space="0"/>
              <w:right w:val="single" w:color="auto" w:sz="4" w:space="0"/>
            </w:tcBorders>
            <w:shd w:val="clear" w:color="auto" w:fill="auto"/>
            <w:noWrap/>
            <w:vAlign w:val="center"/>
          </w:tcPr>
          <w:p w14:paraId="20214BA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078A31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F75EF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85932F">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8A7310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773A38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1321.25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DFD796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C529340">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236.65</w:t>
            </w:r>
          </w:p>
        </w:tc>
      </w:tr>
    </w:tbl>
    <w:p w14:paraId="1C15832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AB6129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3FD00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9B70DE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C0DEE1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永州市司法局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E011C0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539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C74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0716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D81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3A7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09E46C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0C8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FFB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A0F31">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FB47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936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B31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530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39F98">
            <w:pPr>
              <w:widowControl/>
              <w:jc w:val="center"/>
              <w:rPr>
                <w:rFonts w:ascii="Times New Roman" w:hAnsi="Times New Roman" w:eastAsia="仿宋_GB2312" w:cs="Times New Roman"/>
                <w:color w:val="000000"/>
                <w:sz w:val="24"/>
                <w:szCs w:val="24"/>
              </w:rPr>
            </w:pPr>
          </w:p>
        </w:tc>
      </w:tr>
      <w:tr w14:paraId="7D5BDE3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9015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E22A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8542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D476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CEE9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0E37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D4E3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96E8B">
            <w:pPr>
              <w:jc w:val="center"/>
              <w:rPr>
                <w:rFonts w:ascii="Times New Roman" w:hAnsi="Times New Roman" w:eastAsia="仿宋_GB2312" w:cs="Times New Roman"/>
                <w:color w:val="000000"/>
                <w:sz w:val="24"/>
                <w:szCs w:val="24"/>
              </w:rPr>
            </w:pPr>
          </w:p>
        </w:tc>
      </w:tr>
      <w:tr w14:paraId="35F2B41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BBD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B421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5135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E86E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6D47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C78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E1BB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F05FB">
            <w:pPr>
              <w:jc w:val="center"/>
              <w:rPr>
                <w:rFonts w:ascii="Times New Roman" w:hAnsi="Times New Roman" w:eastAsia="仿宋_GB2312" w:cs="Times New Roman"/>
                <w:color w:val="000000"/>
                <w:sz w:val="24"/>
                <w:szCs w:val="24"/>
              </w:rPr>
            </w:pPr>
          </w:p>
        </w:tc>
      </w:tr>
      <w:tr w14:paraId="1285ADA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DB4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80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BD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EA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0D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90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CB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657FF1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D05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BCD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276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860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95F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687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1A58">
            <w:pPr>
              <w:jc w:val="center"/>
              <w:rPr>
                <w:rFonts w:ascii="Times New Roman" w:hAnsi="Times New Roman" w:eastAsia="仿宋_GB2312" w:cs="Times New Roman"/>
                <w:color w:val="000000"/>
                <w:sz w:val="24"/>
                <w:szCs w:val="24"/>
              </w:rPr>
            </w:pPr>
          </w:p>
        </w:tc>
      </w:tr>
      <w:tr w14:paraId="76722DF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40C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262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5CE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B5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996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604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236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626C">
            <w:pPr>
              <w:rPr>
                <w:rFonts w:ascii="Times New Roman" w:hAnsi="Times New Roman" w:eastAsia="仿宋_GB2312" w:cs="Times New Roman"/>
                <w:color w:val="000000"/>
                <w:sz w:val="24"/>
                <w:szCs w:val="24"/>
              </w:rPr>
            </w:pPr>
          </w:p>
        </w:tc>
      </w:tr>
      <w:tr w14:paraId="5206D4B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2D5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0A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18F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CE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3EE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2A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DA6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527D">
            <w:pPr>
              <w:rPr>
                <w:rFonts w:ascii="Times New Roman" w:hAnsi="Times New Roman" w:eastAsia="仿宋_GB2312" w:cs="Times New Roman"/>
                <w:color w:val="000000"/>
                <w:sz w:val="24"/>
                <w:szCs w:val="24"/>
              </w:rPr>
            </w:pPr>
          </w:p>
        </w:tc>
      </w:tr>
      <w:tr w14:paraId="5429674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65C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699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FEF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9C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8B6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A2F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691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1E74">
            <w:pPr>
              <w:rPr>
                <w:rFonts w:ascii="Times New Roman" w:hAnsi="Times New Roman" w:eastAsia="仿宋_GB2312" w:cs="Times New Roman"/>
                <w:color w:val="000000"/>
                <w:sz w:val="24"/>
                <w:szCs w:val="24"/>
              </w:rPr>
            </w:pPr>
          </w:p>
        </w:tc>
      </w:tr>
      <w:tr w14:paraId="5DB92C1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857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C99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70E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40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800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63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84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3FBF">
            <w:pPr>
              <w:rPr>
                <w:rFonts w:ascii="Times New Roman" w:hAnsi="Times New Roman" w:eastAsia="仿宋_GB2312" w:cs="Times New Roman"/>
                <w:color w:val="000000"/>
                <w:sz w:val="24"/>
                <w:szCs w:val="24"/>
              </w:rPr>
            </w:pPr>
          </w:p>
        </w:tc>
      </w:tr>
      <w:tr w14:paraId="6F8FB2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D29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92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156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C9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AA2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D21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7B8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4178">
            <w:pPr>
              <w:rPr>
                <w:rFonts w:ascii="Times New Roman" w:hAnsi="Times New Roman" w:eastAsia="仿宋_GB2312" w:cs="Times New Roman"/>
                <w:color w:val="000000"/>
                <w:sz w:val="24"/>
                <w:szCs w:val="24"/>
              </w:rPr>
            </w:pPr>
          </w:p>
        </w:tc>
      </w:tr>
      <w:tr w14:paraId="7DAB2A8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28B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81A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CFC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EBE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831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DB1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80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76C5">
            <w:pPr>
              <w:rPr>
                <w:rFonts w:ascii="Times New Roman" w:hAnsi="Times New Roman" w:eastAsia="仿宋_GB2312" w:cs="Times New Roman"/>
                <w:color w:val="000000"/>
                <w:sz w:val="24"/>
                <w:szCs w:val="24"/>
              </w:rPr>
            </w:pPr>
          </w:p>
        </w:tc>
      </w:tr>
    </w:tbl>
    <w:p w14:paraId="2FC2FE0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D3AC181">
      <w:pPr>
        <w:widowControl/>
        <w:jc w:val="left"/>
        <w:textAlignment w:val="center"/>
        <w:rPr>
          <w:rFonts w:ascii="Times New Roman" w:hAnsi="Times New Roman" w:eastAsia="仿宋_GB2312" w:cs="Times New Roman"/>
          <w:color w:val="000000"/>
          <w:kern w:val="0"/>
          <w:sz w:val="24"/>
          <w:szCs w:val="24"/>
          <w:lang w:bidi="ar"/>
        </w:rPr>
      </w:pPr>
    </w:p>
    <w:p w14:paraId="301A8D66">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7A72FCFD">
      <w:pPr>
        <w:widowControl/>
        <w:jc w:val="center"/>
        <w:rPr>
          <w:rFonts w:ascii="Times New Roman" w:hAnsi="Times New Roman" w:eastAsia="方正小标宋_GBK" w:cs="Times New Roman"/>
          <w:color w:val="000000"/>
          <w:kern w:val="0"/>
          <w:sz w:val="36"/>
          <w:szCs w:val="36"/>
        </w:rPr>
      </w:pPr>
    </w:p>
    <w:p w14:paraId="5BB4A700">
      <w:pPr>
        <w:widowControl/>
        <w:spacing w:line="400" w:lineRule="exact"/>
        <w:textAlignment w:val="center"/>
        <w:rPr>
          <w:rFonts w:ascii="Times New Roman" w:hAnsi="Times New Roman" w:eastAsia="黑体" w:cs="Times New Roman"/>
          <w:color w:val="000000"/>
          <w:kern w:val="0"/>
          <w:sz w:val="36"/>
          <w:szCs w:val="36"/>
          <w:lang w:bidi="ar"/>
        </w:rPr>
      </w:pPr>
    </w:p>
    <w:p w14:paraId="39C3626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F5F5B3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D069DE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永州市司法局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9B29B3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51C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39A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60722C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301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84A3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37E0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225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7B6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B0DC41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92F6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346B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6BBF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0FD0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FC934">
            <w:pPr>
              <w:jc w:val="center"/>
              <w:rPr>
                <w:rFonts w:ascii="Times New Roman" w:hAnsi="Times New Roman" w:eastAsia="仿宋_GB2312" w:cs="Times New Roman"/>
                <w:color w:val="000000"/>
                <w:sz w:val="24"/>
                <w:szCs w:val="24"/>
              </w:rPr>
            </w:pPr>
          </w:p>
        </w:tc>
      </w:tr>
      <w:tr w14:paraId="3FA965A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C958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597A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2F5C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D929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3EA2A">
            <w:pPr>
              <w:jc w:val="center"/>
              <w:rPr>
                <w:rFonts w:ascii="Times New Roman" w:hAnsi="Times New Roman" w:eastAsia="仿宋_GB2312" w:cs="Times New Roman"/>
                <w:color w:val="000000"/>
                <w:sz w:val="24"/>
                <w:szCs w:val="24"/>
              </w:rPr>
            </w:pPr>
          </w:p>
        </w:tc>
      </w:tr>
      <w:tr w14:paraId="0E00435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9BA2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4E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3CA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42F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7B6A27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399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2D7B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4FB6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55AF7">
            <w:pPr>
              <w:jc w:val="center"/>
              <w:rPr>
                <w:rFonts w:ascii="Times New Roman" w:hAnsi="Times New Roman" w:eastAsia="仿宋_GB2312" w:cs="Times New Roman"/>
                <w:color w:val="000000"/>
                <w:sz w:val="24"/>
                <w:szCs w:val="24"/>
              </w:rPr>
            </w:pPr>
          </w:p>
        </w:tc>
      </w:tr>
      <w:tr w14:paraId="66E586C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34A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5936">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8D36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068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405D">
            <w:pPr>
              <w:rPr>
                <w:rFonts w:ascii="Times New Roman" w:hAnsi="Times New Roman" w:eastAsia="仿宋_GB2312" w:cs="Times New Roman"/>
                <w:color w:val="000000"/>
                <w:sz w:val="24"/>
                <w:szCs w:val="24"/>
              </w:rPr>
            </w:pPr>
          </w:p>
        </w:tc>
      </w:tr>
      <w:tr w14:paraId="724E5AF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963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585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652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FF7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B8869">
            <w:pPr>
              <w:rPr>
                <w:rFonts w:ascii="Times New Roman" w:hAnsi="Times New Roman" w:eastAsia="仿宋_GB2312" w:cs="Times New Roman"/>
                <w:color w:val="000000"/>
                <w:sz w:val="24"/>
                <w:szCs w:val="24"/>
              </w:rPr>
            </w:pPr>
          </w:p>
        </w:tc>
      </w:tr>
      <w:tr w14:paraId="35D071F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797F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7566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4F6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15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A692C">
            <w:pPr>
              <w:rPr>
                <w:rFonts w:ascii="Times New Roman" w:hAnsi="Times New Roman" w:eastAsia="宋体" w:cs="Times New Roman"/>
                <w:color w:val="000000"/>
                <w:sz w:val="24"/>
                <w:szCs w:val="24"/>
              </w:rPr>
            </w:pPr>
          </w:p>
        </w:tc>
      </w:tr>
      <w:tr w14:paraId="5950783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81D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AE2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BC73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4404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F396A">
            <w:pPr>
              <w:rPr>
                <w:rFonts w:ascii="Times New Roman" w:hAnsi="Times New Roman" w:eastAsia="宋体" w:cs="Times New Roman"/>
                <w:color w:val="000000"/>
                <w:sz w:val="24"/>
                <w:szCs w:val="24"/>
              </w:rPr>
            </w:pPr>
          </w:p>
        </w:tc>
      </w:tr>
      <w:tr w14:paraId="39C61AF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1A71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511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120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070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E9419">
            <w:pPr>
              <w:rPr>
                <w:rFonts w:ascii="Times New Roman" w:hAnsi="Times New Roman" w:eastAsia="宋体" w:cs="Times New Roman"/>
                <w:color w:val="000000"/>
                <w:sz w:val="24"/>
                <w:szCs w:val="24"/>
              </w:rPr>
            </w:pPr>
          </w:p>
        </w:tc>
      </w:tr>
      <w:tr w14:paraId="020DB49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7567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8B8C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481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C77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47B2">
            <w:pPr>
              <w:rPr>
                <w:rFonts w:ascii="Times New Roman" w:hAnsi="Times New Roman" w:eastAsia="宋体" w:cs="Times New Roman"/>
                <w:color w:val="000000"/>
                <w:sz w:val="24"/>
                <w:szCs w:val="24"/>
              </w:rPr>
            </w:pPr>
          </w:p>
        </w:tc>
      </w:tr>
    </w:tbl>
    <w:p w14:paraId="0D4B7CC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4CA2598">
      <w:pPr>
        <w:widowControl/>
        <w:jc w:val="left"/>
        <w:textAlignment w:val="center"/>
        <w:rPr>
          <w:rFonts w:ascii="Times New Roman" w:hAnsi="Times New Roman" w:eastAsia="宋体" w:cs="Times New Roman"/>
          <w:color w:val="000000"/>
          <w:kern w:val="0"/>
          <w:sz w:val="24"/>
          <w:szCs w:val="24"/>
          <w:lang w:bidi="ar"/>
        </w:rPr>
      </w:pPr>
    </w:p>
    <w:p w14:paraId="581E382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66218D0">
      <w:pPr>
        <w:widowControl/>
        <w:jc w:val="center"/>
        <w:rPr>
          <w:rFonts w:ascii="Times New Roman" w:hAnsi="Times New Roman" w:eastAsia="方正小标宋_GBK" w:cs="Times New Roman"/>
          <w:color w:val="000000"/>
          <w:kern w:val="0"/>
          <w:sz w:val="36"/>
          <w:szCs w:val="36"/>
        </w:rPr>
      </w:pPr>
    </w:p>
    <w:p w14:paraId="22CD1C02">
      <w:pPr>
        <w:pStyle w:val="8"/>
        <w:spacing w:line="400" w:lineRule="exact"/>
        <w:rPr>
          <w:rFonts w:ascii="Times New Roman" w:hAnsi="Times New Roman" w:eastAsia="华文中宋" w:cs="Times New Roman"/>
          <w:color w:val="000000"/>
          <w:kern w:val="0"/>
          <w:sz w:val="32"/>
          <w:szCs w:val="32"/>
          <w:lang w:bidi="ar"/>
        </w:rPr>
      </w:pPr>
    </w:p>
    <w:p w14:paraId="36FF4A7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E51DB3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AA00D8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永州市司法局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2CAA39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4E1C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3A2F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9AC58D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2C7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0B3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9FC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B78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6F2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7B8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6B9A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6C1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8B357F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BE1A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801D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64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53A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7F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BD692">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DE827">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E0E76">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14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D3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B2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EC055">
            <w:pPr>
              <w:jc w:val="center"/>
              <w:rPr>
                <w:rFonts w:ascii="Times New Roman" w:hAnsi="Times New Roman" w:eastAsia="仿宋_GB2312" w:cs="Times New Roman"/>
                <w:color w:val="000000"/>
                <w:sz w:val="22"/>
              </w:rPr>
            </w:pPr>
          </w:p>
        </w:tc>
      </w:tr>
      <w:tr w14:paraId="21C33575">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4FA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A2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0B5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FA0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440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D1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EB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91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085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D47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0E8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FEC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2100CB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5E96B">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13.23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7AE6">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B30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75278">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F30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E5FC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0.23</w:t>
            </w:r>
            <w:bookmarkStart w:id="3" w:name="_GoBack"/>
            <w:bookmarkEnd w:id="3"/>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D02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13.23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14A0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40CC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13.23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161E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C34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0C4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0.23</w:t>
            </w:r>
          </w:p>
        </w:tc>
      </w:tr>
    </w:tbl>
    <w:p w14:paraId="5C3E8F7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BFF8D80">
      <w:pPr>
        <w:autoSpaceDE w:val="0"/>
        <w:autoSpaceDN w:val="0"/>
        <w:adjustRightInd w:val="0"/>
        <w:ind w:left="315" w:leftChars="150"/>
        <w:jc w:val="left"/>
        <w:rPr>
          <w:rFonts w:ascii="Times New Roman" w:hAnsi="Times New Roman" w:eastAsia="宋体" w:cs="Times New Roman"/>
          <w:kern w:val="0"/>
          <w:sz w:val="24"/>
          <w:szCs w:val="24"/>
        </w:rPr>
      </w:pPr>
    </w:p>
    <w:p w14:paraId="4DAF5CAB">
      <w:pPr>
        <w:autoSpaceDE w:val="0"/>
        <w:autoSpaceDN w:val="0"/>
        <w:adjustRightInd w:val="0"/>
        <w:ind w:left="315" w:leftChars="150"/>
        <w:jc w:val="left"/>
        <w:rPr>
          <w:rFonts w:ascii="Times New Roman" w:hAnsi="Times New Roman" w:eastAsia="宋体" w:cs="Times New Roman"/>
          <w:kern w:val="0"/>
          <w:sz w:val="24"/>
          <w:szCs w:val="24"/>
        </w:rPr>
      </w:pPr>
    </w:p>
    <w:p w14:paraId="3994628A">
      <w:pPr>
        <w:autoSpaceDE w:val="0"/>
        <w:autoSpaceDN w:val="0"/>
        <w:adjustRightInd w:val="0"/>
        <w:ind w:left="315" w:leftChars="150"/>
        <w:jc w:val="left"/>
        <w:rPr>
          <w:rFonts w:ascii="Times New Roman" w:hAnsi="Times New Roman" w:eastAsia="宋体" w:cs="Times New Roman"/>
          <w:kern w:val="0"/>
          <w:sz w:val="24"/>
          <w:szCs w:val="24"/>
        </w:rPr>
      </w:pPr>
    </w:p>
    <w:p w14:paraId="636E851E">
      <w:pPr>
        <w:autoSpaceDE w:val="0"/>
        <w:autoSpaceDN w:val="0"/>
        <w:adjustRightInd w:val="0"/>
        <w:ind w:left="315" w:leftChars="150"/>
        <w:jc w:val="left"/>
        <w:rPr>
          <w:rFonts w:ascii="Times New Roman" w:hAnsi="Times New Roman" w:eastAsia="宋体" w:cs="Times New Roman"/>
          <w:kern w:val="0"/>
          <w:sz w:val="24"/>
          <w:szCs w:val="24"/>
        </w:rPr>
      </w:pPr>
    </w:p>
    <w:p w14:paraId="7CF05F2C">
      <w:pPr>
        <w:autoSpaceDE w:val="0"/>
        <w:autoSpaceDN w:val="0"/>
        <w:adjustRightInd w:val="0"/>
        <w:ind w:left="315" w:leftChars="150"/>
        <w:jc w:val="left"/>
        <w:rPr>
          <w:rFonts w:ascii="Times New Roman" w:hAnsi="Times New Roman" w:eastAsia="宋体" w:cs="Times New Roman"/>
          <w:kern w:val="0"/>
          <w:sz w:val="24"/>
          <w:szCs w:val="24"/>
        </w:rPr>
      </w:pPr>
    </w:p>
    <w:p w14:paraId="51308AA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23EE4D7">
      <w:pPr>
        <w:pStyle w:val="13"/>
        <w:rPr>
          <w:rFonts w:ascii="Times New Roman" w:hAnsi="Times New Roman" w:cs="Times New Roman"/>
          <w:sz w:val="72"/>
          <w:szCs w:val="72"/>
        </w:rPr>
      </w:pPr>
    </w:p>
    <w:p w14:paraId="17B3EBE7">
      <w:pPr>
        <w:pStyle w:val="13"/>
        <w:rPr>
          <w:rFonts w:ascii="Times New Roman" w:hAnsi="Times New Roman" w:cs="Times New Roman"/>
          <w:sz w:val="72"/>
          <w:szCs w:val="72"/>
        </w:rPr>
      </w:pPr>
    </w:p>
    <w:p w14:paraId="205213C9">
      <w:pPr>
        <w:pStyle w:val="13"/>
        <w:rPr>
          <w:rFonts w:ascii="Times New Roman" w:hAnsi="Times New Roman" w:cs="Times New Roman"/>
          <w:sz w:val="72"/>
          <w:szCs w:val="72"/>
        </w:rPr>
      </w:pPr>
    </w:p>
    <w:p w14:paraId="2788815D">
      <w:pPr>
        <w:pStyle w:val="13"/>
        <w:jc w:val="center"/>
        <w:rPr>
          <w:rFonts w:ascii="Times New Roman" w:hAnsi="Times New Roman" w:cs="Times New Roman"/>
          <w:sz w:val="72"/>
          <w:szCs w:val="72"/>
        </w:rPr>
      </w:pPr>
    </w:p>
    <w:p w14:paraId="208C5137">
      <w:pPr>
        <w:pStyle w:val="13"/>
        <w:jc w:val="center"/>
        <w:rPr>
          <w:rFonts w:ascii="Times New Roman" w:hAnsi="Times New Roman" w:eastAsia="方正小标宋_GBK" w:cs="Times New Roman"/>
          <w:sz w:val="72"/>
          <w:szCs w:val="72"/>
        </w:rPr>
      </w:pPr>
    </w:p>
    <w:p w14:paraId="1C0D6A3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B1F6CB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8CD7B7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7C3FD3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EB2609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225.59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14.05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财政拨款人员经费增加</w:t>
      </w:r>
      <w:r>
        <w:rPr>
          <w:rFonts w:hint="eastAsia" w:ascii="Times New Roman" w:hAnsi="Times New Roman" w:eastAsia="仿宋_GB2312" w:cs="Times New Roman"/>
          <w:sz w:val="32"/>
          <w:szCs w:val="32"/>
          <w:lang w:val="en-US" w:eastAsia="zh-CN"/>
        </w:rPr>
        <w:t>254.68万元，其中基本工资增加108.4万元，基本工资调增及人员相较上年增加6人所致</w:t>
      </w:r>
      <w:r>
        <w:rPr>
          <w:rFonts w:hint="eastAsia" w:ascii="Times New Roman" w:hAnsi="Times New Roman" w:eastAsia="仿宋_GB2312" w:cs="Times New Roman"/>
          <w:sz w:val="32"/>
          <w:szCs w:val="32"/>
          <w:lang w:eastAsia="zh-CN"/>
        </w:rPr>
        <w:t>。另公用经费较上年增加</w:t>
      </w:r>
      <w:r>
        <w:rPr>
          <w:rFonts w:hint="eastAsia" w:ascii="Times New Roman" w:hAnsi="Times New Roman" w:eastAsia="仿宋_GB2312" w:cs="Times New Roman"/>
          <w:sz w:val="32"/>
          <w:szCs w:val="32"/>
          <w:lang w:val="en-US" w:eastAsia="zh-CN"/>
        </w:rPr>
        <w:t>25.97万元，主要是为保障局机关正常工作运转，适当增加了保运转经费。</w:t>
      </w:r>
    </w:p>
    <w:p w14:paraId="3E7C1F1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09E57A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0BAA90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6AD2A7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1557.9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85.09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14.91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D115BB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6F51B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225.59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14.05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。我单位202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年度收入全部为一般公共预算财政拨款收入，因此增减变化原因同本部分第一点收入支出决算总体情况说明。</w:t>
      </w:r>
    </w:p>
    <w:p w14:paraId="71A1B2D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3B479D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7561FC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225.59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原因同上。</w:t>
      </w:r>
    </w:p>
    <w:p w14:paraId="5BF37BD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7D8DA8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公共安全（类）支出1830.9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68EEE9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6E393A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1329.16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137.75</w:t>
      </w:r>
      <w:r>
        <w:rPr>
          <w:rFonts w:ascii="Times New Roman" w:hAnsi="Times New Roman" w:eastAsia="仿宋_GB2312" w:cs="Times New Roman"/>
          <w:sz w:val="32"/>
          <w:szCs w:val="32"/>
        </w:rPr>
        <w:t>%，其中：</w:t>
      </w:r>
    </w:p>
    <w:p w14:paraId="3E949FA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公共安全（类）司法（款）行政运行（项）</w:t>
      </w:r>
      <w:r>
        <w:rPr>
          <w:rFonts w:ascii="Times New Roman" w:hAnsi="Times New Roman" w:eastAsia="仿宋_GB2312" w:cs="Times New Roman"/>
          <w:sz w:val="32"/>
          <w:szCs w:val="32"/>
        </w:rPr>
        <w:t>。</w:t>
      </w:r>
    </w:p>
    <w:p w14:paraId="6F90432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1308.76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119.04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一是行政事业单位养老支出、机关事业单位基本养老保险缴费支出、行政事业单位医疗、住房公积金等四项做预算时属社会保障和就业支出类，决算中属公共安全（类）司法（款）行政运行（项）中的人员经费。二是人员经费支出中工资福利支出提标晋档及基础性绩效奖增加、缴纳社保各费金额增加。</w:t>
      </w:r>
    </w:p>
    <w:p w14:paraId="56A50A6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公共安全（类）司法（款）普法宣传经费（项）</w:t>
      </w:r>
      <w:r>
        <w:rPr>
          <w:rFonts w:ascii="Times New Roman" w:hAnsi="Times New Roman" w:eastAsia="仿宋_GB2312" w:cs="Times New Roman"/>
          <w:sz w:val="32"/>
          <w:szCs w:val="32"/>
        </w:rPr>
        <w:t>。</w:t>
      </w:r>
    </w:p>
    <w:p w14:paraId="250BB85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年初预算时市本级专项资金属于市财政资金管理科室代编项目，不包含在预算单位年初预算内，年中根据项目进展实际情况拨付资金。</w:t>
      </w:r>
    </w:p>
    <w:p w14:paraId="2A68F48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3、公共安全（类）司法（款）公共法律服务费（项）。</w:t>
      </w:r>
    </w:p>
    <w:p w14:paraId="0EE3DFE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lang w:eastAsia="zh-CN"/>
        </w:rPr>
        <w:t>万元，决算数大于年初预算数的主要原因是：年初编制预算时仅包含市本级财政拨付的资金，届时上级转移支付资金尚未下达，不包含在年初预算数内。公共法律服务费</w:t>
      </w:r>
      <w:r>
        <w:rPr>
          <w:rFonts w:hint="eastAsia" w:ascii="Times New Roman" w:hAnsi="Times New Roman" w:eastAsia="仿宋_GB2312" w:cs="Times New Roman"/>
          <w:sz w:val="32"/>
          <w:szCs w:val="32"/>
          <w:lang w:val="en-US" w:eastAsia="zh-CN"/>
        </w:rPr>
        <w:t>12万元主要用于法律援助经费支出，全部为</w:t>
      </w:r>
      <w:r>
        <w:rPr>
          <w:rFonts w:hint="eastAsia" w:ascii="Times New Roman" w:hAnsi="Times New Roman" w:eastAsia="仿宋_GB2312" w:cs="Times New Roman"/>
          <w:sz w:val="32"/>
          <w:szCs w:val="32"/>
          <w:lang w:eastAsia="zh-CN"/>
        </w:rPr>
        <w:t>上级转移支付资金。</w:t>
      </w:r>
    </w:p>
    <w:p w14:paraId="7B4A82B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4、公共安全（类）司法（款）其他司法支出经费（项）。</w:t>
      </w:r>
    </w:p>
    <w:p w14:paraId="67467FD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年初预算为0万元，支出决算为253万元，决算数大于年初预算数的主要原因是：2025年度中央政法纪检监察转移支付资金不包括在年初预算数内。</w:t>
      </w:r>
    </w:p>
    <w:p w14:paraId="4309B49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80AEE3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1557.9</w:t>
      </w:r>
      <w:r>
        <w:rPr>
          <w:rFonts w:ascii="Times New Roman" w:hAnsi="Times New Roman" w:eastAsia="仿宋_GB2312" w:cs="Times New Roman"/>
          <w:sz w:val="32"/>
          <w:szCs w:val="32"/>
        </w:rPr>
        <w:t>万元，其中：</w:t>
      </w:r>
    </w:p>
    <w:p w14:paraId="0F8B6CE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1321.25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84.81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基本工资、津贴补贴、奖金、绩效工资、机关事业单位基本养老保险缴费、职工基本医疗保险缴费、公务员医疗补助缴费、其他社会保障缴费、住房公积金以及对个人和家庭的补助</w:t>
      </w:r>
      <w:r>
        <w:rPr>
          <w:rFonts w:ascii="Times New Roman" w:hAnsi="Times New Roman" w:eastAsia="仿宋_GB2312" w:cs="Times New Roman"/>
          <w:sz w:val="32"/>
          <w:szCs w:val="32"/>
        </w:rPr>
        <w:t>。</w:t>
      </w:r>
    </w:p>
    <w:p w14:paraId="6F65AF07">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236.65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15.19</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办公费、电费、物业管理费、公务接待费、工会经费、福利费、公务用车运行维护费、其他交通费用、其他商品和服务支出</w:t>
      </w:r>
      <w:r>
        <w:rPr>
          <w:rFonts w:hint="eastAsia" w:ascii="Times New Roman" w:hAnsi="Times New Roman" w:eastAsia="仿宋_GB2312" w:cs="Times New Roman"/>
          <w:sz w:val="32"/>
          <w:szCs w:val="32"/>
          <w:lang w:eastAsia="zh-CN"/>
        </w:rPr>
        <w:t>。</w:t>
      </w:r>
    </w:p>
    <w:p w14:paraId="60168B49">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447F981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CEFCE8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8.27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17.83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我单位严格控制公务接待支出，公务接待费决算数相较预算数减少2.</w:t>
      </w:r>
      <w:r>
        <w:rPr>
          <w:rFonts w:hint="eastAsia" w:ascii="Times New Roman" w:hAnsi="Times New Roman" w:eastAsia="仿宋_GB2312" w:cs="Times New Roman"/>
          <w:sz w:val="32"/>
          <w:szCs w:val="32"/>
          <w:lang w:val="en-US" w:eastAsia="zh-CN"/>
        </w:rPr>
        <w:t>77</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w:t>
      </w:r>
    </w:p>
    <w:p w14:paraId="33DADA3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A83F3F1">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我局2024年度无因公出国出境相关支出</w:t>
      </w:r>
      <w:r>
        <w:rPr>
          <w:rFonts w:hint="eastAsia" w:ascii="Times New Roman" w:hAnsi="Times New Roman" w:eastAsia="仿宋_GB2312" w:cs="Times New Roman"/>
          <w:sz w:val="32"/>
          <w:szCs w:val="32"/>
          <w:lang w:eastAsia="zh-CN"/>
        </w:rPr>
        <w:t>。</w:t>
      </w:r>
    </w:p>
    <w:p w14:paraId="7E7496A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1B5B127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决算数等于预算数的主要原因是我单位厉行节约办公，未新购置公务用车</w:t>
      </w:r>
      <w:r>
        <w:rPr>
          <w:rFonts w:ascii="Times New Roman" w:hAnsi="Times New Roman" w:eastAsia="仿宋_GB2312" w:cs="Times New Roman"/>
          <w:color w:val="000000" w:themeColor="text1"/>
          <w:sz w:val="32"/>
          <w:szCs w:val="32"/>
          <w14:textFill>
            <w14:solidFill>
              <w14:schemeClr w14:val="tx1"/>
            </w14:solidFill>
          </w14:textFill>
        </w:rPr>
        <w:t>。</w:t>
      </w:r>
    </w:p>
    <w:p w14:paraId="7F461AAE">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公务用车油卡充值、公务用车维修维护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我单位在预算管理严格、车辆维护优化及政策制度约束下，成本得到有效控制</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14:paraId="6FBCB9E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92.58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落实中央八项规定精神，严格控制公务接待支出，大幅减少接待批次和人数，充分利用机关食堂，精简安排公务接待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接待上级单位来局考察调研、学习交流、</w:t>
      </w:r>
      <w:r>
        <w:rPr>
          <w:rFonts w:hint="eastAsia" w:ascii="Times New Roman" w:hAnsi="Times New Roman" w:eastAsia="仿宋_GB2312" w:cs="Times New Roman"/>
          <w:sz w:val="32"/>
          <w:szCs w:val="32"/>
          <w:lang w:eastAsia="zh-CN"/>
        </w:rPr>
        <w:t>检查指导</w:t>
      </w:r>
      <w:r>
        <w:rPr>
          <w:rFonts w:ascii="Times New Roman" w:hAnsi="Times New Roman" w:eastAsia="仿宋_GB2312" w:cs="Times New Roman"/>
          <w:sz w:val="32"/>
          <w:szCs w:val="32"/>
        </w:rPr>
        <w:t>发生的接待支出。</w:t>
      </w:r>
    </w:p>
    <w:p w14:paraId="087A7CD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449883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eastAsia="zh-CN"/>
        </w:rPr>
        <w:t>收支。</w:t>
      </w:r>
    </w:p>
    <w:p w14:paraId="5DDF54D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7A7896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236.65</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50.88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27.39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信息系统运行维护支出增加</w:t>
      </w:r>
      <w:r>
        <w:rPr>
          <w:rFonts w:hint="eastAsia" w:ascii="Times New Roman" w:hAnsi="Times New Roman" w:eastAsia="仿宋_GB2312" w:cs="Times New Roman"/>
          <w:sz w:val="32"/>
          <w:szCs w:val="32"/>
          <w:lang w:eastAsia="zh-CN"/>
        </w:rPr>
        <w:t>以及</w:t>
      </w:r>
      <w:r>
        <w:rPr>
          <w:rFonts w:hint="eastAsia" w:ascii="Times New Roman" w:hAnsi="Times New Roman" w:eastAsia="仿宋_GB2312" w:cs="Times New Roman"/>
          <w:sz w:val="32"/>
          <w:szCs w:val="32"/>
        </w:rPr>
        <w:t>人员编制数量增加</w:t>
      </w:r>
      <w:r>
        <w:rPr>
          <w:rFonts w:ascii="Times New Roman" w:hAnsi="Times New Roman" w:eastAsia="仿宋_GB2312" w:cs="Times New Roman"/>
          <w:sz w:val="32"/>
          <w:szCs w:val="32"/>
        </w:rPr>
        <w:t>。</w:t>
      </w:r>
    </w:p>
    <w:p w14:paraId="2895D48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A07532A">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0.99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全市司法行政各类业务工作会议，人数约</w:t>
      </w:r>
      <w:r>
        <w:rPr>
          <w:rFonts w:hint="eastAsia" w:ascii="Times New Roman" w:hAnsi="Times New Roman" w:eastAsia="仿宋_GB2312" w:cs="Times New Roman"/>
          <w:sz w:val="32"/>
          <w:szCs w:val="32"/>
          <w:lang w:val="en-US" w:eastAsia="zh-CN"/>
        </w:rPr>
        <w:t>300</w:t>
      </w:r>
      <w:r>
        <w:rPr>
          <w:rFonts w:hint="eastAsia"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，内容为召开</w:t>
      </w:r>
      <w:r>
        <w:rPr>
          <w:rFonts w:hint="eastAsia" w:ascii="Times New Roman" w:hAnsi="Times New Roman" w:eastAsia="仿宋_GB2312" w:cs="Times New Roman"/>
          <w:sz w:val="32"/>
          <w:szCs w:val="32"/>
        </w:rPr>
        <w:t>全市司法行政工作会议（半年一次）</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2.93</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rPr>
        <w:t>开展司法行政业务工作培训，人数650人，内容为国家统一法律职业资格考试永州考点培训、全市法律援助案件业务培训、全市司法鉴定业务培训、全市人民监督员业务培训等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未举办节庆、晚会、论坛、赛事活动，开支0万元，主要是厉行节约办公，无相关工作计划</w:t>
      </w:r>
      <w:r>
        <w:rPr>
          <w:rFonts w:ascii="Times New Roman" w:hAnsi="Times New Roman" w:eastAsia="仿宋_GB2312" w:cs="Times New Roman"/>
          <w:sz w:val="32"/>
          <w:szCs w:val="32"/>
        </w:rPr>
        <w:t>。</w:t>
      </w:r>
    </w:p>
    <w:p w14:paraId="750A36A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6677261">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A29F15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5EEDA7B">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永州市司法局</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辆、其他用车XX辆；单位价值100万元以上设备（不含车辆）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C620BA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71941D0">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273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273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14.91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D1E29E7">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w:t>
      </w:r>
      <w:r>
        <w:rPr>
          <w:rFonts w:hint="eastAsia" w:ascii="Times New Roman" w:hAnsi="Times New Roman" w:eastAsia="楷体_GB2312" w:cs="Times New Roman"/>
          <w:b/>
          <w:bCs/>
          <w:sz w:val="32"/>
          <w:szCs w:val="32"/>
          <w:lang w:eastAsia="zh-CN"/>
        </w:rPr>
        <w:t>自</w:t>
      </w:r>
      <w:r>
        <w:rPr>
          <w:rFonts w:ascii="Times New Roman" w:hAnsi="Times New Roman" w:eastAsia="楷体_GB2312" w:cs="Times New Roman"/>
          <w:b/>
          <w:bCs/>
          <w:sz w:val="32"/>
          <w:szCs w:val="32"/>
        </w:rPr>
        <w:t>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永州市司法局</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1870.2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1830.9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89.79</w:t>
      </w:r>
      <w:r>
        <w:rPr>
          <w:rFonts w:ascii="Times New Roman" w:hAnsi="Times New Roman" w:eastAsia="仿宋_GB2312" w:cs="Times New Roman"/>
          <w:sz w:val="32"/>
          <w:szCs w:val="32"/>
        </w:rPr>
        <w:t>分。绩效目标完成情况：</w:t>
      </w:r>
      <w:r>
        <w:rPr>
          <w:rFonts w:hint="eastAsia" w:ascii="Times New Roman" w:hAnsi="Times New Roman" w:eastAsia="仿宋_GB2312" w:cs="Times New Roman"/>
          <w:sz w:val="32"/>
          <w:szCs w:val="32"/>
        </w:rPr>
        <w:t>2025年，在市委、市政府的坚强领导和省司法厅的有力指导下，永州市司法局坚持以习近平新时代中国特色社会主义思想为指导，深入学习党的二十届三中、四中全会精神，紧紧围绕“稳住基本盘、突破薄弱点、争当优等生”总体目标，以“五个机关”建设为抓手，履职尽责，真抓实干，各项工作取得新成效。国家统一法律职业资格考试永州考区时隔三年恢复设置，并圆满完成组考任务；“市长带头学法释法”经验获评全国普法治理创新案例；行政复议与应诉科获评“全国行政复议应诉工作表现突出集体”；牵头的“规范涉企行政检查”工作获得省政府大抓落实激励事项表彰；“行刑衔接”改革试点、律师管理等工作在全省做典型推介</w:t>
      </w:r>
      <w:r>
        <w:rPr>
          <w:rFonts w:ascii="Times New Roman" w:hAnsi="Times New Roman" w:eastAsia="仿宋_GB2312" w:cs="Times New Roman"/>
          <w:kern w:val="0"/>
          <w:sz w:val="32"/>
          <w:szCs w:val="32"/>
        </w:rPr>
        <w:t>。</w:t>
      </w:r>
    </w:p>
    <w:p w14:paraId="7D41FD10">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475A6EF">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rPr>
        <w:t>预算安排方面</w:t>
      </w:r>
    </w:p>
    <w:p w14:paraId="3C6C6BE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 xml:space="preserve"> 结合202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年度绩效自评、部门评价及财政评价结果，对于绩效表现优秀、成果显著的项目，在202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预算安排上给予优先保障，适当增加预算额度，以支持其进一步拓展和深化；对于绩效表现一般的项目，维持现有预算规模，同时要求优化项目实施方式，提升资金使用效率；对于绩效表现欠佳的项目，削减其预算，将节省的资金调配至更具效益的项目中。</w:t>
      </w:r>
    </w:p>
    <w:p w14:paraId="44E4B84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支出结构调整方面</w:t>
      </w:r>
    </w:p>
    <w:p w14:paraId="4F04944E">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依据评价结果，分析各项目支出的合理性与有效性。对那些投入产出比高、对部门核心工作推动作用大的项目，在202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支出结构中提高其占比；对于支出与绩效不匹配、存在资源浪费的项目，降低其支出比重。例如，若某业务培训项目经评价发现效果显著，员工业务能力提升明显，就增加该项目的支出份额；若某宣传项目效果未达预期，就减少其支出。</w:t>
      </w:r>
    </w:p>
    <w:p w14:paraId="292CA562">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资金管理方面</w:t>
      </w:r>
    </w:p>
    <w:p w14:paraId="3016EB86">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根据绩效评价反映出的资金管理问题，如部分项目资金使用不规范、预算执行进度不合理等，在202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强化资金管理。建立更严格的资金使用审批流程，加强对资金使用的事中监控，确保资金按照预算用途和进度使用。同时，定期对资金使用情况进行分析和评估，及时发现并解决问题，提高资金使用的规范性和效率。</w:t>
      </w:r>
    </w:p>
    <w:p w14:paraId="5A11B58B">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制度建设方面</w:t>
      </w:r>
    </w:p>
    <w:p w14:paraId="3F8E8DAF">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针对绩效评价中暴露出的制度漏洞或不完善之处，在202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推进相关制度建设。比如，若发现项目绩效目标设定缺乏科学依据，就制定《项目绩效目标管理办法》，规范绩效目标的设定流程和方法；若资金绩效考核机制不健全，就完善《资金绩效考核制度》，明确考核指标、周期和奖惩措施，通过制度保障绩效评价结果能更好地应用于实际工作中。</w:t>
      </w:r>
    </w:p>
    <w:p w14:paraId="337C3294">
      <w:pPr>
        <w:pStyle w:val="13"/>
        <w:jc w:val="center"/>
        <w:rPr>
          <w:rFonts w:ascii="Times New Roman" w:hAnsi="Times New Roman" w:cs="Times New Roman"/>
          <w:sz w:val="72"/>
          <w:szCs w:val="72"/>
        </w:rPr>
      </w:pPr>
    </w:p>
    <w:p w14:paraId="08B20386">
      <w:pPr>
        <w:pStyle w:val="13"/>
        <w:jc w:val="center"/>
        <w:rPr>
          <w:rFonts w:ascii="Times New Roman" w:hAnsi="Times New Roman" w:cs="Times New Roman"/>
          <w:sz w:val="72"/>
          <w:szCs w:val="72"/>
        </w:rPr>
      </w:pPr>
    </w:p>
    <w:p w14:paraId="36DAE21B">
      <w:pPr>
        <w:pStyle w:val="13"/>
        <w:jc w:val="center"/>
        <w:rPr>
          <w:rFonts w:ascii="Times New Roman" w:hAnsi="Times New Roman" w:cs="Times New Roman"/>
          <w:sz w:val="72"/>
          <w:szCs w:val="72"/>
        </w:rPr>
      </w:pPr>
    </w:p>
    <w:p w14:paraId="0776E75B">
      <w:pPr>
        <w:pStyle w:val="13"/>
        <w:jc w:val="center"/>
        <w:rPr>
          <w:rFonts w:ascii="Times New Roman" w:hAnsi="Times New Roman" w:cs="Times New Roman"/>
          <w:sz w:val="72"/>
          <w:szCs w:val="72"/>
        </w:rPr>
      </w:pPr>
    </w:p>
    <w:p w14:paraId="733515BD">
      <w:pPr>
        <w:pStyle w:val="13"/>
        <w:jc w:val="center"/>
        <w:rPr>
          <w:rFonts w:ascii="Times New Roman" w:hAnsi="Times New Roman" w:cs="Times New Roman"/>
          <w:sz w:val="72"/>
          <w:szCs w:val="72"/>
        </w:rPr>
      </w:pPr>
    </w:p>
    <w:p w14:paraId="4724454E">
      <w:pPr>
        <w:pStyle w:val="13"/>
        <w:jc w:val="center"/>
        <w:rPr>
          <w:rFonts w:ascii="Times New Roman" w:hAnsi="Times New Roman" w:cs="Times New Roman"/>
          <w:sz w:val="72"/>
          <w:szCs w:val="72"/>
        </w:rPr>
      </w:pPr>
    </w:p>
    <w:p w14:paraId="6E3D3B8B">
      <w:pPr>
        <w:pStyle w:val="13"/>
        <w:jc w:val="center"/>
        <w:rPr>
          <w:rFonts w:ascii="Times New Roman" w:hAnsi="Times New Roman" w:cs="Times New Roman"/>
          <w:sz w:val="72"/>
          <w:szCs w:val="72"/>
        </w:rPr>
      </w:pPr>
    </w:p>
    <w:p w14:paraId="02C23932">
      <w:pPr>
        <w:pStyle w:val="13"/>
        <w:jc w:val="center"/>
        <w:rPr>
          <w:rFonts w:ascii="Times New Roman" w:hAnsi="Times New Roman" w:cs="Times New Roman"/>
          <w:sz w:val="72"/>
          <w:szCs w:val="72"/>
        </w:rPr>
      </w:pPr>
    </w:p>
    <w:p w14:paraId="5650BF4D">
      <w:pPr>
        <w:pStyle w:val="13"/>
        <w:jc w:val="center"/>
        <w:rPr>
          <w:rFonts w:ascii="Times New Roman" w:hAnsi="Times New Roman" w:cs="Times New Roman"/>
          <w:sz w:val="72"/>
          <w:szCs w:val="72"/>
        </w:rPr>
      </w:pPr>
    </w:p>
    <w:p w14:paraId="3AFC0DD7">
      <w:pPr>
        <w:pStyle w:val="13"/>
        <w:jc w:val="both"/>
        <w:rPr>
          <w:rFonts w:ascii="Times New Roman" w:hAnsi="Times New Roman" w:cs="Times New Roman"/>
          <w:sz w:val="72"/>
          <w:szCs w:val="72"/>
        </w:rPr>
      </w:pPr>
    </w:p>
    <w:p w14:paraId="7889622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7A3BF6D">
      <w:pPr>
        <w:widowControl/>
        <w:jc w:val="left"/>
        <w:rPr>
          <w:rFonts w:ascii="Times New Roman" w:hAnsi="Times New Roman" w:cs="Times New Roman"/>
          <w:color w:val="000000"/>
          <w:kern w:val="0"/>
          <w:sz w:val="32"/>
          <w:szCs w:val="32"/>
        </w:rPr>
      </w:pPr>
    </w:p>
    <w:p w14:paraId="43B4FA95">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一、财政拨款收入：指财政当年拨付的资金，主要包括一般公共预算财政拨款，政府性基金预算财政拨款，国有资本经营预算财政拨款。</w:t>
      </w:r>
    </w:p>
    <w:p w14:paraId="4D6E3EA4">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二、上级补助收入：指事业单位从主管部门和上级单位取得的非财政补助收入。 </w:t>
      </w:r>
    </w:p>
    <w:p w14:paraId="6B5295C8">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三、事业收入：指事业单位开展专业业务活动及辅助活动所取得的收入。 </w:t>
      </w:r>
    </w:p>
    <w:p w14:paraId="0BC9FA4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四、经营收入：指事业单位在专业业务活动及其辅助活动之外开展非独立核算经营活动取得的收入。 </w:t>
      </w:r>
    </w:p>
    <w:p w14:paraId="29123715">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五、附属单位上缴收入：指事业单位附属独立核算单位按照有关规定上缴的收入。 </w:t>
      </w:r>
    </w:p>
    <w:p w14:paraId="475A0C24">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六、其他收入：指除上述“财政拨款收入”、“事业收入”、“经营收入”等以外的收入。 </w:t>
      </w:r>
    </w:p>
    <w:p w14:paraId="0039444F">
      <w:pPr>
        <w:pStyle w:val="13"/>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七、基本支出：指为保障机构正常运转、完成日常工作任务而发生的各项支出，包括人员支出和公用支出。</w:t>
      </w:r>
    </w:p>
    <w:p w14:paraId="089FEFB1">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八、项目支出：指在基本支出以外为完成相关行政任务和事业发展目标所发生的各项支出。  </w:t>
      </w:r>
    </w:p>
    <w:p w14:paraId="7D0447BC">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九、“三公”经费：指通过财政拨款资金安排的因公出国（境）费、公务用车购置及运行费和公务接待费支出。  </w:t>
      </w:r>
    </w:p>
    <w:p w14:paraId="4A19CB7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367FC206">
      <w:pPr>
        <w:pStyle w:val="13"/>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十一、政法转移支付资金：是指为提高基层政法机关的经费保障水平以及改善政法机关的办案条件，由中央和省级财政共同安排用于补助基层政法机关的专项资金。</w:t>
      </w:r>
    </w:p>
    <w:p w14:paraId="4E47C2B6">
      <w:pPr>
        <w:pStyle w:val="13"/>
        <w:jc w:val="center"/>
        <w:rPr>
          <w:rFonts w:ascii="Times New Roman" w:hAnsi="Times New Roman" w:cs="Times New Roman"/>
          <w:sz w:val="72"/>
          <w:szCs w:val="72"/>
        </w:rPr>
      </w:pPr>
    </w:p>
    <w:p w14:paraId="5D212D50">
      <w:pPr>
        <w:pStyle w:val="13"/>
        <w:jc w:val="center"/>
        <w:rPr>
          <w:rFonts w:ascii="Times New Roman" w:hAnsi="Times New Roman" w:cs="Times New Roman"/>
          <w:sz w:val="72"/>
          <w:szCs w:val="72"/>
        </w:rPr>
      </w:pPr>
    </w:p>
    <w:p w14:paraId="64E35FDD">
      <w:pPr>
        <w:pStyle w:val="13"/>
        <w:jc w:val="center"/>
        <w:rPr>
          <w:rFonts w:ascii="Times New Roman" w:hAnsi="Times New Roman" w:cs="Times New Roman"/>
          <w:sz w:val="72"/>
          <w:szCs w:val="72"/>
        </w:rPr>
      </w:pPr>
    </w:p>
    <w:p w14:paraId="12511BB3">
      <w:pPr>
        <w:pStyle w:val="13"/>
        <w:jc w:val="center"/>
        <w:rPr>
          <w:rFonts w:ascii="Times New Roman" w:hAnsi="Times New Roman" w:cs="Times New Roman"/>
          <w:sz w:val="72"/>
          <w:szCs w:val="72"/>
        </w:rPr>
      </w:pPr>
    </w:p>
    <w:p w14:paraId="07D698A5">
      <w:pPr>
        <w:pStyle w:val="13"/>
        <w:jc w:val="center"/>
        <w:rPr>
          <w:rFonts w:ascii="Times New Roman" w:hAnsi="Times New Roman" w:cs="Times New Roman"/>
          <w:sz w:val="72"/>
          <w:szCs w:val="72"/>
        </w:rPr>
      </w:pPr>
    </w:p>
    <w:p w14:paraId="13BECD20">
      <w:pPr>
        <w:pStyle w:val="13"/>
        <w:jc w:val="center"/>
        <w:rPr>
          <w:rFonts w:ascii="Times New Roman" w:hAnsi="Times New Roman" w:cs="Times New Roman"/>
          <w:sz w:val="72"/>
          <w:szCs w:val="72"/>
        </w:rPr>
      </w:pPr>
    </w:p>
    <w:p w14:paraId="51E92427">
      <w:pPr>
        <w:pStyle w:val="13"/>
        <w:jc w:val="center"/>
        <w:rPr>
          <w:rFonts w:ascii="Times New Roman" w:hAnsi="Times New Roman" w:cs="Times New Roman"/>
          <w:sz w:val="72"/>
          <w:szCs w:val="72"/>
        </w:rPr>
      </w:pPr>
    </w:p>
    <w:p w14:paraId="6553C6E8">
      <w:pPr>
        <w:pStyle w:val="13"/>
        <w:jc w:val="both"/>
        <w:rPr>
          <w:rFonts w:ascii="Times New Roman" w:hAnsi="Times New Roman" w:cs="Times New Roman"/>
          <w:sz w:val="72"/>
          <w:szCs w:val="72"/>
        </w:rPr>
      </w:pPr>
    </w:p>
    <w:p w14:paraId="4009B4B0">
      <w:pPr>
        <w:pStyle w:val="13"/>
        <w:jc w:val="both"/>
        <w:rPr>
          <w:rFonts w:ascii="Times New Roman" w:hAnsi="Times New Roman" w:cs="Times New Roman"/>
          <w:sz w:val="72"/>
          <w:szCs w:val="72"/>
        </w:rPr>
      </w:pPr>
    </w:p>
    <w:p w14:paraId="3764C39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2E3855">
      <w:pPr>
        <w:rPr>
          <w:rFonts w:ascii="Times New Roman" w:hAnsi="Times New Roman" w:cs="Times New Roman"/>
          <w:sz w:val="72"/>
          <w:szCs w:val="72"/>
        </w:rPr>
      </w:pPr>
    </w:p>
    <w:p w14:paraId="16DDE5BA">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年度部门(单位)整体支出绩效自评报告</w:t>
      </w:r>
    </w:p>
    <w:p w14:paraId="785A26A7">
      <w:pPr>
        <w:pStyle w:val="8"/>
        <w:rPr>
          <w:rFonts w:hint="eastAsia" w:ascii="方正小标宋简体" w:hAnsi="方正小标宋简体" w:eastAsia="方正小标宋简体" w:cs="方正小标宋简体"/>
          <w:sz w:val="44"/>
          <w:szCs w:val="44"/>
        </w:rPr>
      </w:pPr>
    </w:p>
    <w:p w14:paraId="43F70B01">
      <w:pPr>
        <w:spacing w:line="570" w:lineRule="exact"/>
        <w:ind w:firstLine="640" w:firstLineChars="200"/>
        <w:rPr>
          <w:rFonts w:eastAsia="黑体"/>
          <w:sz w:val="32"/>
          <w:szCs w:val="32"/>
        </w:rPr>
      </w:pPr>
      <w:r>
        <w:rPr>
          <w:rFonts w:hint="eastAsia" w:ascii="黑体" w:hAnsi="黑体" w:eastAsia="黑体" w:cs="黑体"/>
          <w:sz w:val="32"/>
          <w:szCs w:val="32"/>
        </w:rPr>
        <w:t>一、</w:t>
      </w:r>
      <w:r>
        <w:rPr>
          <w:rFonts w:hint="eastAsia" w:eastAsia="黑体"/>
          <w:sz w:val="32"/>
          <w:szCs w:val="32"/>
          <w:lang w:eastAsia="zh-CN"/>
        </w:rPr>
        <w:t>永州市司法局</w:t>
      </w:r>
      <w:r>
        <w:rPr>
          <w:rFonts w:eastAsia="黑体"/>
          <w:sz w:val="32"/>
          <w:szCs w:val="32"/>
        </w:rPr>
        <w:t>基本情况</w:t>
      </w:r>
    </w:p>
    <w:p w14:paraId="0DED8497">
      <w:pPr>
        <w:shd w:val="clear" w:color="auto" w:fill="FFFFFF"/>
        <w:spacing w:line="57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rPr>
        <w:t>（一）</w:t>
      </w:r>
      <w:r>
        <w:rPr>
          <w:rFonts w:hint="eastAsia" w:ascii="楷体" w:hAnsi="楷体" w:eastAsia="楷体" w:cs="楷体"/>
          <w:sz w:val="32"/>
          <w:szCs w:val="32"/>
          <w:lang w:eastAsia="zh-CN"/>
        </w:rPr>
        <w:t>单位情况</w:t>
      </w:r>
    </w:p>
    <w:p w14:paraId="620DCB41">
      <w:pPr>
        <w:shd w:val="clear" w:color="auto" w:fill="FFFFFF"/>
        <w:spacing w:line="57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1.职能职责</w:t>
      </w:r>
    </w:p>
    <w:p w14:paraId="5D1C95DD">
      <w:pPr>
        <w:shd w:val="clear" w:color="auto" w:fill="FFFFFF"/>
        <w:spacing w:line="570" w:lineRule="exact"/>
        <w:ind w:firstLine="640" w:firstLineChars="200"/>
        <w:rPr>
          <w:rFonts w:hint="eastAsia" w:ascii="仿宋_GB2312" w:eastAsia="仿宋_GB2312"/>
          <w:sz w:val="32"/>
          <w:szCs w:val="32"/>
          <w:lang w:val="en-US" w:eastAsia="zh-CN"/>
        </w:rPr>
      </w:pPr>
      <w:r>
        <w:rPr>
          <w:rFonts w:hint="eastAsia" w:ascii="仿宋_GB2312" w:hAnsi="仿宋" w:eastAsia="仿宋_GB2312" w:cs="Times New Roman"/>
          <w:sz w:val="32"/>
          <w:szCs w:val="32"/>
          <w:highlight w:val="none"/>
        </w:rPr>
        <w:t>承担全面依法治市重大问题的政策研究，协调有关方面提出全面依法治市中长期规划建议，负责有关重大决策部署督察工作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承担统筹规划立法工作的责任。协调有关方面提出立法规划和年度立法工作计划的建议。负责跟踪了解各有关部门对立法工作计划的落实情况，加强组织协调和督促指导，研究提出立法与改革决策相衔接的意见、措施。负责面向社会征集法规规章制定项目建议</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负责起草或者组织起草有关地方性法规、规章草案。承办有关地方性法规和规章草案的审查工作。负责立法协调</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承办市政府规章的解释、立法后评估工作。负责协调各县区各部门实施法律法规和规章中的有关争议和问题。承办市政府规章清理、编纂工作，承办市政府规章报备工作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指导全市规范性文件管理有关工作，承担市政府规范性文件送审稿的合法性审查工作，承办市政府及其部门规范性文件的登记工作。负责市政府规范性文件向省政府报送备案工作。负责县区政府规范性文件备案审查工作。受理有关规范性文件违法的审查申请。组织开展规范性文件清理工作。承担市政府法律顾问工作，负责对市政府重大行政决策进行合法性审查或论证说明</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承担统筹推进法治政府建设的责任。指导、监督市政府各部门、地方各级政府依法行政工作。负责综合协调行政执法，承担推进行政执法体制改革有关工作，推进严格规范公正文明执法。负责承办或协调相关单位承办市政府作为被申请人的行政复议事项。指导、监督全市行政复议和行政应诉工作，负责行政复议和行政应诉案件办理工作。承担市政府行政复议办公室的日常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承担统筹规划全市法治社会建设的责任。负责拟定法治宣传教育规划，组织实施普法宣传工作，组织对外法治宣传。推动人民参与和促进法治建设。指导依法治理和法治创建工作。指导调解工作和人民陪审员、人民监督员选任管理工作，推进司法所建设</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指导、管理社区矫正工作。指导刑满释放人员帮教安置工作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负责司法行政戒毒场所管理工作。指导、监督本系统强制隔离戒毒执行和戒毒康复工作。对社区戒毒和社区康复工作提供指导、支持和协助。管理市强制隔离戒毒所</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负责拟定公共法律服务体系建设规划并指导实施，统筹和布局城乡、区域法律服务资源。指导、监督律师、法律援助、司法鉴定、公证和基层法律服务管理工作。联系指导仲裁工作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负责全市国家统一法律职业资格考试的组织实施工作。负责全市国家统一法律职业资格证书申请的初审呈报和证书发放及管理有关工作。负责规划和指导法律职业人员入职前培训工作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负责全市法治对外合作工作。组织开展法治对外合作交流</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负责本系统枪支、弹药、服装和警车管理工作，指导、监督本系统财务、装备、设施、场所等保障工作</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规划、协调、指导法治人才队伍建设相关工作。指导、监督本系统队伍建设。负责本系统警务管理和警务督察工作。协助各县区管理司法局领导干部</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完成市委、市政府交办的其他任务。</w:t>
      </w:r>
    </w:p>
    <w:p w14:paraId="10703DEA">
      <w:pPr>
        <w:shd w:val="clear" w:color="auto" w:fill="FFFFFF"/>
        <w:spacing w:line="57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2.机构设置</w:t>
      </w:r>
    </w:p>
    <w:p w14:paraId="0A4D62ED">
      <w:pPr>
        <w:shd w:val="clear" w:color="auto" w:fill="FFFFFF"/>
        <w:spacing w:line="570" w:lineRule="exact"/>
        <w:ind w:firstLine="640" w:firstLineChars="200"/>
        <w:rPr>
          <w:rFonts w:hint="default" w:ascii="仿宋_GB2312" w:eastAsia="仿宋_GB2312"/>
          <w:sz w:val="32"/>
          <w:szCs w:val="32"/>
          <w:lang w:val="en-US" w:eastAsia="zh-CN"/>
        </w:rPr>
      </w:pPr>
      <w:r>
        <w:rPr>
          <w:rFonts w:hint="eastAsia" w:ascii="仿宋_GB2312" w:hAnsi="仿宋" w:eastAsia="仿宋_GB2312" w:cs="Times New Roman"/>
          <w:sz w:val="32"/>
          <w:szCs w:val="32"/>
          <w:highlight w:val="none"/>
        </w:rPr>
        <w:t>永州市司法局内设机构包括：市委依法治市办秘书科、办公室、法治调研与督察科、立法科、信息化建设与戒毒管理科、社区矫正管理科、行政复议与应诉一科、行政复议与应诉二科、行政执法协调监督科、规范性文件管理科、法律事务科、普法与依法治理科、人民参与和促进法治科、公共法律服务管理科、律师工作科、法律职业资格管理与对外合作交流科、装备财务保障科、政治部、警务管理科、教育培训科、机关党委、离退休人员服务科等二十二个职能科室及永州市法律援助中心一个内设二级机构</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核定编制为</w:t>
      </w:r>
      <w:r>
        <w:rPr>
          <w:rFonts w:hint="eastAsia" w:ascii="仿宋_GB2312" w:hAnsi="仿宋" w:eastAsia="仿宋_GB2312" w:cs="Times New Roman"/>
          <w:sz w:val="32"/>
          <w:szCs w:val="32"/>
          <w:highlight w:val="none"/>
          <w:lang w:val="en-US" w:eastAsia="zh-CN"/>
        </w:rPr>
        <w:t>74</w:t>
      </w:r>
      <w:r>
        <w:rPr>
          <w:rFonts w:hint="eastAsia" w:ascii="仿宋_GB2312" w:hAnsi="仿宋" w:eastAsia="仿宋_GB2312" w:cs="Times New Roman"/>
          <w:sz w:val="32"/>
          <w:szCs w:val="32"/>
          <w:highlight w:val="none"/>
        </w:rPr>
        <w:t>名，现有在编在岗</w:t>
      </w:r>
      <w:r>
        <w:rPr>
          <w:rFonts w:hint="eastAsia" w:ascii="仿宋_GB2312" w:hAnsi="仿宋" w:eastAsia="仿宋_GB2312" w:cs="Times New Roman"/>
          <w:sz w:val="32"/>
          <w:szCs w:val="32"/>
          <w:highlight w:val="none"/>
          <w:lang w:val="en-US" w:eastAsia="zh-CN"/>
        </w:rPr>
        <w:t>71</w:t>
      </w:r>
      <w:r>
        <w:rPr>
          <w:rFonts w:hint="eastAsia" w:ascii="仿宋_GB2312" w:hAnsi="仿宋" w:eastAsia="仿宋_GB2312" w:cs="Times New Roman"/>
          <w:sz w:val="32"/>
          <w:szCs w:val="32"/>
          <w:highlight w:val="none"/>
        </w:rPr>
        <w:t>人，其中处级干部1</w:t>
      </w:r>
      <w:r>
        <w:rPr>
          <w:rFonts w:hint="eastAsia" w:ascii="仿宋_GB2312" w:hAnsi="仿宋" w:eastAsia="仿宋_GB2312" w:cs="Times New Roman"/>
          <w:sz w:val="32"/>
          <w:szCs w:val="32"/>
          <w:highlight w:val="none"/>
          <w:lang w:val="en-US" w:eastAsia="zh-CN"/>
        </w:rPr>
        <w:t>7</w:t>
      </w:r>
      <w:r>
        <w:rPr>
          <w:rFonts w:hint="eastAsia" w:ascii="仿宋_GB2312" w:hAnsi="仿宋" w:eastAsia="仿宋_GB2312" w:cs="Times New Roman"/>
          <w:sz w:val="32"/>
          <w:szCs w:val="32"/>
          <w:highlight w:val="none"/>
        </w:rPr>
        <w:t>人，科级及以下人员</w:t>
      </w:r>
      <w:r>
        <w:rPr>
          <w:rFonts w:hint="eastAsia" w:ascii="仿宋_GB2312" w:hAnsi="仿宋" w:eastAsia="仿宋_GB2312" w:cs="Times New Roman"/>
          <w:sz w:val="32"/>
          <w:szCs w:val="32"/>
          <w:highlight w:val="none"/>
          <w:lang w:val="en-US" w:eastAsia="zh-CN"/>
        </w:rPr>
        <w:t>54</w:t>
      </w:r>
      <w:r>
        <w:rPr>
          <w:rFonts w:hint="eastAsia" w:ascii="仿宋_GB2312" w:hAnsi="仿宋" w:eastAsia="仿宋_GB2312" w:cs="Times New Roman"/>
          <w:sz w:val="32"/>
          <w:szCs w:val="32"/>
          <w:highlight w:val="none"/>
        </w:rPr>
        <w:t>人，离退休人员5</w:t>
      </w:r>
      <w:r>
        <w:rPr>
          <w:rFonts w:hint="eastAsia" w:ascii="仿宋_GB2312" w:hAnsi="仿宋" w:eastAsia="仿宋_GB2312" w:cs="Times New Roman"/>
          <w:sz w:val="32"/>
          <w:szCs w:val="32"/>
          <w:highlight w:val="none"/>
          <w:lang w:val="en-US" w:eastAsia="zh-CN"/>
        </w:rPr>
        <w:t>8</w:t>
      </w:r>
      <w:r>
        <w:rPr>
          <w:rFonts w:hint="eastAsia" w:ascii="仿宋_GB2312" w:hAnsi="仿宋" w:eastAsia="仿宋_GB2312" w:cs="Times New Roman"/>
          <w:sz w:val="32"/>
          <w:szCs w:val="32"/>
          <w:highlight w:val="none"/>
        </w:rPr>
        <w:t>人。车辆编制数6台，实有车辆</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rPr>
        <w:t>台。</w:t>
      </w:r>
    </w:p>
    <w:p w14:paraId="5E5915B1">
      <w:pPr>
        <w:shd w:val="clear" w:color="auto" w:fill="FFFFFF"/>
        <w:spacing w:line="57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rPr>
        <w:t>（二）</w:t>
      </w:r>
      <w:r>
        <w:rPr>
          <w:rFonts w:hint="eastAsia" w:ascii="楷体" w:hAnsi="楷体" w:eastAsia="楷体" w:cs="楷体"/>
          <w:sz w:val="32"/>
          <w:szCs w:val="32"/>
          <w:lang w:eastAsia="zh-CN"/>
        </w:rPr>
        <w:t>永州市司法局</w:t>
      </w:r>
      <w:r>
        <w:rPr>
          <w:rFonts w:hint="eastAsia" w:ascii="楷体" w:hAnsi="楷体" w:eastAsia="楷体" w:cs="楷体"/>
          <w:sz w:val="32"/>
          <w:szCs w:val="32"/>
        </w:rPr>
        <w:t>整体支出</w:t>
      </w:r>
      <w:r>
        <w:rPr>
          <w:rFonts w:hint="eastAsia" w:ascii="楷体" w:hAnsi="楷体" w:eastAsia="楷体" w:cs="楷体"/>
          <w:sz w:val="32"/>
          <w:szCs w:val="32"/>
          <w:lang w:eastAsia="zh-CN"/>
        </w:rPr>
        <w:t>情况</w:t>
      </w:r>
    </w:p>
    <w:p w14:paraId="62EDE3AA">
      <w:pPr>
        <w:spacing w:line="57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2025年年初预算数1329.16万元，其中，一般公共预算拨款1329.16万元，政府性基金预算拨款</w:t>
      </w:r>
      <w:r>
        <w:rPr>
          <w:rFonts w:hint="eastAsia" w:ascii="仿宋_GB2312" w:eastAsia="仿宋_GB2312"/>
          <w:sz w:val="32"/>
          <w:szCs w:val="32"/>
          <w:lang w:val="en-US" w:eastAsia="zh-CN"/>
        </w:rPr>
        <w:t>0</w:t>
      </w:r>
      <w:r>
        <w:rPr>
          <w:rFonts w:hint="eastAsia" w:ascii="仿宋_GB2312" w:eastAsia="仿宋_GB2312"/>
          <w:sz w:val="32"/>
          <w:szCs w:val="32"/>
          <w:lang w:eastAsia="zh-CN"/>
        </w:rPr>
        <w:t>万元，国有资本经营预算拨款0万元，财政专户管理资金收入0万元。收入较去年增加5.65万元，增加主要原因是预算编制方法改革，我局根据实际需求重新测算预算，按需适当增加，且年底有三人调入我局，人员经费增加。</w:t>
      </w:r>
    </w:p>
    <w:p w14:paraId="0BFFF1B1">
      <w:pPr>
        <w:spacing w:line="570" w:lineRule="exact"/>
        <w:ind w:firstLine="640" w:firstLineChars="200"/>
        <w:rPr>
          <w:rFonts w:hint="eastAsia" w:ascii="仿宋_GB2312" w:eastAsia="仿宋_GB2312"/>
          <w:sz w:val="32"/>
          <w:szCs w:val="32"/>
          <w:lang w:eastAsia="zh-CN"/>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w:t>
      </w:r>
      <w:r>
        <w:rPr>
          <w:rFonts w:hint="eastAsia" w:ascii="仿宋_GB2312" w:hAnsi="仿宋" w:eastAsia="仿宋_GB2312"/>
          <w:sz w:val="32"/>
          <w:szCs w:val="32"/>
          <w:highlight w:val="none"/>
          <w:lang w:eastAsia="zh-CN"/>
        </w:rPr>
        <w:t>财政拨款</w:t>
      </w:r>
      <w:r>
        <w:rPr>
          <w:rFonts w:hint="eastAsia" w:ascii="仿宋_GB2312" w:hAnsi="仿宋" w:eastAsia="仿宋_GB2312"/>
          <w:sz w:val="32"/>
          <w:szCs w:val="32"/>
          <w:highlight w:val="none"/>
        </w:rPr>
        <w:t>支出</w:t>
      </w:r>
      <w:r>
        <w:rPr>
          <w:rFonts w:hint="eastAsia" w:ascii="仿宋_GB2312" w:hAnsi="仿宋" w:eastAsia="仿宋_GB2312"/>
          <w:sz w:val="32"/>
          <w:szCs w:val="32"/>
          <w:highlight w:val="none"/>
          <w:lang w:eastAsia="zh-CN"/>
        </w:rPr>
        <w:t>总额</w:t>
      </w:r>
      <w:r>
        <w:rPr>
          <w:rFonts w:hint="eastAsia" w:ascii="仿宋_GB2312" w:hAnsi="仿宋" w:eastAsia="仿宋_GB2312"/>
          <w:sz w:val="32"/>
          <w:szCs w:val="32"/>
          <w:highlight w:val="none"/>
          <w:lang w:val="en-US" w:eastAsia="zh-CN"/>
        </w:rPr>
        <w:t>1830.9</w:t>
      </w:r>
      <w:r>
        <w:rPr>
          <w:rFonts w:hint="eastAsia" w:ascii="仿宋_GB2312" w:hAnsi="仿宋" w:eastAsia="仿宋_GB2312"/>
          <w:sz w:val="32"/>
          <w:szCs w:val="32"/>
          <w:highlight w:val="none"/>
        </w:rPr>
        <w:t>万元，比去年</w:t>
      </w:r>
      <w:r>
        <w:rPr>
          <w:rFonts w:hint="eastAsia" w:ascii="仿宋_GB2312" w:hAnsi="仿宋" w:eastAsia="仿宋_GB2312"/>
          <w:sz w:val="32"/>
          <w:szCs w:val="32"/>
          <w:highlight w:val="none"/>
          <w:lang w:eastAsia="zh-CN"/>
        </w:rPr>
        <w:t>增加</w:t>
      </w:r>
      <w:r>
        <w:rPr>
          <w:rFonts w:hint="eastAsia" w:ascii="仿宋_GB2312" w:hAnsi="仿宋" w:eastAsia="仿宋_GB2312"/>
          <w:sz w:val="32"/>
          <w:szCs w:val="32"/>
          <w:highlight w:val="none"/>
          <w:lang w:val="en-US" w:eastAsia="zh-CN"/>
        </w:rPr>
        <w:t>225.59</w:t>
      </w:r>
      <w:r>
        <w:rPr>
          <w:rFonts w:hint="eastAsia" w:ascii="仿宋_GB2312" w:hAnsi="仿宋" w:eastAsia="仿宋_GB2312"/>
          <w:sz w:val="32"/>
          <w:szCs w:val="32"/>
          <w:highlight w:val="none"/>
        </w:rPr>
        <w:t>万元，同比</w:t>
      </w:r>
      <w:r>
        <w:rPr>
          <w:rFonts w:hint="eastAsia" w:ascii="仿宋_GB2312" w:hAnsi="仿宋" w:eastAsia="仿宋_GB2312"/>
          <w:sz w:val="32"/>
          <w:szCs w:val="32"/>
          <w:highlight w:val="none"/>
          <w:lang w:eastAsia="zh-CN"/>
        </w:rPr>
        <w:t>上升</w:t>
      </w:r>
      <w:r>
        <w:rPr>
          <w:rFonts w:hint="eastAsia" w:ascii="仿宋_GB2312" w:hAnsi="仿宋" w:eastAsia="仿宋_GB2312"/>
          <w:sz w:val="32"/>
          <w:szCs w:val="32"/>
          <w:highlight w:val="none"/>
          <w:lang w:val="en-US" w:eastAsia="zh-CN"/>
        </w:rPr>
        <w:t>14.05</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主要是人员经费和公用经费支出增加。</w:t>
      </w:r>
    </w:p>
    <w:p w14:paraId="619D8F60">
      <w:pPr>
        <w:pStyle w:val="14"/>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535A9BFD">
      <w:pPr>
        <w:shd w:val="clear" w:color="auto" w:fill="FFFFFF"/>
        <w:spacing w:line="57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（一）基本支出情况</w:t>
      </w:r>
    </w:p>
    <w:p w14:paraId="21A7B873">
      <w:pPr>
        <w:pStyle w:val="1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ascii="Times New Roman" w:hAnsi="Times New Roman" w:eastAsia="仿宋_GB2312"/>
          <w:sz w:val="32"/>
          <w:szCs w:val="32"/>
        </w:rPr>
      </w:pPr>
      <w:r>
        <w:rPr>
          <w:rFonts w:hint="eastAsia" w:ascii="仿宋_GB2312" w:hAnsi="仿宋" w:eastAsia="仿宋_GB2312"/>
          <w:sz w:val="32"/>
          <w:szCs w:val="32"/>
          <w:highlight w:val="none"/>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w:t>
      </w:r>
      <w:r>
        <w:rPr>
          <w:rFonts w:hint="eastAsia" w:ascii="仿宋_GB2312" w:hAnsi="仿宋" w:eastAsia="仿宋_GB2312"/>
          <w:sz w:val="32"/>
          <w:szCs w:val="32"/>
          <w:highlight w:val="none"/>
          <w:lang w:eastAsia="zh-CN"/>
        </w:rPr>
        <w:t>基本</w:t>
      </w:r>
      <w:r>
        <w:rPr>
          <w:rFonts w:hint="eastAsia" w:ascii="仿宋_GB2312" w:hAnsi="仿宋" w:eastAsia="仿宋_GB2312"/>
          <w:sz w:val="32"/>
          <w:szCs w:val="32"/>
          <w:highlight w:val="none"/>
        </w:rPr>
        <w:t>支出</w:t>
      </w:r>
      <w:r>
        <w:rPr>
          <w:rFonts w:hint="eastAsia" w:ascii="仿宋_GB2312" w:hAnsi="仿宋" w:eastAsia="仿宋_GB2312"/>
          <w:sz w:val="32"/>
          <w:szCs w:val="32"/>
          <w:highlight w:val="none"/>
          <w:lang w:val="en-US" w:eastAsia="zh-CN"/>
        </w:rPr>
        <w:t>1557.9</w:t>
      </w:r>
      <w:r>
        <w:rPr>
          <w:rFonts w:hint="eastAsia" w:ascii="仿宋_GB2312" w:hAnsi="仿宋" w:eastAsia="仿宋_GB2312"/>
          <w:sz w:val="32"/>
          <w:szCs w:val="32"/>
          <w:highlight w:val="none"/>
        </w:rPr>
        <w:t>万元，比去年</w:t>
      </w:r>
      <w:r>
        <w:rPr>
          <w:rFonts w:hint="eastAsia" w:ascii="仿宋_GB2312" w:hAnsi="仿宋" w:eastAsia="仿宋_GB2312"/>
          <w:sz w:val="32"/>
          <w:szCs w:val="32"/>
          <w:highlight w:val="none"/>
          <w:lang w:eastAsia="zh-CN"/>
        </w:rPr>
        <w:t>增加</w:t>
      </w:r>
      <w:r>
        <w:rPr>
          <w:rFonts w:hint="eastAsia" w:ascii="仿宋_GB2312" w:hAnsi="仿宋" w:eastAsia="仿宋_GB2312"/>
          <w:sz w:val="32"/>
          <w:szCs w:val="32"/>
          <w:highlight w:val="none"/>
          <w:lang w:val="en-US" w:eastAsia="zh-CN"/>
        </w:rPr>
        <w:t>280.65</w:t>
      </w:r>
      <w:r>
        <w:rPr>
          <w:rFonts w:hint="eastAsia" w:ascii="仿宋_GB2312" w:hAnsi="仿宋" w:eastAsia="仿宋_GB2312"/>
          <w:sz w:val="32"/>
          <w:szCs w:val="32"/>
          <w:highlight w:val="none"/>
        </w:rPr>
        <w:t>万元，同比</w:t>
      </w:r>
      <w:r>
        <w:rPr>
          <w:rFonts w:hint="eastAsia" w:ascii="仿宋_GB2312" w:hAnsi="仿宋" w:eastAsia="仿宋_GB2312"/>
          <w:sz w:val="32"/>
          <w:szCs w:val="32"/>
          <w:highlight w:val="none"/>
          <w:lang w:eastAsia="zh-CN"/>
        </w:rPr>
        <w:t>上升</w:t>
      </w:r>
      <w:r>
        <w:rPr>
          <w:rFonts w:hint="eastAsia" w:ascii="仿宋_GB2312" w:hAnsi="仿宋" w:eastAsia="仿宋_GB2312"/>
          <w:sz w:val="32"/>
          <w:szCs w:val="32"/>
          <w:highlight w:val="none"/>
          <w:lang w:val="en-US" w:eastAsia="zh-CN"/>
        </w:rPr>
        <w:t>21.97</w:t>
      </w:r>
      <w:r>
        <w:rPr>
          <w:rFonts w:hint="eastAsia" w:ascii="仿宋_GB2312" w:hAnsi="仿宋" w:eastAsia="仿宋_GB2312"/>
          <w:sz w:val="32"/>
          <w:szCs w:val="32"/>
          <w:highlight w:val="none"/>
        </w:rPr>
        <w:t>%。人员经费较去年</w:t>
      </w:r>
      <w:r>
        <w:rPr>
          <w:rFonts w:hint="eastAsia" w:ascii="仿宋_GB2312" w:hAnsi="仿宋" w:eastAsia="仿宋_GB2312"/>
          <w:sz w:val="32"/>
          <w:szCs w:val="32"/>
          <w:highlight w:val="none"/>
          <w:lang w:eastAsia="zh-CN"/>
        </w:rPr>
        <w:t>增加</w:t>
      </w:r>
      <w:r>
        <w:rPr>
          <w:rFonts w:hint="eastAsia" w:ascii="仿宋_GB2312" w:hAnsi="仿宋" w:eastAsia="仿宋_GB2312"/>
          <w:sz w:val="32"/>
          <w:szCs w:val="32"/>
          <w:highlight w:val="none"/>
          <w:lang w:val="en-US" w:eastAsia="zh-CN"/>
        </w:rPr>
        <w:t>254.68</w:t>
      </w:r>
      <w:r>
        <w:rPr>
          <w:rFonts w:hint="eastAsia" w:ascii="仿宋_GB2312" w:hAnsi="仿宋" w:eastAsia="仿宋_GB2312"/>
          <w:sz w:val="32"/>
          <w:szCs w:val="32"/>
          <w:highlight w:val="none"/>
        </w:rPr>
        <w:t>万元，主要因202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rPr>
        <w:t>年人员增加、工资调整及社保公积金基数提高。公用经费较去年增加</w:t>
      </w:r>
      <w:r>
        <w:rPr>
          <w:rFonts w:hint="eastAsia" w:ascii="仿宋_GB2312" w:hAnsi="仿宋" w:eastAsia="仿宋_GB2312"/>
          <w:sz w:val="32"/>
          <w:szCs w:val="32"/>
          <w:highlight w:val="none"/>
          <w:lang w:val="en-US" w:eastAsia="zh-CN"/>
        </w:rPr>
        <w:t>25.97</w:t>
      </w:r>
      <w:r>
        <w:rPr>
          <w:rFonts w:hint="eastAsia" w:ascii="仿宋_GB2312" w:hAnsi="仿宋" w:eastAsia="仿宋_GB2312"/>
          <w:sz w:val="32"/>
          <w:szCs w:val="32"/>
          <w:highlight w:val="none"/>
        </w:rPr>
        <w:t>万元，主要是我局为保障单位正常运行，办公用品采购、物业费等支出增加。</w:t>
      </w:r>
    </w:p>
    <w:p w14:paraId="6DA81930">
      <w:pPr>
        <w:shd w:val="clear" w:color="auto" w:fill="FFFFFF"/>
        <w:spacing w:line="57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（二）项目支出情况</w:t>
      </w:r>
    </w:p>
    <w:p w14:paraId="1854D7DE">
      <w:pPr>
        <w:pStyle w:val="14"/>
        <w:spacing w:line="570" w:lineRule="exact"/>
        <w:ind w:firstLine="640"/>
        <w:rPr>
          <w:rFonts w:ascii="Times New Roman" w:hAnsi="Times New Roman" w:eastAsia="仿宋_GB2312"/>
          <w:sz w:val="32"/>
          <w:szCs w:val="32"/>
        </w:rPr>
      </w:pPr>
      <w:r>
        <w:rPr>
          <w:rFonts w:hint="eastAsia" w:ascii="仿宋_GB2312" w:hAnsi="仿宋" w:eastAsia="仿宋_GB2312"/>
          <w:sz w:val="32"/>
          <w:szCs w:val="32"/>
          <w:highlight w:val="none"/>
          <w:lang w:val="en-US" w:eastAsia="zh-CN"/>
        </w:rPr>
        <w:t>2025年</w:t>
      </w:r>
      <w:r>
        <w:rPr>
          <w:rFonts w:hint="eastAsia" w:ascii="仿宋_GB2312" w:hAnsi="仿宋" w:eastAsia="仿宋_GB2312"/>
          <w:sz w:val="32"/>
          <w:szCs w:val="32"/>
          <w:highlight w:val="none"/>
        </w:rPr>
        <w:t>项目支出</w:t>
      </w:r>
      <w:r>
        <w:rPr>
          <w:rFonts w:hint="eastAsia" w:ascii="仿宋_GB2312" w:hAnsi="仿宋" w:eastAsia="仿宋_GB2312"/>
          <w:sz w:val="32"/>
          <w:szCs w:val="32"/>
          <w:highlight w:val="none"/>
          <w:lang w:val="en-US" w:eastAsia="zh-CN"/>
        </w:rPr>
        <w:t>273万元，</w:t>
      </w:r>
      <w:r>
        <w:rPr>
          <w:rFonts w:hint="eastAsia" w:ascii="仿宋_GB2312" w:hAnsi="仿宋" w:eastAsia="仿宋_GB2312"/>
          <w:sz w:val="32"/>
          <w:szCs w:val="32"/>
          <w:highlight w:val="none"/>
        </w:rPr>
        <w:t>较去年减少</w:t>
      </w:r>
      <w:r>
        <w:rPr>
          <w:rFonts w:hint="eastAsia" w:ascii="仿宋_GB2312" w:hAnsi="仿宋" w:eastAsia="仿宋_GB2312"/>
          <w:sz w:val="32"/>
          <w:szCs w:val="32"/>
          <w:highlight w:val="none"/>
          <w:lang w:val="en-US" w:eastAsia="zh-CN"/>
        </w:rPr>
        <w:t>55.06</w:t>
      </w:r>
      <w:r>
        <w:rPr>
          <w:rFonts w:hint="eastAsia" w:ascii="仿宋_GB2312" w:hAnsi="仿宋" w:eastAsia="仿宋_GB2312"/>
          <w:sz w:val="32"/>
          <w:szCs w:val="32"/>
          <w:highlight w:val="none"/>
        </w:rPr>
        <w:t>万元，同比</w:t>
      </w:r>
      <w:r>
        <w:rPr>
          <w:rFonts w:hint="eastAsia" w:ascii="仿宋_GB2312" w:hAnsi="仿宋" w:eastAsia="仿宋_GB2312"/>
          <w:sz w:val="32"/>
          <w:szCs w:val="32"/>
          <w:highlight w:val="none"/>
          <w:lang w:eastAsia="zh-CN"/>
        </w:rPr>
        <w:t>下降</w:t>
      </w:r>
      <w:r>
        <w:rPr>
          <w:rFonts w:hint="eastAsia" w:ascii="仿宋_GB2312" w:hAnsi="仿宋" w:eastAsia="仿宋_GB2312"/>
          <w:sz w:val="32"/>
          <w:szCs w:val="32"/>
          <w:highlight w:val="none"/>
          <w:lang w:val="en-US" w:eastAsia="zh-CN"/>
        </w:rPr>
        <w:t>16.8</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主要原因是我局优化司法业务业务支出项目，降本增效，旨在提高专项资金使用绩效。</w:t>
      </w:r>
    </w:p>
    <w:p w14:paraId="57C7C5ED">
      <w:pPr>
        <w:pStyle w:val="14"/>
        <w:spacing w:line="570" w:lineRule="exact"/>
        <w:ind w:firstLine="640"/>
        <w:rPr>
          <w:rFonts w:hint="eastAsia" w:ascii="Times New Roman" w:hAnsi="Times New Roman" w:eastAsia="仿宋_GB2312"/>
          <w:color w:val="000000"/>
          <w:sz w:val="32"/>
          <w:szCs w:val="32"/>
          <w:lang w:eastAsia="zh-CN"/>
        </w:rPr>
      </w:pPr>
      <w:r>
        <w:rPr>
          <w:rFonts w:ascii="Times New Roman" w:hAnsi="Times New Roman" w:eastAsia="黑体"/>
          <w:sz w:val="32"/>
          <w:szCs w:val="32"/>
        </w:rPr>
        <w:t>三、政府性基金预算支出情况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我单位无政府性基金预算支出情况</w:t>
      </w:r>
      <w:r>
        <w:rPr>
          <w:rFonts w:hint="eastAsia" w:ascii="Times New Roman" w:hAnsi="Times New Roman" w:eastAsia="仿宋_GB2312"/>
          <w:color w:val="000000"/>
          <w:sz w:val="32"/>
          <w:szCs w:val="32"/>
          <w:lang w:eastAsia="zh-CN"/>
        </w:rPr>
        <w:t>。</w:t>
      </w:r>
    </w:p>
    <w:p w14:paraId="634A7275">
      <w:pPr>
        <w:pStyle w:val="14"/>
        <w:spacing w:line="570" w:lineRule="exact"/>
        <w:ind w:firstLine="640"/>
        <w:rPr>
          <w:rFonts w:hint="eastAsia" w:ascii="Times New Roman" w:hAnsi="Times New Roman" w:eastAsia="仿宋_GB2312"/>
          <w:color w:val="000000"/>
          <w:sz w:val="32"/>
          <w:szCs w:val="32"/>
          <w:lang w:eastAsia="zh-CN"/>
        </w:rPr>
      </w:pPr>
      <w:r>
        <w:rPr>
          <w:rFonts w:ascii="Times New Roman" w:hAnsi="Times New Roman" w:eastAsia="黑体"/>
          <w:sz w:val="32"/>
          <w:szCs w:val="32"/>
        </w:rPr>
        <w:t>四、国有资本经营预算支出情况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14:paraId="36B6D7A2">
      <w:pPr>
        <w:pStyle w:val="14"/>
        <w:spacing w:line="570" w:lineRule="exact"/>
        <w:ind w:firstLine="640"/>
        <w:rPr>
          <w:rFonts w:hint="eastAsia" w:ascii="Times New Roman" w:hAnsi="Times New Roman" w:eastAsia="仿宋_GB2312"/>
          <w:sz w:val="32"/>
          <w:szCs w:val="32"/>
          <w:lang w:eastAsia="zh-CN"/>
        </w:rPr>
      </w:pPr>
      <w:r>
        <w:rPr>
          <w:rFonts w:ascii="Times New Roman" w:hAnsi="Times New Roman" w:eastAsia="黑体"/>
          <w:sz w:val="32"/>
          <w:szCs w:val="32"/>
        </w:rPr>
        <w:t>五、社会保险基金预算支出情况</w:t>
      </w:r>
      <w:r>
        <w:rPr>
          <w:rFonts w:hint="eastAsia" w:ascii="Times New Roman" w:hAnsi="Times New Roman" w:eastAsia="黑体"/>
          <w:sz w:val="32"/>
          <w:szCs w:val="32"/>
        </w:rPr>
        <w:t>。</w:t>
      </w: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14:paraId="0278A3DA">
      <w:pPr>
        <w:spacing w:line="570" w:lineRule="exact"/>
        <w:ind w:firstLine="640" w:firstLineChars="200"/>
        <w:rPr>
          <w:rFonts w:eastAsia="黑体"/>
          <w:sz w:val="32"/>
          <w:szCs w:val="32"/>
        </w:rPr>
      </w:pPr>
      <w:r>
        <w:rPr>
          <w:rFonts w:eastAsia="黑体"/>
          <w:sz w:val="32"/>
          <w:szCs w:val="32"/>
        </w:rPr>
        <w:t>六、部门整体支出绩效情况</w:t>
      </w:r>
    </w:p>
    <w:p w14:paraId="0EB8AF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在市委、市政府的坚强领导和省司法厅的有力指导下，永州市司法局坚持以习近平新时代中国特色社会主义思想为指导，深入学习党的二十届三中、四中全会精神，紧紧围绕“稳住基本盘、突破薄弱点、争当优等生”总体目标，以“五个机关”建设为抓手，履职尽责，真抓实干，各项工作取得新成效。国家统一法律职业资格考试永州考区时隔三年恢复设置，并圆满完成组考任务；“市长带头学法释法”经验获评全国普法治理创新案例；</w:t>
      </w:r>
      <w:r>
        <w:rPr>
          <w:rFonts w:hint="eastAsia" w:ascii="仿宋_GB2312" w:hAnsi="仿宋_GB2312" w:eastAsia="仿宋_GB2312" w:cs="仿宋_GB2312"/>
          <w:sz w:val="32"/>
          <w:szCs w:val="32"/>
        </w:rPr>
        <w:t>行政复议</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应诉科获评“全国行政复议应诉工作表现突出集体”</w:t>
      </w:r>
      <w:r>
        <w:rPr>
          <w:rFonts w:hint="eastAsia" w:ascii="仿宋_GB2312" w:hAnsi="仿宋_GB2312" w:eastAsia="仿宋_GB2312" w:cs="仿宋_GB2312"/>
          <w:sz w:val="32"/>
          <w:szCs w:val="32"/>
          <w:lang w:eastAsia="zh-CN"/>
        </w:rPr>
        <w:t>；牵头的“</w:t>
      </w:r>
      <w:r>
        <w:rPr>
          <w:rFonts w:hint="eastAsia" w:ascii="仿宋_GB2312" w:eastAsia="仿宋_GB2312" w:cs="仿宋_GB2312"/>
          <w:color w:val="000000" w:themeColor="text1"/>
          <w:sz w:val="32"/>
          <w:szCs w:val="32"/>
          <w:lang w:eastAsia="zh-CN"/>
          <w14:textFill>
            <w14:solidFill>
              <w14:schemeClr w14:val="tx1"/>
            </w14:solidFill>
          </w14:textFill>
        </w:rPr>
        <w:t>规</w:t>
      </w:r>
      <w:r>
        <w:rPr>
          <w:rFonts w:hint="eastAsia" w:ascii="仿宋_GB2312" w:hAnsi="仿宋_GB2312" w:eastAsia="仿宋_GB2312" w:cs="仿宋_GB2312"/>
          <w:sz w:val="32"/>
          <w:szCs w:val="32"/>
          <w:lang w:val="en-US" w:eastAsia="zh-CN"/>
        </w:rPr>
        <w:t>范涉企行政检查”工作获得省政府大抓落实激励事项表彰；</w:t>
      </w:r>
      <w:r>
        <w:rPr>
          <w:rFonts w:hint="eastAsia" w:ascii="仿宋_GB2312" w:eastAsia="仿宋_GB2312" w:cs="仿宋_GB2312"/>
          <w:color w:val="000000" w:themeColor="text1"/>
          <w:sz w:val="32"/>
          <w:szCs w:val="32"/>
          <w:lang w:eastAsia="zh-CN"/>
          <w14:textFill>
            <w14:solidFill>
              <w14:schemeClr w14:val="tx1"/>
            </w14:solidFill>
          </w14:textFill>
        </w:rPr>
        <w:t>“行刑衔接”改革试点、律师管理等工作</w:t>
      </w:r>
      <w:r>
        <w:rPr>
          <w:rFonts w:hint="eastAsia" w:ascii="仿宋_GB2312" w:hAnsi="仿宋_GB2312" w:eastAsia="仿宋_GB2312" w:cs="仿宋_GB2312"/>
          <w:sz w:val="32"/>
          <w:szCs w:val="32"/>
          <w:lang w:val="en-US" w:eastAsia="zh-CN"/>
        </w:rPr>
        <w:t>在全省做典型推介。</w:t>
      </w:r>
    </w:p>
    <w:p w14:paraId="4ADFD3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1.铸魂强基，书写绝对忠诚的“政治答卷”。</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强化理论武装，把稳思想之舵。</w:t>
      </w:r>
      <w:r>
        <w:rPr>
          <w:rFonts w:hint="eastAsia" w:ascii="仿宋_GB2312" w:hAnsi="仿宋_GB2312" w:eastAsia="仿宋_GB2312" w:cs="仿宋_GB2312"/>
          <w:sz w:val="32"/>
          <w:szCs w:val="32"/>
          <w:lang w:val="en-US" w:eastAsia="zh-CN"/>
        </w:rPr>
        <w:t>始终将政治建设置于首位，</w:t>
      </w:r>
      <w:r>
        <w:rPr>
          <w:rFonts w:hint="eastAsia" w:ascii="仿宋_GB2312" w:hAnsi="仿宋_GB2312" w:eastAsia="仿宋_GB2312" w:cs="仿宋_GB2312"/>
          <w:sz w:val="32"/>
          <w:szCs w:val="32"/>
        </w:rPr>
        <w:t>严格执行“第一议题”制度，将学习贯彻习近平新时代中国特色社会主义思想、党的二十大</w:t>
      </w:r>
      <w:r>
        <w:rPr>
          <w:rFonts w:hint="eastAsia" w:ascii="仿宋_GB2312" w:hAnsi="仿宋_GB2312" w:eastAsia="仿宋_GB2312" w:cs="仿宋_GB2312"/>
          <w:sz w:val="32"/>
          <w:szCs w:val="32"/>
          <w:lang w:eastAsia="zh-CN"/>
        </w:rPr>
        <w:t>和二十届历次</w:t>
      </w:r>
      <w:r>
        <w:rPr>
          <w:rFonts w:hint="eastAsia" w:ascii="仿宋_GB2312" w:hAnsi="仿宋_GB2312" w:eastAsia="仿宋_GB2312" w:cs="仿宋_GB2312"/>
          <w:sz w:val="32"/>
          <w:szCs w:val="32"/>
        </w:rPr>
        <w:t>全会精神作为首要政治任务。全年</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组织理论学习中心组学习</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次，确保党中央决策部署和省委、市委工作要求在全市司法行政系统不折不扣落地生根。通过制度化、常态化的学习，全系统干</w:t>
      </w:r>
      <w:r>
        <w:rPr>
          <w:rFonts w:hint="eastAsia" w:ascii="仿宋_GB2312" w:hAnsi="仿宋_GB2312" w:eastAsia="仿宋_GB2312" w:cs="仿宋_GB2312"/>
          <w:sz w:val="32"/>
          <w:szCs w:val="32"/>
          <w:lang w:eastAsia="zh-CN"/>
        </w:rPr>
        <w:t>部</w:t>
      </w:r>
      <w:r>
        <w:rPr>
          <w:rFonts w:hint="eastAsia" w:ascii="仿宋_GB2312" w:hAnsi="仿宋_GB2312" w:eastAsia="仿宋_GB2312" w:cs="仿宋_GB2312"/>
          <w:sz w:val="32"/>
          <w:szCs w:val="32"/>
        </w:rPr>
        <w:t>的政治判断力、政治领悟力、政治执行力显著提升。</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rPr>
        <w:t>深化从严治党，淬炼清廉</w:t>
      </w:r>
      <w:r>
        <w:rPr>
          <w:rFonts w:hint="eastAsia" w:ascii="仿宋_GB2312" w:hAnsi="仿宋_GB2312" w:eastAsia="仿宋_GB2312" w:cs="仿宋_GB2312"/>
          <w:b/>
          <w:bCs/>
          <w:sz w:val="32"/>
          <w:szCs w:val="32"/>
          <w:lang w:eastAsia="zh-CN"/>
        </w:rPr>
        <w:t>底色</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纵深推进全面从严治党，锲而不舍落实中央八项规定精神。扎实开展“强作风纪律、锻政法铁军”专项整治，构建“学、查、改、建”闭环机制，召开警示教育大会2次，实现年轻干警“一对一”廉政谈话全覆盖，精准查摆并整改问题65个。完善财务、后勤等内部管理制度3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以最高标准、最严要求配合省司法厅完成纪律作风督查巡查，展现了永州司法行政队伍的良好风貌。 </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b/>
          <w:bCs/>
          <w:sz w:val="32"/>
          <w:szCs w:val="32"/>
        </w:rPr>
        <w:t>夯实组织堡垒，凝聚奋进之力。</w:t>
      </w:r>
      <w:r>
        <w:rPr>
          <w:rFonts w:hint="eastAsia" w:ascii="仿宋_GB2312" w:hAnsi="仿宋_GB2312" w:eastAsia="仿宋_GB2312" w:cs="仿宋_GB2312"/>
          <w:sz w:val="32"/>
          <w:szCs w:val="32"/>
        </w:rPr>
        <w:t>着力提升党建工作质量，打造“红色机关”品牌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利用新媒体平台推送红色经典故事10期，局机关离退休党支部获评全省“六好”党支部。培育特色“党建+业务”品牌</w:t>
      </w:r>
      <w:r>
        <w:rPr>
          <w:rFonts w:hint="eastAsia" w:ascii="仿宋_GB2312" w:hAnsi="仿宋_GB2312" w:eastAsia="仿宋_GB2312" w:cs="仿宋_GB2312"/>
          <w:sz w:val="32"/>
          <w:szCs w:val="32"/>
          <w:lang w:eastAsia="zh-CN"/>
        </w:rPr>
        <w:t>，抓实</w:t>
      </w:r>
      <w:r>
        <w:rPr>
          <w:rFonts w:hint="eastAsia" w:ascii="仿宋_GB2312" w:hAnsi="仿宋_GB2312" w:eastAsia="仿宋_GB2312" w:cs="仿宋_GB2312"/>
          <w:sz w:val="32"/>
          <w:szCs w:val="32"/>
        </w:rPr>
        <w:t xml:space="preserve">律师行业党建，党员律师比例提升至41%，律所党组织覆盖率动态保持100%，湖南弘一律师事务所党支部获评“全省新兴领域标杆党组织”，党建引领行业发展的作用日益凸显。 </w:t>
      </w:r>
    </w:p>
    <w:p w14:paraId="145196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2.服务大局，书写担当作为的“发展答卷”。</w:t>
      </w:r>
      <w:r>
        <w:rPr>
          <w:rFonts w:hint="eastAsia" w:ascii="楷体_GB2312" w:hAnsi="楷体_GB2312" w:eastAsia="楷体_GB2312" w:cs="楷体_GB2312"/>
          <w:b/>
          <w:bCs/>
          <w:sz w:val="32"/>
          <w:szCs w:val="32"/>
          <w:lang w:eastAsia="zh-CN"/>
        </w:rPr>
        <w:t>一是</w:t>
      </w:r>
      <w:r>
        <w:rPr>
          <w:rFonts w:hint="eastAsia" w:ascii="楷体_GB2312" w:hAnsi="楷体_GB2312" w:eastAsia="楷体_GB2312" w:cs="楷体_GB2312"/>
          <w:b/>
          <w:bCs/>
          <w:sz w:val="32"/>
          <w:szCs w:val="32"/>
        </w:rPr>
        <w:t>统筹依法治市，凝聚法治合力。</w:t>
      </w:r>
      <w:r>
        <w:rPr>
          <w:rFonts w:hint="eastAsia" w:ascii="仿宋_GB2312" w:hAnsi="仿宋_GB2312" w:eastAsia="仿宋_GB2312" w:cs="仿宋_GB2312"/>
          <w:sz w:val="32"/>
          <w:szCs w:val="32"/>
        </w:rPr>
        <w:t>推动将习近平法治思想纳入各级党委（党组）理论学习中心组和党校培训核心内容。高标准组织5名县市区党委和市直单位主要负责人现场述法，实现市县镇三级党政主要负责人年终述法全覆盖</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lang w:val="en-US" w:eastAsia="zh-CN"/>
        </w:rPr>
        <w:t>2个县区和4家市直单位开展</w:t>
      </w:r>
      <w:r>
        <w:rPr>
          <w:rFonts w:hint="eastAsia" w:ascii="仿宋_GB2312" w:hAnsi="仿宋_GB2312" w:eastAsia="仿宋_GB2312" w:cs="仿宋_GB2312"/>
          <w:sz w:val="32"/>
          <w:szCs w:val="32"/>
          <w:lang w:val="en-US" w:eastAsia="zh-CN" w:bidi="ar-SA"/>
        </w:rPr>
        <w:t>年度法治建设实地督察。</w:t>
      </w:r>
      <w:r>
        <w:rPr>
          <w:rFonts w:hint="eastAsia" w:ascii="楷体_GB2312" w:hAnsi="楷体_GB2312" w:eastAsia="楷体_GB2312" w:cs="楷体_GB2312"/>
          <w:b/>
          <w:bCs/>
          <w:sz w:val="32"/>
          <w:szCs w:val="32"/>
          <w:lang w:eastAsia="zh-CN"/>
        </w:rPr>
        <w:t>二是</w:t>
      </w:r>
      <w:r>
        <w:rPr>
          <w:rFonts w:hint="eastAsia" w:ascii="楷体_GB2312" w:hAnsi="楷体_GB2312" w:eastAsia="楷体_GB2312" w:cs="楷体_GB2312"/>
          <w:b/>
          <w:bCs/>
          <w:sz w:val="32"/>
          <w:szCs w:val="32"/>
        </w:rPr>
        <w:t>筑牢决策根基，</w:t>
      </w:r>
      <w:r>
        <w:rPr>
          <w:rFonts w:hint="eastAsia" w:ascii="楷体_GB2312" w:hAnsi="楷体_GB2312" w:eastAsia="楷体_GB2312" w:cs="楷体_GB2312"/>
          <w:b/>
          <w:bCs/>
          <w:sz w:val="32"/>
          <w:szCs w:val="32"/>
          <w:lang w:eastAsia="zh-CN"/>
        </w:rPr>
        <w:t>服务</w:t>
      </w:r>
      <w:r>
        <w:rPr>
          <w:rFonts w:hint="eastAsia" w:ascii="楷体_GB2312" w:hAnsi="楷体_GB2312" w:eastAsia="楷体_GB2312" w:cs="楷体_GB2312"/>
          <w:b/>
          <w:bCs/>
          <w:sz w:val="32"/>
          <w:szCs w:val="32"/>
        </w:rPr>
        <w:t>中心工作。</w:t>
      </w:r>
      <w:r>
        <w:rPr>
          <w:rFonts w:hint="eastAsia" w:ascii="仿宋_GB2312" w:hAnsi="仿宋_GB2312" w:eastAsia="仿宋_GB2312" w:cs="仿宋_GB2312"/>
          <w:sz w:val="32"/>
          <w:szCs w:val="32"/>
        </w:rPr>
        <w:t>紧扣优化营商环境、重大项目建设等市委市政府中心工作，全程参与重大行政决策、规划制定及改革举措的法律论证与风险评估。为邵</w:t>
      </w:r>
      <w:r>
        <w:rPr>
          <w:rFonts w:hint="eastAsia" w:ascii="仿宋_GB2312" w:hAnsi="仿宋_GB2312" w:eastAsia="仿宋_GB2312" w:cs="仿宋_GB2312"/>
          <w:sz w:val="32"/>
          <w:szCs w:val="32"/>
          <w:lang w:eastAsia="zh-CN"/>
        </w:rPr>
        <w:t>永</w:t>
      </w:r>
      <w:r>
        <w:rPr>
          <w:rFonts w:hint="eastAsia" w:ascii="仿宋_GB2312" w:hAnsi="仿宋_GB2312" w:eastAsia="仿宋_GB2312" w:cs="仿宋_GB2312"/>
          <w:sz w:val="32"/>
          <w:szCs w:val="32"/>
        </w:rPr>
        <w:t>高铁合作、永新高速征拆等10余个重大项目提供精准法律意见，有效防范决策风险。依法妥善应对行政诉讼，坚决维护政府合法权益。</w:t>
      </w:r>
      <w:r>
        <w:rPr>
          <w:rFonts w:hint="eastAsia" w:ascii="楷体_GB2312" w:hAnsi="楷体_GB2312" w:eastAsia="楷体_GB2312" w:cs="楷体_GB2312"/>
          <w:b/>
          <w:bCs/>
          <w:sz w:val="32"/>
          <w:szCs w:val="32"/>
          <w:lang w:eastAsia="zh-CN"/>
        </w:rPr>
        <w:t>三是</w:t>
      </w:r>
      <w:r>
        <w:rPr>
          <w:rFonts w:hint="eastAsia" w:ascii="楷体_GB2312" w:hAnsi="楷体_GB2312" w:eastAsia="楷体_GB2312" w:cs="楷体_GB2312"/>
          <w:b/>
          <w:bCs/>
          <w:sz w:val="32"/>
          <w:szCs w:val="32"/>
        </w:rPr>
        <w:t>强化法治供给，提升治理效能。</w:t>
      </w:r>
      <w:r>
        <w:rPr>
          <w:rFonts w:hint="eastAsia" w:ascii="仿宋_GB2312" w:hAnsi="仿宋_GB2312" w:eastAsia="仿宋_GB2312" w:cs="仿宋_GB2312"/>
          <w:sz w:val="32"/>
          <w:szCs w:val="32"/>
        </w:rPr>
        <w:t>发挥立法引领作用，</w:t>
      </w:r>
      <w:r>
        <w:rPr>
          <w:rFonts w:hint="eastAsia" w:ascii="仿宋_GB2312" w:hAnsi="仿宋_GB2312" w:eastAsia="仿宋_GB2312" w:cs="仿宋_GB2312"/>
          <w:sz w:val="32"/>
          <w:szCs w:val="32"/>
          <w:lang w:eastAsia="zh-CN"/>
        </w:rPr>
        <w:t>立足“小切口”，</w:t>
      </w:r>
      <w:r>
        <w:rPr>
          <w:rFonts w:hint="eastAsia" w:ascii="仿宋_GB2312" w:hAnsi="仿宋_GB2312" w:eastAsia="仿宋_GB2312" w:cs="仿宋_GB2312"/>
          <w:sz w:val="32"/>
          <w:szCs w:val="32"/>
        </w:rPr>
        <w:t>出台《永州市电动自行车消防安全管理规定》，推动《永州市舜帝陵保护规定》提请市人大审议，征集2026年立法建议3条。严把规范性文件和法律事务审查关，依法审改政府合同46件、审查规范性文件78件、备案审查县市区文件74件，清理涉企、涉营商环境文件1191件。创新法律顾问管理模式，建立市本级统筹机制，规范11个县区、186个市直部门法律顾问履职。</w:t>
      </w:r>
      <w:r>
        <w:rPr>
          <w:rFonts w:hint="eastAsia" w:ascii="楷体_GB2312" w:hAnsi="楷体_GB2312" w:eastAsia="楷体_GB2312" w:cs="楷体_GB2312"/>
          <w:b/>
          <w:bCs/>
          <w:sz w:val="32"/>
          <w:szCs w:val="32"/>
          <w:lang w:eastAsia="zh-CN"/>
        </w:rPr>
        <w:t>四是</w:t>
      </w:r>
      <w:r>
        <w:rPr>
          <w:rFonts w:hint="eastAsia" w:ascii="楷体_GB2312" w:hAnsi="楷体_GB2312" w:eastAsia="楷体_GB2312" w:cs="楷体_GB2312"/>
          <w:b/>
          <w:bCs/>
          <w:sz w:val="32"/>
          <w:szCs w:val="32"/>
        </w:rPr>
        <w:t>深化复议调解，促进政企和谐。</w:t>
      </w:r>
      <w:r>
        <w:rPr>
          <w:rFonts w:hint="eastAsia" w:ascii="仿宋_GB2312" w:hAnsi="仿宋_GB2312" w:eastAsia="仿宋_GB2312" w:cs="仿宋_GB2312"/>
          <w:b w:val="0"/>
          <w:bCs w:val="0"/>
          <w:sz w:val="32"/>
          <w:szCs w:val="32"/>
          <w:lang w:eastAsia="zh-CN"/>
        </w:rPr>
        <w:t>爱林市长带头出庭应诉，</w:t>
      </w:r>
      <w:r>
        <w:rPr>
          <w:rFonts w:hint="eastAsia" w:ascii="仿宋_GB2312" w:hAnsi="仿宋_GB2312" w:eastAsia="仿宋_GB2312" w:cs="仿宋_GB2312"/>
          <w:sz w:val="32"/>
          <w:szCs w:val="32"/>
          <w:lang w:eastAsia="zh-CN"/>
        </w:rPr>
        <w:t>推动行政机关负责人出庭应诉率连续三年100%，办结复议案件</w:t>
      </w:r>
      <w:r>
        <w:rPr>
          <w:rFonts w:hint="eastAsia" w:ascii="仿宋_GB2312" w:hAnsi="仿宋_GB2312" w:eastAsia="仿宋_GB2312" w:cs="仿宋_GB2312"/>
          <w:sz w:val="32"/>
          <w:szCs w:val="32"/>
          <w:lang w:val="en-US" w:eastAsia="zh-CN"/>
        </w:rPr>
        <w:t>965</w:t>
      </w:r>
      <w:r>
        <w:rPr>
          <w:rFonts w:hint="eastAsia" w:ascii="仿宋_GB2312" w:hAnsi="仿宋_GB2312" w:eastAsia="仿宋_GB2312" w:cs="仿宋_GB2312"/>
          <w:sz w:val="32"/>
          <w:szCs w:val="32"/>
          <w:lang w:eastAsia="zh-CN"/>
        </w:rPr>
        <w:t>件，纠错率2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%且同比下降</w:t>
      </w:r>
      <w:r>
        <w:rPr>
          <w:rFonts w:hint="eastAsia" w:ascii="仿宋_GB2312" w:hAnsi="仿宋_GB2312" w:eastAsia="仿宋_GB2312" w:cs="仿宋_GB2312"/>
          <w:sz w:val="32"/>
          <w:szCs w:val="32"/>
          <w:lang w:val="en-US" w:eastAsia="zh-CN"/>
        </w:rPr>
        <w:t>10.2个百分点</w:t>
      </w:r>
      <w:r>
        <w:rPr>
          <w:rFonts w:hint="eastAsia" w:ascii="仿宋_GB2312" w:hAnsi="仿宋_GB2312" w:eastAsia="仿宋_GB2312" w:cs="仿宋_GB2312"/>
          <w:sz w:val="32"/>
          <w:szCs w:val="32"/>
          <w:lang w:eastAsia="zh-CN"/>
        </w:rPr>
        <w:t>。创新“复议+调解“模式，化解市场主体争议25件，挽回损失85万元，争议实质性化解率达88%，以柔性方式促</w:t>
      </w:r>
      <w:r>
        <w:rPr>
          <w:rFonts w:hint="eastAsia" w:ascii="仿宋_GB2312" w:hAnsi="仿宋_GB2312" w:eastAsia="仿宋_GB2312" w:cs="仿宋_GB2312"/>
          <w:sz w:val="32"/>
          <w:szCs w:val="32"/>
          <w:lang w:val="en-US" w:eastAsia="zh-CN"/>
        </w:rPr>
        <w:t>进</w:t>
      </w:r>
      <w:r>
        <w:rPr>
          <w:rFonts w:hint="eastAsia" w:ascii="仿宋_GB2312" w:hAnsi="仿宋_GB2312" w:eastAsia="仿宋_GB2312" w:cs="仿宋_GB2312"/>
          <w:sz w:val="32"/>
          <w:szCs w:val="32"/>
          <w:lang w:eastAsia="zh-CN"/>
        </w:rPr>
        <w:t>政企和谐。</w:t>
      </w:r>
      <w:r>
        <w:rPr>
          <w:rFonts w:hint="eastAsia" w:ascii="楷体_GB2312" w:hAnsi="楷体_GB2312" w:eastAsia="楷体_GB2312" w:cs="楷体_GB2312"/>
          <w:b/>
          <w:bCs/>
          <w:sz w:val="32"/>
          <w:szCs w:val="32"/>
          <w:lang w:eastAsia="zh-CN"/>
        </w:rPr>
        <w:t>五是</w:t>
      </w:r>
      <w:r>
        <w:rPr>
          <w:rFonts w:hint="eastAsia" w:ascii="楷体_GB2312" w:hAnsi="楷体_GB2312" w:eastAsia="楷体_GB2312" w:cs="楷体_GB2312"/>
          <w:b/>
          <w:bCs/>
          <w:sz w:val="32"/>
          <w:szCs w:val="32"/>
        </w:rPr>
        <w:t>严格执法监督，规范权力运行。</w:t>
      </w:r>
      <w:r>
        <w:rPr>
          <w:rFonts w:hint="eastAsia" w:ascii="仿宋_GB2312" w:hAnsi="仿宋_GB2312" w:eastAsia="仿宋_GB2312" w:cs="仿宋_GB2312"/>
          <w:sz w:val="32"/>
          <w:szCs w:val="32"/>
        </w:rPr>
        <w:t>在全省率先</w:t>
      </w:r>
      <w:r>
        <w:rPr>
          <w:rFonts w:hint="eastAsia" w:ascii="仿宋_GB2312" w:hAnsi="仿宋_GB2312" w:eastAsia="仿宋_GB2312" w:cs="仿宋_GB2312"/>
          <w:sz w:val="32"/>
          <w:szCs w:val="32"/>
          <w:lang w:eastAsia="zh-CN"/>
        </w:rPr>
        <w:t>完成市县两级</w:t>
      </w:r>
      <w:r>
        <w:rPr>
          <w:rFonts w:hint="eastAsia" w:ascii="仿宋_GB2312" w:hAnsi="仿宋_GB2312" w:eastAsia="仿宋_GB2312" w:cs="仿宋_GB2312"/>
          <w:sz w:val="32"/>
          <w:szCs w:val="32"/>
        </w:rPr>
        <w:t>行政执法协调监督局</w:t>
      </w:r>
      <w:r>
        <w:rPr>
          <w:rFonts w:hint="eastAsia" w:ascii="仿宋_GB2312" w:hAnsi="仿宋_GB2312" w:eastAsia="仿宋_GB2312" w:cs="仿宋_GB2312"/>
          <w:sz w:val="32"/>
          <w:szCs w:val="32"/>
          <w:lang w:eastAsia="zh-CN"/>
        </w:rPr>
        <w:t>组建</w:t>
      </w:r>
      <w:r>
        <w:rPr>
          <w:rFonts w:hint="eastAsia" w:ascii="仿宋_GB2312" w:hAnsi="仿宋_GB2312" w:eastAsia="仿宋_GB2312" w:cs="仿宋_GB2312"/>
          <w:sz w:val="32"/>
          <w:szCs w:val="32"/>
        </w:rPr>
        <w:t>，市本级增编4个，</w:t>
      </w:r>
      <w:r>
        <w:rPr>
          <w:rFonts w:hint="eastAsia" w:ascii="仿宋_GB2312" w:hAnsi="仿宋_GB2312" w:eastAsia="仿宋_GB2312" w:cs="仿宋_GB2312"/>
          <w:color w:val="auto"/>
          <w:sz w:val="32"/>
          <w:szCs w:val="32"/>
          <w:lang w:val="en-US" w:eastAsia="zh-CN"/>
        </w:rPr>
        <w:t>同步为11个县市区各下放1个政法专项编，</w:t>
      </w:r>
      <w:r>
        <w:rPr>
          <w:rFonts w:hint="eastAsia" w:ascii="仿宋_GB2312" w:eastAsia="仿宋_GB2312" w:cs="仿宋_GB2312"/>
          <w:color w:val="000000" w:themeColor="text1"/>
          <w:sz w:val="32"/>
          <w:szCs w:val="32"/>
          <w:lang w:eastAsia="zh-CN"/>
          <w14:textFill>
            <w14:solidFill>
              <w14:schemeClr w14:val="tx1"/>
            </w14:solidFill>
          </w14:textFill>
        </w:rPr>
        <w:t>执法监督体系更密、更实、更有力。</w:t>
      </w:r>
      <w:r>
        <w:rPr>
          <w:rFonts w:hint="eastAsia" w:ascii="仿宋_GB2312" w:eastAsia="仿宋_GB2312" w:cs="仿宋_GB2312"/>
          <w:b w:val="0"/>
          <w:bCs w:val="0"/>
          <w:color w:val="000000" w:themeColor="text1"/>
          <w:sz w:val="32"/>
          <w:szCs w:val="32"/>
          <w:lang w:eastAsia="zh-CN"/>
          <w14:textFill>
            <w14:solidFill>
              <w14:schemeClr w14:val="tx1"/>
            </w14:solidFill>
          </w14:textFill>
        </w:rPr>
        <w:t>“专项行动”治痛点，</w:t>
      </w:r>
      <w:r>
        <w:rPr>
          <w:rFonts w:hint="eastAsia" w:ascii="仿宋_GB2312" w:hAnsi="仿宋_GB2312" w:eastAsia="仿宋_GB2312" w:cs="仿宋_GB2312"/>
          <w:sz w:val="32"/>
          <w:szCs w:val="32"/>
        </w:rPr>
        <w:t>市委市政府主要领导4次就</w:t>
      </w:r>
      <w:r>
        <w:rPr>
          <w:rFonts w:hint="eastAsia" w:ascii="仿宋_GB2312" w:hAnsi="仿宋_GB2312" w:eastAsia="仿宋_GB2312" w:cs="仿宋_GB2312"/>
          <w:sz w:val="32"/>
          <w:szCs w:val="32"/>
          <w:lang w:eastAsia="zh-CN"/>
        </w:rPr>
        <w:t>规范</w:t>
      </w:r>
      <w:r>
        <w:rPr>
          <w:rFonts w:hint="eastAsia" w:ascii="仿宋_GB2312" w:hAnsi="仿宋_GB2312" w:eastAsia="仿宋_GB2312" w:cs="仿宋_GB2312"/>
          <w:sz w:val="32"/>
          <w:szCs w:val="32"/>
        </w:rPr>
        <w:t>涉企行政执法</w:t>
      </w:r>
      <w:r>
        <w:rPr>
          <w:rFonts w:hint="eastAsia" w:ascii="仿宋_GB2312" w:hAnsi="仿宋_GB2312" w:eastAsia="仿宋_GB2312" w:cs="仿宋_GB2312"/>
          <w:sz w:val="32"/>
          <w:szCs w:val="32"/>
          <w:lang w:eastAsia="zh-CN"/>
        </w:rPr>
        <w:t>专项行动</w:t>
      </w:r>
      <w:r>
        <w:rPr>
          <w:rFonts w:hint="eastAsia" w:ascii="仿宋_GB2312" w:hAnsi="仿宋_GB2312" w:eastAsia="仿宋_GB2312" w:cs="仿宋_GB2312"/>
          <w:sz w:val="32"/>
          <w:szCs w:val="32"/>
        </w:rPr>
        <w:t>作出批示，高位推动执法规范化建设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查处问题线索</w:t>
      </w:r>
      <w:r>
        <w:rPr>
          <w:rFonts w:hint="eastAsia" w:ascii="仿宋_GB2312" w:hAnsi="仿宋_GB2312" w:eastAsia="仿宋_GB2312" w:cs="仿宋_GB2312"/>
          <w:sz w:val="32"/>
          <w:szCs w:val="32"/>
          <w:lang w:val="en-US" w:eastAsia="zh-CN"/>
        </w:rPr>
        <w:t>588</w:t>
      </w:r>
      <w:r>
        <w:rPr>
          <w:rFonts w:hint="eastAsia" w:ascii="仿宋_GB2312" w:hAnsi="仿宋_GB2312" w:eastAsia="仿宋_GB2312" w:cs="仿宋_GB2312"/>
          <w:sz w:val="32"/>
          <w:szCs w:val="32"/>
        </w:rPr>
        <w:t>件，移送纪委监委3</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件，查处指标位列全省</w:t>
      </w:r>
      <w:r>
        <w:rPr>
          <w:rFonts w:hint="eastAsia" w:ascii="仿宋_GB2312" w:hAnsi="仿宋_GB2312" w:eastAsia="仿宋_GB2312" w:cs="仿宋_GB2312"/>
          <w:sz w:val="32"/>
          <w:szCs w:val="32"/>
          <w:lang w:eastAsia="zh-CN"/>
        </w:rPr>
        <w:t>前三</w:t>
      </w:r>
      <w:r>
        <w:rPr>
          <w:rFonts w:hint="eastAsia" w:ascii="仿宋_GB2312" w:hAnsi="仿宋_GB2312" w:eastAsia="仿宋_GB2312" w:cs="仿宋_GB2312"/>
          <w:sz w:val="32"/>
          <w:szCs w:val="32"/>
        </w:rPr>
        <w:t>，</w:t>
      </w:r>
      <w:r>
        <w:rPr>
          <w:rFonts w:hint="eastAsia" w:ascii="仿宋_GB2312" w:eastAsia="仿宋_GB2312" w:cs="仿宋_GB2312"/>
          <w:color w:val="000000" w:themeColor="text1"/>
          <w:sz w:val="32"/>
          <w:szCs w:val="32"/>
          <w:lang w:eastAsia="zh-CN"/>
          <w14:textFill>
            <w14:solidFill>
              <w14:schemeClr w14:val="tx1"/>
            </w14:solidFill>
          </w14:textFill>
        </w:rPr>
        <w:t>为企业挽回经济损失</w:t>
      </w:r>
      <w:r>
        <w:rPr>
          <w:rFonts w:hint="eastAsia" w:ascii="仿宋_GB2312" w:eastAsia="仿宋_GB2312" w:cs="仿宋_GB2312"/>
          <w:color w:val="000000" w:themeColor="text1"/>
          <w:sz w:val="32"/>
          <w:szCs w:val="32"/>
          <w:lang w:val="en-US" w:eastAsia="zh-CN"/>
          <w14:textFill>
            <w14:solidFill>
              <w14:schemeClr w14:val="tx1"/>
            </w14:solidFill>
          </w14:textFill>
        </w:rPr>
        <w:t>978.8</w:t>
      </w:r>
      <w:r>
        <w:rPr>
          <w:rFonts w:hint="eastAsia" w:ascii="仿宋_GB2312" w:eastAsia="仿宋_GB2312" w:cs="仿宋_GB2312"/>
          <w:color w:val="000000" w:themeColor="text1"/>
          <w:sz w:val="32"/>
          <w:szCs w:val="32"/>
          <w:lang w:eastAsia="zh-CN"/>
          <w14:textFill>
            <w14:solidFill>
              <w14:schemeClr w14:val="tx1"/>
            </w14:solidFill>
          </w14:textFill>
        </w:rPr>
        <w:t>万元，</w:t>
      </w:r>
      <w:r>
        <w:rPr>
          <w:rFonts w:hint="eastAsia" w:ascii="仿宋_GB2312" w:hAnsi="仿宋_GB2312" w:eastAsia="仿宋_GB2312" w:cs="仿宋_GB2312"/>
          <w:sz w:val="32"/>
          <w:szCs w:val="32"/>
        </w:rPr>
        <w:t>2件案例入选司法部、省</w:t>
      </w:r>
      <w:r>
        <w:rPr>
          <w:rFonts w:hint="eastAsia" w:ascii="仿宋_GB2312" w:hAnsi="仿宋_GB2312" w:eastAsia="仿宋_GB2312" w:cs="仿宋_GB2312"/>
          <w:sz w:val="32"/>
          <w:szCs w:val="32"/>
          <w:lang w:eastAsia="zh-CN"/>
        </w:rPr>
        <w:t>司法</w:t>
      </w:r>
      <w:r>
        <w:rPr>
          <w:rFonts w:hint="eastAsia" w:ascii="仿宋_GB2312" w:hAnsi="仿宋_GB2312" w:eastAsia="仿宋_GB2312" w:cs="仿宋_GB2312"/>
          <w:sz w:val="32"/>
          <w:szCs w:val="32"/>
        </w:rPr>
        <w:t>厅典型案例库。</w:t>
      </w:r>
      <w:r>
        <w:rPr>
          <w:rFonts w:hint="eastAsia" w:ascii="仿宋_GB2312" w:hAnsi="仿宋_GB2312" w:eastAsia="仿宋_GB2312" w:cs="仿宋_GB2312"/>
          <w:sz w:val="32"/>
          <w:szCs w:val="32"/>
          <w:lang w:eastAsia="zh-CN"/>
        </w:rPr>
        <w:t>全市</w:t>
      </w:r>
      <w:r>
        <w:rPr>
          <w:rFonts w:hint="eastAsia" w:ascii="仿宋_GB2312" w:hAnsi="仿宋_GB2312" w:eastAsia="仿宋_GB2312" w:cs="仿宋_GB2312"/>
          <w:sz w:val="32"/>
          <w:szCs w:val="32"/>
        </w:rPr>
        <w:t>“扫码入企”</w:t>
      </w:r>
      <w:r>
        <w:rPr>
          <w:rFonts w:hint="eastAsia" w:ascii="仿宋_GB2312" w:hAnsi="仿宋_GB2312" w:eastAsia="仿宋_GB2312" w:cs="仿宋_GB2312"/>
          <w:sz w:val="32"/>
          <w:szCs w:val="32"/>
          <w:lang w:val="en-US" w:eastAsia="zh-CN"/>
        </w:rPr>
        <w:t>1.87万次，扫码率位居全省第二</w:t>
      </w:r>
      <w:r>
        <w:rPr>
          <w:rFonts w:hint="eastAsia" w:ascii="仿宋_GB2312" w:hAnsi="仿宋_GB2312" w:eastAsia="仿宋_GB2312" w:cs="仿宋_GB2312"/>
          <w:sz w:val="32"/>
          <w:szCs w:val="32"/>
          <w:lang w:eastAsia="zh-CN"/>
        </w:rPr>
        <w:t>，</w:t>
      </w:r>
      <w:r>
        <w:rPr>
          <w:rFonts w:hint="eastAsia" w:ascii="仿宋_GB2312" w:eastAsia="仿宋_GB2312" w:cs="仿宋_GB2312"/>
          <w:color w:val="000000" w:themeColor="text1"/>
          <w:sz w:val="32"/>
          <w:szCs w:val="32"/>
          <w:lang w:eastAsia="zh-CN"/>
          <w14:textFill>
            <w14:solidFill>
              <w14:schemeClr w14:val="tx1"/>
            </w14:solidFill>
          </w14:textFill>
        </w:rPr>
        <w:t>推动涉企行政检查频次同比下降35.2%，多头检查、随意检查等乱象得到基本遏制。</w:t>
      </w:r>
      <w:r>
        <w:rPr>
          <w:rFonts w:hint="eastAsia" w:ascii="仿宋_GB2312" w:eastAsia="仿宋_GB2312" w:cs="仿宋_GB2312"/>
          <w:b w:val="0"/>
          <w:bCs w:val="0"/>
          <w:color w:val="000000" w:themeColor="text1"/>
          <w:sz w:val="32"/>
          <w:szCs w:val="32"/>
          <w:lang w:eastAsia="zh-CN"/>
          <w14:textFill>
            <w14:solidFill>
              <w14:schemeClr w14:val="tx1"/>
            </w14:solidFill>
          </w14:textFill>
        </w:rPr>
        <w:t>“柔性执法”疏堵点，重新梳理“免罚、减罚、从轻”三张清单，</w:t>
      </w:r>
      <w:r>
        <w:rPr>
          <w:rFonts w:hint="eastAsia" w:ascii="仿宋_GB2312" w:eastAsia="仿宋_GB2312" w:cs="仿宋_GB2312"/>
          <w:color w:val="000000" w:themeColor="text1"/>
          <w:sz w:val="32"/>
          <w:szCs w:val="32"/>
          <w:lang w:eastAsia="zh-CN"/>
          <w14:textFill>
            <w14:solidFill>
              <w14:schemeClr w14:val="tx1"/>
            </w14:solidFill>
          </w14:textFill>
        </w:rPr>
        <w:t>行政处罚案件总数同比下降24.6%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柔性执法案件占比</w:t>
      </w:r>
      <w:r>
        <w:rPr>
          <w:rFonts w:hint="eastAsia" w:ascii="仿宋_GB2312" w:hAnsi="仿宋_GB2312" w:eastAsia="仿宋_GB2312" w:cs="仿宋_GB2312"/>
          <w:sz w:val="32"/>
          <w:szCs w:val="32"/>
          <w:lang w:val="en-US" w:eastAsia="zh-CN"/>
        </w:rPr>
        <w:t>58.8%，</w:t>
      </w:r>
      <w:r>
        <w:rPr>
          <w:rFonts w:hint="eastAsia" w:ascii="仿宋_GB2312" w:hAnsi="仿宋_GB2312" w:eastAsia="仿宋_GB2312" w:cs="仿宋_GB2312"/>
          <w:sz w:val="32"/>
          <w:szCs w:val="32"/>
          <w:lang w:eastAsia="zh-CN"/>
        </w:rPr>
        <w:t>相关经验</w:t>
      </w:r>
      <w:r>
        <w:rPr>
          <w:rFonts w:hint="eastAsia" w:ascii="仿宋_GB2312" w:hAnsi="仿宋_GB2312" w:eastAsia="仿宋_GB2312" w:cs="仿宋_GB2312"/>
          <w:sz w:val="32"/>
          <w:szCs w:val="32"/>
          <w:lang w:val="en-US" w:eastAsia="zh-CN"/>
        </w:rPr>
        <w:t>在全省专题会上作典型发言</w:t>
      </w:r>
      <w:r>
        <w:rPr>
          <w:rFonts w:hint="eastAsia" w:ascii="仿宋_GB2312" w:hAnsi="仿宋_GB2312" w:eastAsia="仿宋_GB2312" w:cs="仿宋_GB2312"/>
          <w:sz w:val="32"/>
          <w:szCs w:val="32"/>
          <w:lang w:eastAsia="zh-CN"/>
        </w:rPr>
        <w:t>。</w:t>
      </w:r>
      <w:r>
        <w:rPr>
          <w:rFonts w:hint="eastAsia" w:ascii="楷体_GB2312" w:hAnsi="楷体_GB2312" w:eastAsia="楷体_GB2312" w:cs="楷体_GB2312"/>
          <w:b/>
          <w:bCs/>
          <w:sz w:val="32"/>
          <w:szCs w:val="32"/>
          <w:lang w:eastAsia="zh-CN"/>
        </w:rPr>
        <w:t>六是</w:t>
      </w:r>
      <w:r>
        <w:rPr>
          <w:rFonts w:hint="eastAsia" w:ascii="楷体_GB2312" w:hAnsi="楷体_GB2312" w:eastAsia="楷体_GB2312" w:cs="楷体_GB2312"/>
          <w:b/>
          <w:bCs/>
          <w:sz w:val="32"/>
          <w:szCs w:val="32"/>
        </w:rPr>
        <w:t>创新行刑衔接，注入改革动能。</w:t>
      </w:r>
      <w:r>
        <w:rPr>
          <w:rFonts w:hint="eastAsia" w:ascii="仿宋_GB2312" w:hAnsi="仿宋_GB2312" w:eastAsia="仿宋_GB2312" w:cs="仿宋_GB2312"/>
          <w:sz w:val="32"/>
          <w:szCs w:val="32"/>
        </w:rPr>
        <w:t>圆满完成行刑衔接改革试点任务，构建“制度+平台+协作”双向衔接模式，探索的“人大+政府”</w:t>
      </w:r>
      <w:r>
        <w:rPr>
          <w:rFonts w:hint="eastAsia" w:ascii="仿宋_GB2312" w:eastAsia="仿宋_GB2312"/>
          <w:color w:val="000000"/>
          <w:sz w:val="32"/>
          <w:szCs w:val="32"/>
          <w:lang w:val="en-US" w:eastAsia="zh-CN"/>
        </w:rPr>
        <w:t>执法监督贯通机制</w:t>
      </w:r>
      <w:r>
        <w:rPr>
          <w:rFonts w:hint="eastAsia" w:ascii="仿宋_GB2312" w:hAnsi="仿宋_GB2312" w:eastAsia="仿宋_GB2312" w:cs="仿宋_GB2312"/>
          <w:sz w:val="32"/>
          <w:szCs w:val="32"/>
        </w:rPr>
        <w:t xml:space="preserve">获推介至司法部，为完善行政执法与刑事司法衔接机制贡献了“永州智慧”。 </w:t>
      </w:r>
    </w:p>
    <w:p w14:paraId="68A98C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11"/>
          <w:sz w:val="32"/>
          <w:szCs w:val="32"/>
        </w:rPr>
      </w:pPr>
      <w:r>
        <w:rPr>
          <w:rFonts w:hint="eastAsia" w:ascii="黑体" w:hAnsi="黑体" w:eastAsia="黑体" w:cs="黑体"/>
          <w:sz w:val="32"/>
          <w:szCs w:val="32"/>
          <w:lang w:val="en-US" w:eastAsia="zh-CN"/>
        </w:rPr>
        <w:t>3.惠民利民，书写温暖人心的“服务答卷”。</w:t>
      </w:r>
      <w:r>
        <w:rPr>
          <w:rFonts w:hint="eastAsia" w:ascii="楷体_GB2312" w:hAnsi="楷体_GB2312" w:eastAsia="楷体_GB2312" w:cs="楷体_GB2312"/>
          <w:b/>
          <w:bCs/>
          <w:sz w:val="32"/>
          <w:szCs w:val="32"/>
          <w:lang w:val="en-US" w:eastAsia="zh-CN"/>
        </w:rPr>
        <w:t>一是深化改革驱动，激发行业活力。</w:t>
      </w:r>
      <w:r>
        <w:rPr>
          <w:rFonts w:hint="eastAsia" w:ascii="仿宋_GB2312" w:hAnsi="仿宋_GB2312" w:eastAsia="仿宋_GB2312" w:cs="仿宋_GB2312"/>
          <w:sz w:val="32"/>
          <w:szCs w:val="32"/>
          <w:lang w:val="en-US" w:eastAsia="zh-CN"/>
        </w:rPr>
        <w:t>大力推进公证、司法鉴定、仲裁体制机制改革，通过优化绩效分配、加强标准化建设、提升公信力等措施，激发法律服务机构内生动力，打造具有永州特色的法治服务新标杆。</w:t>
      </w:r>
      <w:r>
        <w:rPr>
          <w:rFonts w:hint="eastAsia" w:ascii="楷体_GB2312" w:hAnsi="楷体_GB2312" w:eastAsia="楷体_GB2312" w:cs="楷体_GB2312"/>
          <w:b/>
          <w:bCs/>
          <w:sz w:val="32"/>
          <w:szCs w:val="32"/>
          <w:lang w:eastAsia="zh-CN"/>
        </w:rPr>
        <w:t>二是</w:t>
      </w:r>
      <w:r>
        <w:rPr>
          <w:rFonts w:hint="eastAsia" w:ascii="楷体_GB2312" w:hAnsi="楷体_GB2312" w:eastAsia="楷体_GB2312" w:cs="楷体_GB2312"/>
          <w:b/>
          <w:bCs/>
          <w:sz w:val="32"/>
          <w:szCs w:val="32"/>
        </w:rPr>
        <w:t>升级服务体系，织密惠民网络。</w:t>
      </w:r>
      <w:r>
        <w:rPr>
          <w:rFonts w:hint="eastAsia" w:ascii="仿宋_GB2312" w:hAnsi="仿宋_GB2312" w:eastAsia="仿宋_GB2312" w:cs="仿宋_GB2312"/>
          <w:spacing w:val="-6"/>
          <w:sz w:val="32"/>
          <w:szCs w:val="32"/>
          <w:lang w:eastAsia="zh-CN"/>
        </w:rPr>
        <w:t>构建“线上+线下”融合服务体系，开发“点援制”APP，优化“一网通办”流程，创新“群众点单、法援派单、律所接单、群众评单”</w:t>
      </w:r>
      <w:r>
        <w:rPr>
          <w:rFonts w:hint="eastAsia" w:ascii="仿宋_GB2312" w:hAnsi="仿宋_GB2312" w:eastAsia="仿宋_GB2312" w:cs="仿宋_GB2312"/>
          <w:spacing w:val="-6"/>
          <w:sz w:val="32"/>
          <w:szCs w:val="32"/>
          <w:lang w:val="en-US" w:eastAsia="zh-CN"/>
        </w:rPr>
        <w:t>精准服务</w:t>
      </w:r>
      <w:r>
        <w:rPr>
          <w:rFonts w:hint="eastAsia" w:ascii="仿宋_GB2312" w:hAnsi="仿宋_GB2312" w:eastAsia="仿宋_GB2312" w:cs="仿宋_GB2312"/>
          <w:spacing w:val="-6"/>
          <w:sz w:val="32"/>
          <w:szCs w:val="32"/>
          <w:lang w:eastAsia="zh-CN"/>
        </w:rPr>
        <w:t>模式，织密覆盖城乡的公共法律服务网络；聚焦农民工、残疾人等重点群体，开通“绿色通道”简化程序，全年办理法律援助、公证、司法鉴定、仲裁案件1.7万余件，12348热线提供咨询2万余人次，为群众挽回损失3000余万元，群众满意度达100%，</w:t>
      </w:r>
      <w:r>
        <w:rPr>
          <w:rFonts w:hint="eastAsia" w:ascii="仿宋_GB2312" w:hAnsi="仿宋_GB2312" w:eastAsia="仿宋_GB2312" w:cs="仿宋_GB2312"/>
          <w:spacing w:val="-6"/>
          <w:sz w:val="32"/>
          <w:szCs w:val="32"/>
          <w:lang w:val="en-US" w:eastAsia="zh-CN"/>
        </w:rPr>
        <w:t>实现“法治供给”与“民生需求”同频共振</w:t>
      </w:r>
      <w:r>
        <w:rPr>
          <w:rFonts w:hint="eastAsia" w:ascii="仿宋_GB2312" w:hAnsi="仿宋_GB2312" w:eastAsia="仿宋_GB2312" w:cs="仿宋_GB2312"/>
          <w:spacing w:val="-6"/>
          <w:sz w:val="32"/>
          <w:szCs w:val="32"/>
          <w:lang w:eastAsia="zh-CN"/>
        </w:rPr>
        <w:t>。</w:t>
      </w:r>
      <w:r>
        <w:rPr>
          <w:rFonts w:hint="eastAsia" w:ascii="楷体_GB2312" w:hAnsi="楷体_GB2312" w:eastAsia="楷体_GB2312" w:cs="楷体_GB2312"/>
          <w:b/>
          <w:bCs/>
          <w:sz w:val="32"/>
          <w:szCs w:val="32"/>
          <w:lang w:eastAsia="zh-CN"/>
        </w:rPr>
        <w:t>三是打造</w:t>
      </w:r>
      <w:r>
        <w:rPr>
          <w:rFonts w:hint="eastAsia" w:ascii="楷体_GB2312" w:hAnsi="楷体_GB2312" w:eastAsia="楷体_GB2312" w:cs="楷体_GB2312"/>
          <w:b/>
          <w:bCs/>
          <w:sz w:val="32"/>
          <w:szCs w:val="32"/>
        </w:rPr>
        <w:t>律师品牌，引领行业发展。</w:t>
      </w:r>
      <w:r>
        <w:rPr>
          <w:rFonts w:hint="eastAsia" w:ascii="仿宋_GB2312" w:hAnsi="仿宋_GB2312" w:eastAsia="仿宋_GB2312" w:cs="仿宋_GB2312"/>
          <w:b w:val="0"/>
          <w:bCs w:val="0"/>
          <w:sz w:val="32"/>
          <w:szCs w:val="32"/>
        </w:rPr>
        <w:t>以“评星+实践+监管”三轮驱动为抓手，创新星级律所评级、深化新入职律师脱产实践、强化行业监管整治，</w:t>
      </w:r>
      <w:r>
        <w:rPr>
          <w:rFonts w:hint="eastAsia" w:ascii="仿宋_GB2312" w:hAnsi="仿宋_GB2312" w:eastAsia="仿宋_GB2312" w:cs="仿宋_GB2312"/>
          <w:sz w:val="32"/>
          <w:szCs w:val="32"/>
        </w:rPr>
        <w:t>法律服务市场</w:t>
      </w:r>
      <w:r>
        <w:rPr>
          <w:rFonts w:hint="eastAsia" w:ascii="仿宋_GB2312" w:hAnsi="仿宋_GB2312" w:eastAsia="仿宋_GB2312" w:cs="仿宋_GB2312"/>
          <w:b w:val="0"/>
          <w:bCs w:val="0"/>
          <w:sz w:val="32"/>
          <w:szCs w:val="32"/>
        </w:rPr>
        <w:t>环境优化</w:t>
      </w:r>
      <w:r>
        <w:rPr>
          <w:rFonts w:hint="eastAsia" w:ascii="仿宋_GB2312" w:hAnsi="仿宋_GB2312" w:eastAsia="仿宋_GB2312" w:cs="仿宋_GB2312"/>
          <w:sz w:val="32"/>
          <w:szCs w:val="32"/>
        </w:rPr>
        <w:t>成效显著，律师队伍政治素养与专业能力实现双提升。</w:t>
      </w:r>
      <w:r>
        <w:rPr>
          <w:rFonts w:hint="eastAsia" w:ascii="仿宋_GB2312" w:hAnsi="仿宋_GB2312" w:eastAsia="仿宋_GB2312" w:cs="仿宋_GB2312"/>
          <w:b w:val="0"/>
          <w:bCs w:val="0"/>
          <w:sz w:val="32"/>
          <w:szCs w:val="32"/>
        </w:rPr>
        <w:t>1家律所获评“全国文明单位”、10家</w:t>
      </w:r>
      <w:r>
        <w:rPr>
          <w:rFonts w:hint="eastAsia" w:ascii="仿宋_GB2312" w:hAnsi="仿宋_GB2312" w:eastAsia="仿宋_GB2312" w:cs="仿宋_GB2312"/>
          <w:b w:val="0"/>
          <w:bCs w:val="0"/>
          <w:sz w:val="32"/>
          <w:szCs w:val="32"/>
          <w:lang w:eastAsia="zh-CN"/>
        </w:rPr>
        <w:t>律所</w:t>
      </w:r>
      <w:r>
        <w:rPr>
          <w:rFonts w:hint="eastAsia" w:ascii="仿宋_GB2312" w:hAnsi="仿宋_GB2312" w:eastAsia="仿宋_GB2312" w:cs="仿宋_GB2312"/>
          <w:b w:val="0"/>
          <w:bCs w:val="0"/>
          <w:sz w:val="32"/>
          <w:szCs w:val="32"/>
        </w:rPr>
        <w:t>获评</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省级示范所</w:t>
      </w:r>
      <w:r>
        <w:rPr>
          <w:rFonts w:hint="eastAsia" w:ascii="仿宋_GB2312" w:hAnsi="仿宋_GB2312" w:eastAsia="仿宋_GB2312" w:cs="仿宋_GB2312"/>
          <w:b w:val="0"/>
          <w:bCs w:val="0"/>
          <w:sz w:val="32"/>
          <w:szCs w:val="32"/>
          <w:lang w:eastAsia="zh-CN"/>
        </w:rPr>
        <w:t>”，相关经验获全省推介</w:t>
      </w:r>
      <w:r>
        <w:rPr>
          <w:rFonts w:hint="eastAsia" w:ascii="仿宋_GB2312" w:hAnsi="仿宋_GB2312" w:eastAsia="仿宋_GB2312" w:cs="仿宋_GB2312"/>
          <w:b w:val="0"/>
          <w:bCs w:val="0"/>
          <w:sz w:val="32"/>
          <w:szCs w:val="32"/>
        </w:rPr>
        <w:t>。</w:t>
      </w:r>
      <w:r>
        <w:rPr>
          <w:rFonts w:hint="eastAsia" w:ascii="楷体_GB2312" w:hAnsi="楷体_GB2312" w:eastAsia="楷体_GB2312" w:cs="楷体_GB2312"/>
          <w:b/>
          <w:bCs/>
          <w:sz w:val="32"/>
          <w:szCs w:val="32"/>
          <w:lang w:eastAsia="zh-CN"/>
        </w:rPr>
        <w:t>四是</w:t>
      </w:r>
      <w:r>
        <w:rPr>
          <w:rFonts w:hint="eastAsia" w:ascii="楷体_GB2312" w:hAnsi="楷体_GB2312" w:eastAsia="楷体_GB2312" w:cs="楷体_GB2312"/>
          <w:b/>
          <w:bCs/>
          <w:sz w:val="32"/>
          <w:szCs w:val="32"/>
        </w:rPr>
        <w:t>精准普法宣传，培育法治土壤。</w:t>
      </w:r>
      <w:r>
        <w:rPr>
          <w:rFonts w:hint="eastAsia" w:ascii="仿宋_GB2312" w:hAnsi="仿宋_GB2312" w:eastAsia="仿宋_GB2312" w:cs="仿宋_GB2312"/>
          <w:sz w:val="32"/>
          <w:szCs w:val="32"/>
        </w:rPr>
        <w:t>坚持“精准滴灌”与“全域覆盖”相结合，组织大学生“送法下乡”覆盖364个村（社区）、10万群众，开展“农村法治宣传月”“民法典宣传月”等活动，发放资料56万份，培育“法律明白人”4920名。聚焦民营经济发展和青少年保护，开展“法护民企”“利剑护蕾”专项行动，2个案例入选省级巡展。全面总结“八五”普法，谋划“九五”普法规划，推荐5个村（社区）参评国家级民主法治示范点，</w:t>
      </w:r>
      <w:r>
        <w:rPr>
          <w:rFonts w:hint="eastAsia" w:ascii="仿宋_GB2312" w:hAnsi="仿宋_GB2312" w:eastAsia="仿宋_GB2312" w:cs="仿宋_GB2312"/>
          <w:spacing w:val="-11"/>
          <w:sz w:val="32"/>
          <w:szCs w:val="32"/>
        </w:rPr>
        <w:t xml:space="preserve">全民法治素养稳步提升。 </w:t>
      </w:r>
    </w:p>
    <w:p w14:paraId="13AC010A">
      <w:pPr>
        <w:spacing w:line="570" w:lineRule="exact"/>
        <w:ind w:firstLine="640" w:firstLineChars="200"/>
        <w:rPr>
          <w:rFonts w:eastAsia="仿宋_GB2312"/>
          <w:color w:val="000000"/>
          <w:sz w:val="32"/>
          <w:szCs w:val="32"/>
        </w:rPr>
      </w:pPr>
      <w:r>
        <w:rPr>
          <w:rFonts w:hint="eastAsia" w:ascii="黑体" w:hAnsi="黑体" w:eastAsia="黑体" w:cs="黑体"/>
          <w:sz w:val="32"/>
          <w:szCs w:val="32"/>
          <w:lang w:val="en-US" w:eastAsia="zh-CN"/>
        </w:rPr>
        <w:t>4.固本强基，书写安全稳定的“平安答卷”。</w:t>
      </w:r>
      <w:r>
        <w:rPr>
          <w:rFonts w:hint="eastAsia" w:ascii="楷体_GB2312" w:hAnsi="楷体_GB2312" w:eastAsia="楷体_GB2312" w:cs="楷体_GB2312"/>
          <w:b/>
          <w:bCs/>
          <w:sz w:val="32"/>
          <w:szCs w:val="32"/>
          <w:lang w:eastAsia="zh-CN"/>
        </w:rPr>
        <w:t>一是</w:t>
      </w:r>
      <w:r>
        <w:rPr>
          <w:rFonts w:hint="eastAsia" w:ascii="楷体_GB2312" w:hAnsi="楷体_GB2312" w:eastAsia="楷体_GB2312" w:cs="楷体_GB2312"/>
          <w:b/>
          <w:bCs/>
          <w:sz w:val="32"/>
          <w:szCs w:val="32"/>
        </w:rPr>
        <w:t>严密管控特殊人群，守住安全底线。</w:t>
      </w:r>
      <w:r>
        <w:rPr>
          <w:rFonts w:hint="eastAsia" w:ascii="仿宋_GB2312" w:hAnsi="仿宋_GB2312" w:eastAsia="仿宋_GB2312" w:cs="仿宋_GB2312"/>
          <w:sz w:val="32"/>
          <w:szCs w:val="32"/>
        </w:rPr>
        <w:t>社区矫正执法规范化和档案管理走在全省前列，对6352件案件开展交叉评查，合格率99.7%。在册2</w:t>
      </w:r>
      <w:r>
        <w:rPr>
          <w:rFonts w:hint="eastAsia" w:ascii="仿宋_GB2312" w:hAnsi="仿宋_GB2312" w:eastAsia="仿宋_GB2312" w:cs="仿宋_GB2312"/>
          <w:sz w:val="32"/>
          <w:szCs w:val="32"/>
          <w:lang w:val="en-US" w:eastAsia="zh-CN"/>
        </w:rPr>
        <w:t>686</w:t>
      </w:r>
      <w:r>
        <w:rPr>
          <w:rFonts w:hint="eastAsia" w:ascii="仿宋_GB2312" w:hAnsi="仿宋_GB2312" w:eastAsia="仿宋_GB2312" w:cs="仿宋_GB2312"/>
          <w:sz w:val="32"/>
          <w:szCs w:val="32"/>
        </w:rPr>
        <w:t>名矫正对象连续16年实现“四个不发生”。刑满释放人员衔接率100%。开展安全隐患排查2.2万人次，化解风险22起，重点对象全部纳入动态管控，确保了管得住、控得牢。</w:t>
      </w:r>
      <w:r>
        <w:rPr>
          <w:rFonts w:hint="eastAsia" w:ascii="楷体_GB2312" w:hAnsi="楷体_GB2312" w:eastAsia="楷体_GB2312" w:cs="楷体_GB2312"/>
          <w:b/>
          <w:bCs/>
          <w:sz w:val="32"/>
          <w:szCs w:val="32"/>
          <w:lang w:eastAsia="zh-CN"/>
        </w:rPr>
        <w:t>二是抓实</w:t>
      </w:r>
      <w:r>
        <w:rPr>
          <w:rFonts w:hint="eastAsia" w:ascii="楷体_GB2312" w:hAnsi="楷体_GB2312" w:eastAsia="楷体_GB2312" w:cs="楷体_GB2312"/>
          <w:b/>
          <w:bCs/>
          <w:sz w:val="32"/>
          <w:szCs w:val="32"/>
        </w:rPr>
        <w:t>矛盾纠纷化解，</w:t>
      </w:r>
      <w:r>
        <w:rPr>
          <w:rFonts w:hint="eastAsia" w:ascii="楷体_GB2312" w:hAnsi="楷体_GB2312" w:eastAsia="楷体_GB2312" w:cs="楷体_GB2312"/>
          <w:b/>
          <w:bCs/>
          <w:sz w:val="32"/>
          <w:szCs w:val="32"/>
          <w:lang w:eastAsia="zh-CN"/>
        </w:rPr>
        <w:t>深挖调解亮点</w:t>
      </w:r>
      <w:r>
        <w:rPr>
          <w:rFonts w:hint="eastAsia" w:ascii="楷体_GB2312" w:hAnsi="楷体_GB2312" w:eastAsia="楷体_GB2312" w:cs="楷体_GB2312"/>
          <w:b/>
          <w:bCs/>
          <w:sz w:val="32"/>
          <w:szCs w:val="32"/>
        </w:rPr>
        <w:t>。</w:t>
      </w:r>
      <w:r>
        <w:rPr>
          <w:rFonts w:hint="eastAsia" w:ascii="仿宋_GB2312" w:hAnsi="仿宋_GB2312" w:eastAsia="仿宋_GB2312" w:cs="仿宋_GB2312"/>
          <w:sz w:val="32"/>
          <w:szCs w:val="32"/>
        </w:rPr>
        <w:t>擦亮政法“五老”+好邻居调解品牌，创新“五联调”机制，组建1500余人的市县乡三级调解专家库。永州市总商会商事调解中心、宁远县“司法所片区协作”</w:t>
      </w:r>
      <w:r>
        <w:rPr>
          <w:rFonts w:hint="eastAsia" w:ascii="仿宋_GB2312" w:hAnsi="仿宋_GB2312" w:eastAsia="仿宋_GB2312" w:cs="仿宋_GB2312"/>
          <w:sz w:val="32"/>
          <w:szCs w:val="32"/>
          <w:lang w:eastAsia="zh-CN"/>
        </w:rPr>
        <w:t>经验</w:t>
      </w:r>
      <w:r>
        <w:rPr>
          <w:rFonts w:hint="eastAsia" w:ascii="仿宋_GB2312" w:hAnsi="仿宋_GB2312" w:eastAsia="仿宋_GB2312" w:cs="仿宋_GB2312"/>
          <w:sz w:val="32"/>
          <w:szCs w:val="32"/>
        </w:rPr>
        <w:t>获省</w:t>
      </w:r>
      <w:r>
        <w:rPr>
          <w:rFonts w:hint="eastAsia" w:ascii="仿宋_GB2312" w:hAnsi="仿宋_GB2312" w:eastAsia="仿宋_GB2312" w:cs="仿宋_GB2312"/>
          <w:sz w:val="32"/>
          <w:szCs w:val="32"/>
          <w:lang w:eastAsia="zh-CN"/>
        </w:rPr>
        <w:t>司法</w:t>
      </w:r>
      <w:r>
        <w:rPr>
          <w:rFonts w:hint="eastAsia" w:ascii="仿宋_GB2312" w:hAnsi="仿宋_GB2312" w:eastAsia="仿宋_GB2312" w:cs="仿宋_GB2312"/>
          <w:sz w:val="32"/>
          <w:szCs w:val="32"/>
        </w:rPr>
        <w:t>厅推介至司法部。全年各级调解组织受理纠纷</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万余件，成功化解</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.1万余件，调解成功率93.</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w:t>
      </w:r>
      <w:r>
        <w:rPr>
          <w:rFonts w:hint="eastAsia" w:ascii="楷体_GB2312" w:hAnsi="楷体_GB2312" w:eastAsia="楷体_GB2312" w:cs="楷体_GB2312"/>
          <w:b/>
          <w:bCs/>
          <w:sz w:val="32"/>
          <w:szCs w:val="32"/>
          <w:lang w:eastAsia="zh-CN"/>
        </w:rPr>
        <w:t>三是</w:t>
      </w:r>
      <w:r>
        <w:rPr>
          <w:rFonts w:hint="eastAsia" w:ascii="楷体_GB2312" w:hAnsi="楷体_GB2312" w:eastAsia="楷体_GB2312" w:cs="楷体_GB2312"/>
          <w:b/>
          <w:bCs/>
          <w:sz w:val="32"/>
          <w:szCs w:val="32"/>
        </w:rPr>
        <w:t>强化基层基础建设，提升治理能力。</w:t>
      </w:r>
      <w:r>
        <w:rPr>
          <w:rFonts w:hint="eastAsia" w:ascii="仿宋_GB2312" w:hAnsi="仿宋_GB2312" w:eastAsia="仿宋_GB2312" w:cs="仿宋_GB2312"/>
          <w:sz w:val="32"/>
          <w:szCs w:val="32"/>
        </w:rPr>
        <w:t>推动23个司法所全部获评“全省规范化司法所”，基层阵地全面夯实。高效完成市专门学校筹建及相关保障工作，助力学校如期开学。</w:t>
      </w:r>
      <w:r>
        <w:rPr>
          <w:rFonts w:hint="eastAsia" w:ascii="楷体_GB2312" w:hAnsi="楷体_GB2312" w:eastAsia="楷体_GB2312" w:cs="楷体_GB2312"/>
          <w:b/>
          <w:bCs/>
          <w:sz w:val="32"/>
          <w:szCs w:val="32"/>
          <w:lang w:eastAsia="zh-CN"/>
        </w:rPr>
        <w:t>四是</w:t>
      </w:r>
      <w:r>
        <w:rPr>
          <w:rFonts w:hint="eastAsia" w:ascii="楷体_GB2312" w:hAnsi="楷体_GB2312" w:eastAsia="楷体_GB2312" w:cs="楷体_GB2312"/>
          <w:b/>
          <w:bCs/>
          <w:sz w:val="32"/>
          <w:szCs w:val="32"/>
        </w:rPr>
        <w:t>深化监地协作共建，延伸帮教触角。</w:t>
      </w:r>
      <w:r>
        <w:rPr>
          <w:rFonts w:hint="eastAsia" w:ascii="仿宋_GB2312" w:hAnsi="仿宋_GB2312" w:eastAsia="仿宋_GB2312" w:cs="仿宋_GB2312"/>
          <w:sz w:val="32"/>
          <w:szCs w:val="32"/>
          <w:lang w:eastAsia="zh-CN"/>
        </w:rPr>
        <w:t>统筹推进“五项工作”，</w:t>
      </w:r>
      <w:r>
        <w:rPr>
          <w:rFonts w:hint="eastAsia" w:ascii="仿宋_GB2312" w:hAnsi="仿宋_GB2312" w:eastAsia="仿宋_GB2312" w:cs="仿宋_GB2312"/>
          <w:sz w:val="32"/>
          <w:szCs w:val="32"/>
        </w:rPr>
        <w:t>构建“主要领导挂帅、全链条推进”机制，建成驻狱法律援助站、调解室、警示教育基地5个。联合开展“普法进高墙”活动10余场，以“全周期”管理助力服刑人员改造回归，推动安全稳定从“末端管控”向“源头治理”延伸。</w:t>
      </w:r>
      <w:r>
        <w:rPr>
          <w:rFonts w:eastAsia="仿宋_GB2312"/>
          <w:color w:val="000000"/>
          <w:sz w:val="32"/>
          <w:szCs w:val="32"/>
        </w:rPr>
        <w:t>总结归纳本部门（单位）“四本预算”支出的绩效目标完成情况，实现产出和取得效益的情况。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14:paraId="76F6F0F7">
      <w:pPr>
        <w:pStyle w:val="14"/>
        <w:spacing w:line="57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0AAED198">
      <w:pPr>
        <w:spacing w:line="570" w:lineRule="exact"/>
        <w:ind w:firstLine="640" w:firstLineChars="200"/>
        <w:rPr>
          <w:rFonts w:hint="eastAsia" w:eastAsia="仿宋_GB2312"/>
          <w:sz w:val="32"/>
          <w:szCs w:val="32"/>
        </w:rPr>
      </w:pPr>
      <w:r>
        <w:rPr>
          <w:rFonts w:hint="eastAsia" w:eastAsia="仿宋_GB2312"/>
          <w:sz w:val="32"/>
          <w:szCs w:val="32"/>
        </w:rPr>
        <w:t>我局202</w:t>
      </w:r>
      <w:r>
        <w:rPr>
          <w:rFonts w:hint="eastAsia" w:eastAsia="仿宋_GB2312"/>
          <w:sz w:val="32"/>
          <w:szCs w:val="32"/>
          <w:lang w:val="en-US" w:eastAsia="zh-CN"/>
        </w:rPr>
        <w:t>5</w:t>
      </w:r>
      <w:r>
        <w:rPr>
          <w:rFonts w:hint="eastAsia" w:eastAsia="仿宋_GB2312"/>
          <w:sz w:val="32"/>
          <w:szCs w:val="32"/>
        </w:rPr>
        <w:t>年预算绩效管理过程中主要有上级转移支付资金到位不及时、未达到本年度政府采购预算计划等问题。主要原因：一是转移支付资金分批下达且一般年中才到位，一定程度上影响了项目资金支出的时效和使用效益。二是虽年初做足政府采购计划，但会因为采购项目调整、采购项目实际批复的情况，可能会导致未足额达到年初采购份额，从而出现偏离绩效目标的情况。</w:t>
      </w:r>
    </w:p>
    <w:p w14:paraId="0A040124">
      <w:pPr>
        <w:spacing w:line="570" w:lineRule="exact"/>
        <w:ind w:firstLine="640" w:firstLineChars="200"/>
        <w:rPr>
          <w:rFonts w:eastAsia="黑体"/>
          <w:sz w:val="32"/>
          <w:szCs w:val="32"/>
        </w:rPr>
      </w:pPr>
      <w:r>
        <w:rPr>
          <w:rFonts w:eastAsia="黑体"/>
          <w:sz w:val="32"/>
          <w:szCs w:val="32"/>
        </w:rPr>
        <w:t>八、下一步改进措施</w:t>
      </w:r>
    </w:p>
    <w:p w14:paraId="1F9DD8EE">
      <w:pPr>
        <w:spacing w:line="570" w:lineRule="exact"/>
        <w:ind w:firstLine="640" w:firstLineChars="200"/>
        <w:rPr>
          <w:rFonts w:hint="eastAsia" w:ascii="Times New Roman" w:hAnsi="Times New Roman" w:eastAsia="仿宋_GB2312" w:cs="Times New Roman"/>
          <w:sz w:val="32"/>
          <w:szCs w:val="32"/>
          <w:lang w:val="en-US" w:eastAsia="zh-CN"/>
        </w:rPr>
      </w:pPr>
      <w:r>
        <w:rPr>
          <w:rFonts w:hint="eastAsia" w:eastAsia="仿宋_GB2312"/>
          <w:sz w:val="32"/>
          <w:szCs w:val="32"/>
        </w:rPr>
        <w:t>一是向省级</w:t>
      </w:r>
      <w:r>
        <w:rPr>
          <w:rFonts w:hint="eastAsia" w:ascii="Times New Roman" w:hAnsi="Times New Roman" w:eastAsia="仿宋_GB2312" w:cs="Times New Roman"/>
          <w:sz w:val="32"/>
          <w:szCs w:val="32"/>
        </w:rPr>
        <w:t>主管</w:t>
      </w:r>
      <w:r>
        <w:rPr>
          <w:rFonts w:hint="eastAsia" w:eastAsia="仿宋_GB2312"/>
          <w:sz w:val="32"/>
          <w:szCs w:val="32"/>
        </w:rPr>
        <w:t>部门争取及时拨付转移支付资金，以保证项目资金的到位率和拨付时效性。二是在年初安排部门政府采购预算时，要充分考虑实际需求以及项目资金的批复情况来综合考虑尽量细化采购计划，从而使采购项目绩效目标不出现较大的偏差。</w:t>
      </w:r>
    </w:p>
    <w:p w14:paraId="69C5CAA1">
      <w:pPr>
        <w:spacing w:line="570" w:lineRule="exact"/>
        <w:ind w:firstLine="640" w:firstLineChars="200"/>
        <w:rPr>
          <w:rFonts w:eastAsia="黑体"/>
          <w:sz w:val="32"/>
          <w:szCs w:val="32"/>
        </w:rPr>
      </w:pPr>
      <w:r>
        <w:rPr>
          <w:rFonts w:eastAsia="黑体"/>
          <w:sz w:val="32"/>
          <w:szCs w:val="32"/>
        </w:rPr>
        <w:t>九、部门整体支出绩效自评结果拟应用和公开情况</w:t>
      </w:r>
    </w:p>
    <w:p w14:paraId="375A4B75">
      <w:pPr>
        <w:spacing w:line="57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经我局主要领导同意后，报送市财政主管部门审核后，按要求在门户网站上公开。</w:t>
      </w:r>
    </w:p>
    <w:p w14:paraId="666195BF">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14:paraId="48F0BBF0">
      <w:pPr>
        <w:spacing w:line="57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无。</w:t>
      </w:r>
    </w:p>
    <w:p w14:paraId="17D547E9">
      <w:pPr>
        <w:pStyle w:val="5"/>
        <w:ind w:left="0" w:leftChars="0" w:firstLine="0" w:firstLineChars="0"/>
        <w:rPr>
          <w:rFonts w:hint="eastAsia"/>
        </w:rPr>
      </w:pPr>
    </w:p>
    <w:p w14:paraId="36E97174">
      <w:pPr>
        <w:pStyle w:val="13"/>
        <w:spacing w:line="600" w:lineRule="exact"/>
        <w:ind w:firstLine="640" w:firstLineChars="200"/>
        <w:rPr>
          <w:rFonts w:ascii="Times New Roman" w:hAnsi="Times New Roman" w:eastAsia="仿宋_GB2312" w:cs="Times New Roman"/>
          <w:sz w:val="32"/>
          <w:szCs w:val="32"/>
        </w:rPr>
      </w:pPr>
    </w:p>
    <w:p w14:paraId="5AC5DC48">
      <w:pPr>
        <w:pStyle w:val="13"/>
        <w:jc w:val="center"/>
        <w:rPr>
          <w:rFonts w:ascii="Times New Roman" w:hAnsi="Times New Roman" w:cs="Times New Roman"/>
          <w:sz w:val="72"/>
          <w:szCs w:val="72"/>
        </w:rPr>
      </w:pPr>
    </w:p>
    <w:p w14:paraId="18E3C028">
      <w:pPr>
        <w:pStyle w:val="13"/>
        <w:jc w:val="center"/>
        <w:rPr>
          <w:rFonts w:ascii="Times New Roman" w:hAnsi="Times New Roman" w:cs="Times New Roman"/>
          <w:sz w:val="72"/>
          <w:szCs w:val="72"/>
        </w:rPr>
      </w:pPr>
    </w:p>
    <w:p w14:paraId="62329B7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0C9E2">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F6CE">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DBCFC">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3877">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800E7">
                          <w:pPr>
                            <w:pStyle w:val="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C3800E7">
                    <w:pPr>
                      <w:pStyle w:val="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E206D9A"/>
    <w:rsid w:val="1D97DEFF"/>
    <w:rsid w:val="1DFF72E5"/>
    <w:rsid w:val="1EFC6F07"/>
    <w:rsid w:val="2FDF85B8"/>
    <w:rsid w:val="2FFFEE04"/>
    <w:rsid w:val="34DF85B0"/>
    <w:rsid w:val="3B8F36BC"/>
    <w:rsid w:val="47A35B06"/>
    <w:rsid w:val="491FF225"/>
    <w:rsid w:val="4FFD214C"/>
    <w:rsid w:val="50C25EB2"/>
    <w:rsid w:val="5777D4F5"/>
    <w:rsid w:val="59DD8326"/>
    <w:rsid w:val="5DEF592A"/>
    <w:rsid w:val="5FC6BB1E"/>
    <w:rsid w:val="5FF720F1"/>
    <w:rsid w:val="62BB36D4"/>
    <w:rsid w:val="65D02E23"/>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2"/>
    <w:unhideWhenUsed/>
    <w:qFormat/>
    <w:uiPriority w:val="99"/>
    <w:pPr>
      <w:tabs>
        <w:tab w:val="center" w:pos="4153"/>
        <w:tab w:val="right" w:pos="8306"/>
      </w:tabs>
      <w:snapToGrid w:val="0"/>
      <w:jc w:val="left"/>
    </w:pPr>
    <w:rPr>
      <w:sz w:val="18"/>
      <w:szCs w:val="18"/>
    </w:rPr>
  </w:style>
  <w:style w:type="paragraph" w:styleId="3">
    <w:name w:val="index 5"/>
    <w:basedOn w:val="1"/>
    <w:next w:val="1"/>
    <w:qFormat/>
    <w:uiPriority w:val="0"/>
    <w:pPr>
      <w:ind w:left="800" w:leftChars="8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5"/>
    <w:semiHidden/>
    <w:unhideWhenUsed/>
    <w:qFormat/>
    <w:uiPriority w:val="99"/>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5"/>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2"/>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14152</Words>
  <Characters>15592</Characters>
  <Lines>69</Lines>
  <Paragraphs>19</Paragraphs>
  <TotalTime>4</TotalTime>
  <ScaleCrop>false</ScaleCrop>
  <LinksUpToDate>false</LinksUpToDate>
  <CharactersWithSpaces>16843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2026-09-22T03:10:44Z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59C46D61E5A0480ABD2C1DFD8A2D716C_13</vt:lpwstr>
  </property>
  <property fmtid="{D5CDD505-2E9C-101B-9397-08002B2CF9AE}" pid="4" name="KSOTemplateDocerSaveRecord">
    <vt:lpwstr>eyJoZGlkIjoiY2E5ODg5YzhjN2Q3NjYyYjkwMDFkMzYzZWViOGI4MzAifQ==</vt:lpwstr>
  </property>
</Properties>
</file>