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永州市公安局金洞分局</w:t>
      </w: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永州市公安局金洞分局概况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永州市公安局金洞分局</w:t>
      </w:r>
      <w:r>
        <w:rPr>
          <w:rFonts w:ascii="Times New Roman" w:hAnsi="Times New Roman" w:eastAsia="方正小标宋_GBK" w:cs="Times New Roman"/>
          <w:sz w:val="52"/>
          <w:szCs w:val="52"/>
        </w:rPr>
        <w:t>单位概况</w:t>
      </w:r>
    </w:p>
    <w:p>
      <w:pPr>
        <w:pStyle w:val="4"/>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27" w:firstLineChars="196"/>
        <w:jc w:val="left"/>
        <w:rPr>
          <w:rFonts w:hint="eastAsia" w:eastAsia="仿宋_GB2312"/>
          <w:sz w:val="32"/>
          <w:szCs w:val="32"/>
        </w:rPr>
      </w:pPr>
      <w:r>
        <w:rPr>
          <w:rFonts w:hint="eastAsia" w:asciiTheme="minorEastAsia" w:hAnsiTheme="minorEastAsia" w:eastAsiaTheme="minorEastAsia"/>
          <w:sz w:val="32"/>
          <w:szCs w:val="32"/>
          <w:lang w:val="en-US" w:eastAsia="zh-CN"/>
        </w:rPr>
        <w:t>依据《中华人民共和国宪法》《人民警察法》《中华人民共和国刑法》《中华人民共和国治安管理处罚法》等法律法规，依法维护国家安全和社会治安秩序，保护公民人身安全、人身自由与合法财产，保护公共财产，预防、制止和惩治违法犯罪活动；动态研判敌情与社会治安形势，维护社会大局稳定，保障人民群众安居乐业，护航社会主义现代化建设。立足内部管理提质增效，健全内控管理制度，推进财务管理规范化建设，为各项公安业务开展和公安队伍建设提供坚实经费保障。结合各单位业务履职经费需求，科学开展调研测算，合理编制年度资金预算，明晰经费保障标准，经费实行预算包干至各所队室，坚持节约留用、超支不补。预算编制过程中，严格落实经费保障向基层倾斜的政策导向，持续提升基层经费保障水平，夯实基层基础工作，为基层依法履职提供可靠支撑。</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27" w:firstLineChars="196"/>
        <w:jc w:val="both"/>
        <w:rPr>
          <w:rFonts w:hint="eastAsia" w:eastAsia="仿宋_GB2312"/>
          <w:sz w:val="32"/>
          <w:szCs w:val="32"/>
          <w:lang w:val="en-US" w:eastAsia="zh-CN"/>
        </w:rPr>
      </w:pPr>
      <w:r>
        <w:rPr>
          <w:rFonts w:ascii="Times New Roman" w:hAnsi="Times New Roman" w:eastAsia="仿宋_GB2312" w:cs="Times New Roman"/>
          <w:bCs/>
          <w:kern w:val="0"/>
          <w:sz w:val="32"/>
          <w:szCs w:val="32"/>
        </w:rPr>
        <w:t>（一）内设机构设置。</w:t>
      </w:r>
      <w:r>
        <w:rPr>
          <w:rFonts w:hint="eastAsia" w:eastAsia="仿宋_GB2312"/>
          <w:sz w:val="32"/>
          <w:szCs w:val="32"/>
        </w:rPr>
        <w:t>金洞公安分局为正科级单位，是永州市公安局直属分局，部门机构设置和人员编制根</w:t>
      </w:r>
      <w:r>
        <w:rPr>
          <w:rFonts w:hint="eastAsia" w:eastAsia="仿宋_GB2312"/>
          <w:sz w:val="32"/>
          <w:szCs w:val="32"/>
          <w:highlight w:val="none"/>
        </w:rPr>
        <w:t>据</w:t>
      </w:r>
      <w:r>
        <w:rPr>
          <w:rFonts w:hint="eastAsia" w:eastAsia="仿宋_GB2312"/>
          <w:sz w:val="32"/>
          <w:szCs w:val="32"/>
          <w:highlight w:val="none"/>
          <w:lang w:eastAsia="zh-CN"/>
        </w:rPr>
        <w:t>市委办</w:t>
      </w:r>
      <w:r>
        <w:rPr>
          <w:rFonts w:hint="eastAsia" w:eastAsia="仿宋_GB2312"/>
          <w:sz w:val="32"/>
          <w:szCs w:val="32"/>
          <w:highlight w:val="none"/>
        </w:rPr>
        <w:t>《永州市公安局金洞分局</w:t>
      </w:r>
      <w:r>
        <w:rPr>
          <w:rFonts w:hint="eastAsia" w:eastAsia="仿宋_GB2312"/>
          <w:sz w:val="32"/>
          <w:szCs w:val="32"/>
          <w:highlight w:val="none"/>
          <w:lang w:eastAsia="zh-CN"/>
        </w:rPr>
        <w:t>职能配置</w:t>
      </w:r>
      <w:r>
        <w:rPr>
          <w:rFonts w:hint="eastAsia" w:eastAsia="仿宋_GB2312"/>
          <w:sz w:val="32"/>
          <w:szCs w:val="32"/>
          <w:highlight w:val="none"/>
        </w:rPr>
        <w:t>、内设机构和人员编制规定》文件精神</w:t>
      </w:r>
      <w:r>
        <w:rPr>
          <w:rFonts w:hint="eastAsia" w:eastAsia="仿宋_GB2312"/>
          <w:sz w:val="32"/>
          <w:szCs w:val="32"/>
        </w:rPr>
        <w:t>，结合分局实际，编制核定如下：内设机构</w:t>
      </w:r>
      <w:r>
        <w:rPr>
          <w:rFonts w:hint="eastAsia" w:eastAsia="仿宋_GB2312"/>
          <w:sz w:val="32"/>
          <w:szCs w:val="32"/>
          <w:lang w:val="en-US" w:eastAsia="zh-CN"/>
        </w:rPr>
        <w:t>4</w:t>
      </w:r>
      <w:r>
        <w:rPr>
          <w:rFonts w:hint="eastAsia" w:eastAsia="仿宋_GB2312"/>
          <w:sz w:val="32"/>
          <w:szCs w:val="32"/>
        </w:rPr>
        <w:t>个，</w:t>
      </w:r>
      <w:r>
        <w:rPr>
          <w:rFonts w:hint="eastAsia" w:eastAsia="仿宋_GB2312"/>
          <w:sz w:val="32"/>
          <w:szCs w:val="32"/>
          <w:lang w:eastAsia="zh-CN"/>
        </w:rPr>
        <w:t>包括情报</w:t>
      </w:r>
      <w:r>
        <w:rPr>
          <w:rFonts w:hint="eastAsia" w:eastAsia="仿宋_GB2312"/>
          <w:sz w:val="32"/>
          <w:szCs w:val="32"/>
        </w:rPr>
        <w:t>指挥中心</w:t>
      </w:r>
      <w:r>
        <w:rPr>
          <w:rFonts w:hint="eastAsia" w:eastAsia="仿宋_GB2312"/>
          <w:sz w:val="32"/>
          <w:szCs w:val="32"/>
          <w:lang w:eastAsia="zh-CN"/>
        </w:rPr>
        <w:t>、</w:t>
      </w:r>
      <w:r>
        <w:rPr>
          <w:rFonts w:hint="eastAsia" w:eastAsia="仿宋_GB2312"/>
          <w:sz w:val="32"/>
          <w:szCs w:val="32"/>
        </w:rPr>
        <w:t>政工室</w:t>
      </w:r>
      <w:r>
        <w:rPr>
          <w:rFonts w:hint="eastAsia" w:eastAsia="仿宋_GB2312"/>
          <w:sz w:val="32"/>
          <w:szCs w:val="32"/>
          <w:lang w:eastAsia="zh-CN"/>
        </w:rPr>
        <w:t>、</w:t>
      </w:r>
      <w:r>
        <w:rPr>
          <w:rFonts w:hint="eastAsia" w:eastAsia="仿宋_GB2312"/>
          <w:sz w:val="32"/>
          <w:szCs w:val="32"/>
        </w:rPr>
        <w:t>治安</w:t>
      </w:r>
      <w:r>
        <w:rPr>
          <w:rFonts w:hint="eastAsia" w:eastAsia="仿宋_GB2312"/>
          <w:sz w:val="32"/>
          <w:szCs w:val="32"/>
          <w:lang w:eastAsia="zh-CN"/>
        </w:rPr>
        <w:t>管理</w:t>
      </w:r>
      <w:r>
        <w:rPr>
          <w:rFonts w:hint="eastAsia" w:eastAsia="仿宋_GB2312"/>
          <w:sz w:val="32"/>
          <w:szCs w:val="32"/>
        </w:rPr>
        <w:t>大队</w:t>
      </w:r>
      <w:r>
        <w:rPr>
          <w:rFonts w:hint="eastAsia" w:eastAsia="仿宋_GB2312"/>
          <w:sz w:val="32"/>
          <w:szCs w:val="32"/>
          <w:lang w:eastAsia="zh-CN"/>
        </w:rPr>
        <w:t>（留置看护大队）、刑事侦查</w:t>
      </w:r>
      <w:r>
        <w:rPr>
          <w:rFonts w:hint="eastAsia" w:eastAsia="仿宋_GB2312"/>
          <w:sz w:val="32"/>
          <w:szCs w:val="32"/>
        </w:rPr>
        <w:t>大队；派出所</w:t>
      </w:r>
      <w:r>
        <w:rPr>
          <w:rFonts w:hint="eastAsia" w:eastAsia="仿宋_GB2312"/>
          <w:sz w:val="32"/>
          <w:szCs w:val="32"/>
          <w:lang w:val="en-US" w:eastAsia="zh-CN"/>
        </w:rPr>
        <w:t>6</w:t>
      </w:r>
      <w:r>
        <w:rPr>
          <w:rFonts w:hint="eastAsia" w:eastAsia="仿宋_GB2312"/>
          <w:sz w:val="32"/>
          <w:szCs w:val="32"/>
        </w:rPr>
        <w:t>个，</w:t>
      </w:r>
      <w:r>
        <w:rPr>
          <w:rFonts w:hint="eastAsia" w:eastAsia="仿宋_GB2312"/>
          <w:sz w:val="32"/>
          <w:szCs w:val="32"/>
          <w:lang w:eastAsia="zh-CN"/>
        </w:rPr>
        <w:t>包括</w:t>
      </w:r>
      <w:r>
        <w:rPr>
          <w:rFonts w:hint="eastAsia" w:eastAsia="仿宋_GB2312"/>
          <w:sz w:val="32"/>
          <w:szCs w:val="32"/>
          <w:lang w:val="en-US" w:eastAsia="zh-CN"/>
        </w:rPr>
        <w:t>4个治安派出所，分别为</w:t>
      </w:r>
      <w:r>
        <w:rPr>
          <w:rFonts w:hint="eastAsia" w:eastAsia="仿宋_GB2312"/>
          <w:sz w:val="32"/>
          <w:szCs w:val="32"/>
        </w:rPr>
        <w:t>金洞派出所</w:t>
      </w:r>
      <w:r>
        <w:rPr>
          <w:rFonts w:hint="eastAsia" w:eastAsia="仿宋_GB2312"/>
          <w:sz w:val="32"/>
          <w:szCs w:val="32"/>
          <w:lang w:eastAsia="zh-CN"/>
        </w:rPr>
        <w:t>、</w:t>
      </w:r>
      <w:r>
        <w:rPr>
          <w:rFonts w:hint="eastAsia" w:eastAsia="仿宋_GB2312"/>
          <w:sz w:val="32"/>
          <w:szCs w:val="32"/>
        </w:rPr>
        <w:t>石鼓源派出所</w:t>
      </w:r>
      <w:r>
        <w:rPr>
          <w:rFonts w:hint="eastAsia" w:eastAsia="仿宋_GB2312"/>
          <w:sz w:val="32"/>
          <w:szCs w:val="32"/>
          <w:lang w:eastAsia="zh-CN"/>
        </w:rPr>
        <w:t>、</w:t>
      </w:r>
      <w:r>
        <w:rPr>
          <w:rFonts w:hint="eastAsia" w:eastAsia="仿宋_GB2312"/>
          <w:sz w:val="32"/>
          <w:szCs w:val="32"/>
        </w:rPr>
        <w:t>晒北滩派出所</w:t>
      </w:r>
      <w:r>
        <w:rPr>
          <w:rFonts w:hint="eastAsia" w:eastAsia="仿宋_GB2312"/>
          <w:sz w:val="32"/>
          <w:szCs w:val="32"/>
          <w:lang w:eastAsia="zh-CN"/>
        </w:rPr>
        <w:t>、</w:t>
      </w:r>
      <w:r>
        <w:rPr>
          <w:rFonts w:hint="eastAsia" w:eastAsia="仿宋_GB2312"/>
          <w:sz w:val="32"/>
          <w:szCs w:val="32"/>
        </w:rPr>
        <w:t>凤凰派出所</w:t>
      </w:r>
      <w:r>
        <w:rPr>
          <w:rFonts w:hint="eastAsia" w:eastAsia="仿宋_GB2312"/>
          <w:sz w:val="32"/>
          <w:szCs w:val="32"/>
          <w:lang w:eastAsia="zh-CN"/>
        </w:rPr>
        <w:t>，森林派出所</w:t>
      </w:r>
      <w:r>
        <w:rPr>
          <w:rFonts w:hint="eastAsia" w:eastAsia="仿宋_GB2312"/>
          <w:sz w:val="32"/>
          <w:szCs w:val="32"/>
          <w:lang w:val="en-US" w:eastAsia="zh-CN"/>
        </w:rPr>
        <w:t>2</w:t>
      </w:r>
      <w:r>
        <w:rPr>
          <w:rFonts w:hint="eastAsia" w:eastAsia="仿宋_GB2312"/>
          <w:sz w:val="32"/>
          <w:szCs w:val="32"/>
          <w:lang w:eastAsia="zh-CN"/>
        </w:rPr>
        <w:t>个，分别为</w:t>
      </w:r>
      <w:r>
        <w:rPr>
          <w:rFonts w:hint="eastAsia" w:eastAsia="仿宋_GB2312"/>
          <w:sz w:val="32"/>
          <w:szCs w:val="32"/>
        </w:rPr>
        <w:t>小金洞</w:t>
      </w:r>
      <w:r>
        <w:rPr>
          <w:rFonts w:hint="eastAsia" w:eastAsia="仿宋_GB2312"/>
          <w:sz w:val="32"/>
          <w:szCs w:val="32"/>
          <w:lang w:eastAsia="zh-CN"/>
        </w:rPr>
        <w:t>森林</w:t>
      </w:r>
      <w:r>
        <w:rPr>
          <w:rFonts w:hint="eastAsia" w:eastAsia="仿宋_GB2312"/>
          <w:sz w:val="32"/>
          <w:szCs w:val="32"/>
        </w:rPr>
        <w:t>派出所</w:t>
      </w:r>
      <w:r>
        <w:rPr>
          <w:rFonts w:hint="eastAsia" w:eastAsia="仿宋_GB2312"/>
          <w:sz w:val="32"/>
          <w:szCs w:val="32"/>
          <w:lang w:eastAsia="zh-CN"/>
        </w:rPr>
        <w:t>、白果市森林</w:t>
      </w:r>
      <w:r>
        <w:rPr>
          <w:rFonts w:hint="eastAsia" w:eastAsia="仿宋_GB2312"/>
          <w:sz w:val="32"/>
          <w:szCs w:val="32"/>
        </w:rPr>
        <w:t>派出所。</w:t>
      </w:r>
      <w:r>
        <w:rPr>
          <w:rFonts w:hint="eastAsia" w:eastAsia="仿宋_GB2312"/>
          <w:sz w:val="32"/>
          <w:szCs w:val="32"/>
          <w:lang w:eastAsia="zh-CN"/>
        </w:rPr>
        <w:t>单位行政编制总数53名，截至2025年12月，行政在职实发工资人数50人，退休人员27人。另有警务辅助人员编制</w:t>
      </w:r>
      <w:r>
        <w:rPr>
          <w:rFonts w:hint="eastAsia" w:eastAsia="仿宋_GB2312"/>
          <w:sz w:val="32"/>
          <w:szCs w:val="32"/>
          <w:lang w:val="en-US" w:eastAsia="zh-CN"/>
        </w:rPr>
        <w:t>61名</w:t>
      </w:r>
      <w:r>
        <w:rPr>
          <w:rFonts w:hint="eastAsia" w:eastAsia="仿宋_GB2312"/>
          <w:sz w:val="32"/>
          <w:szCs w:val="32"/>
          <w:lang w:eastAsia="zh-CN"/>
        </w:rPr>
        <w:t>。</w:t>
      </w:r>
    </w:p>
    <w:p>
      <w:pPr>
        <w:widowControl/>
        <w:spacing w:line="600" w:lineRule="exact"/>
        <w:ind w:firstLine="627" w:firstLineChars="196"/>
        <w:jc w:val="both"/>
        <w:rPr>
          <w:rFonts w:hint="eastAsia" w:eastAsia="仿宋_GB2312"/>
          <w:sz w:val="32"/>
          <w:szCs w:val="32"/>
          <w:lang w:eastAsia="zh-CN"/>
        </w:rPr>
      </w:pPr>
      <w:r>
        <w:rPr>
          <w:rFonts w:hint="eastAsia" w:eastAsia="仿宋_GB2312"/>
          <w:sz w:val="32"/>
          <w:szCs w:val="32"/>
        </w:rPr>
        <w:t>（二）决算单位构成。</w:t>
      </w:r>
      <w:r>
        <w:rPr>
          <w:rFonts w:hint="eastAsia" w:eastAsia="仿宋_GB2312"/>
          <w:sz w:val="32"/>
          <w:szCs w:val="32"/>
          <w:lang w:eastAsia="zh-CN"/>
        </w:rPr>
        <w:t>永州市公安局金洞分局</w:t>
      </w:r>
      <w:r>
        <w:rPr>
          <w:rFonts w:hint="eastAsia" w:eastAsia="仿宋_GB2312"/>
          <w:sz w:val="32"/>
          <w:szCs w:val="32"/>
        </w:rPr>
        <w:t>20</w:t>
      </w:r>
      <w:r>
        <w:rPr>
          <w:rFonts w:hint="eastAsia" w:eastAsia="仿宋_GB2312"/>
          <w:sz w:val="32"/>
          <w:szCs w:val="32"/>
          <w:lang w:val="en-US" w:eastAsia="zh-CN"/>
        </w:rPr>
        <w:t>25</w:t>
      </w:r>
      <w:r>
        <w:rPr>
          <w:rFonts w:hint="eastAsia" w:eastAsia="仿宋_GB2312"/>
          <w:sz w:val="32"/>
          <w:szCs w:val="32"/>
        </w:rPr>
        <w:t>年部门决算汇总公开单位构成包括：</w:t>
      </w:r>
      <w:r>
        <w:rPr>
          <w:rFonts w:hint="eastAsia" w:eastAsia="仿宋_GB2312"/>
          <w:sz w:val="32"/>
          <w:szCs w:val="32"/>
          <w:lang w:eastAsia="zh-CN"/>
        </w:rPr>
        <w:t>永州市公安局金洞分局</w:t>
      </w:r>
      <w:r>
        <w:rPr>
          <w:rFonts w:hint="eastAsia" w:eastAsia="仿宋_GB2312"/>
          <w:sz w:val="32"/>
          <w:szCs w:val="32"/>
        </w:rPr>
        <w:t>本级</w:t>
      </w:r>
      <w:r>
        <w:rPr>
          <w:rFonts w:hint="eastAsia" w:eastAsia="仿宋_GB2312"/>
          <w:sz w:val="32"/>
          <w:szCs w:val="32"/>
          <w:lang w:eastAsia="zh-CN"/>
        </w:rPr>
        <w:t>。</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永州市公安局金洞分局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1360.12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1481.73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139.8</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358.74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37.26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0"/>
                <w:szCs w:val="20"/>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60.06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1718.86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1718.86</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1718.86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1718.86</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bidi="ar"/>
        </w:rPr>
        <w:t>永州市公安局金洞分局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354"/>
        <w:gridCol w:w="2350"/>
        <w:gridCol w:w="1450"/>
        <w:gridCol w:w="1312"/>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70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1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3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5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31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35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35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31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08" w:hRule="atLeast"/>
          <w:jc w:val="center"/>
        </w:trPr>
        <w:tc>
          <w:tcPr>
            <w:tcW w:w="370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286" w:hRule="atLeast"/>
          <w:jc w:val="center"/>
        </w:trPr>
        <w:tc>
          <w:tcPr>
            <w:tcW w:w="370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1718.86</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1360.12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358.74</w:t>
            </w: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2040201</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774.24</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774.24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6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2040202</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22</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2040220</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执法办案</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120.15</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120.15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2040299</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其他公安支出</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565.34</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206.6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358.74</w:t>
            </w: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机关事业单位基本养老保险缴费支出</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72.69</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72.69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2080599</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其他行政事业单位养老支出</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45.49</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45.49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21.62</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21.62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2101101</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31.06</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31.06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2101103</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公务员医疗补助</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6.2</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2210201</w:t>
            </w:r>
          </w:p>
        </w:tc>
        <w:tc>
          <w:tcPr>
            <w:tcW w:w="2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住房公积金</w:t>
            </w: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60.06</w:t>
            </w:r>
          </w:p>
        </w:tc>
        <w:tc>
          <w:tcPr>
            <w:tcW w:w="13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60.06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永州市公安局金洞分局</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2025"/>
        <w:gridCol w:w="4056"/>
        <w:gridCol w:w="1477"/>
        <w:gridCol w:w="996"/>
        <w:gridCol w:w="936"/>
        <w:gridCol w:w="1480"/>
        <w:gridCol w:w="937"/>
        <w:gridCol w:w="2302"/>
      </w:tblGrid>
      <w:tr>
        <w:tblPrEx>
          <w:tblCellMar>
            <w:top w:w="0" w:type="dxa"/>
            <w:left w:w="108" w:type="dxa"/>
            <w:bottom w:w="0" w:type="dxa"/>
            <w:right w:w="108" w:type="dxa"/>
          </w:tblCellMar>
        </w:tblPrEx>
        <w:trPr>
          <w:trHeight w:val="595" w:hRule="atLeast"/>
          <w:jc w:val="center"/>
        </w:trPr>
        <w:tc>
          <w:tcPr>
            <w:tcW w:w="214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2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2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1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27"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1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1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2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1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1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2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3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3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2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3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1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359" w:hRule="atLeast"/>
          <w:jc w:val="center"/>
        </w:trPr>
        <w:tc>
          <w:tcPr>
            <w:tcW w:w="21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1718.86</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1061.55</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657.31</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09"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2040201</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行政运行</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774.24</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774.24</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88"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2040202</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一般行政管理事务</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38"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2040220</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执法办案</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120.15</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120.15</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31"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2040299</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其他公安支出</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565.34</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505.34</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37"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2080505</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机关事业单位基本养老保险缴费支出</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72.69</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72.69</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45"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2080599</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其他行政事业单位养老支出</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45.49</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45.49</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10"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2080801</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死亡抚恤</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21.62</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17.99</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3.62</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45"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2101101</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行政单位医疗</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31.06</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31.06</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88"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2101103</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公务员医疗补助</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6.2</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6.2</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r>
        <w:trPr>
          <w:trHeight w:val="527" w:hRule="atLeast"/>
          <w:jc w:val="center"/>
        </w:trPr>
        <w:tc>
          <w:tcPr>
            <w:tcW w:w="71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2210201</w:t>
            </w:r>
          </w:p>
        </w:tc>
        <w:tc>
          <w:tcPr>
            <w:tcW w:w="142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住房公积金</w:t>
            </w: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60.06</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60.06</w:t>
            </w: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2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33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812"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永州市公安局金洞分局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381"/>
        <w:gridCol w:w="543"/>
        <w:gridCol w:w="1139"/>
        <w:gridCol w:w="2637"/>
        <w:gridCol w:w="616"/>
        <w:gridCol w:w="931"/>
        <w:gridCol w:w="1584"/>
        <w:gridCol w:w="1700"/>
        <w:gridCol w:w="1689"/>
      </w:tblGrid>
      <w:tr>
        <w:tblPrEx>
          <w:tblCellMar>
            <w:top w:w="0" w:type="dxa"/>
            <w:left w:w="108" w:type="dxa"/>
            <w:bottom w:w="0" w:type="dxa"/>
            <w:right w:w="108" w:type="dxa"/>
          </w:tblCellMar>
        </w:tblPrEx>
        <w:trPr>
          <w:trHeight w:val="402" w:hRule="atLeast"/>
          <w:jc w:val="center"/>
        </w:trPr>
        <w:tc>
          <w:tcPr>
            <w:tcW w:w="506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5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93"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3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8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8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3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8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1360.12</w:t>
            </w: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1123</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1123</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139.8</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139.8</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37.26</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37.26</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0"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60.06</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60.06</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23"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3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1360.12</w:t>
            </w: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1360.12</w:t>
            </w: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1360.12</w:t>
            </w: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389"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81"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54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81"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43"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3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1360.12</w:t>
            </w: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3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1360.12</w:t>
            </w:r>
            <w:r>
              <w:rPr>
                <w:rFonts w:ascii="Times New Roman" w:hAnsi="Times New Roman" w:eastAsia="仿宋_GB2312" w:cs="Times New Roman"/>
                <w:kern w:val="0"/>
                <w:sz w:val="22"/>
              </w:rPr>
              <w:t>　</w:t>
            </w:r>
          </w:p>
        </w:tc>
        <w:tc>
          <w:tcPr>
            <w:tcW w:w="158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1360.12</w:t>
            </w:r>
            <w:r>
              <w:rPr>
                <w:rFonts w:ascii="Times New Roman" w:hAnsi="Times New Roman" w:eastAsia="仿宋_GB2312" w:cs="Times New Roman"/>
                <w:kern w:val="0"/>
                <w:sz w:val="22"/>
              </w:rPr>
              <w:t>　</w:t>
            </w:r>
          </w:p>
        </w:tc>
        <w:tc>
          <w:tcPr>
            <w:tcW w:w="17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6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永州市公安金洞分局</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4095"/>
        <w:gridCol w:w="2129"/>
        <w:gridCol w:w="3271"/>
        <w:gridCol w:w="3524"/>
      </w:tblGrid>
      <w:tr>
        <w:tblPrEx>
          <w:tblCellMar>
            <w:top w:w="0" w:type="dxa"/>
            <w:left w:w="108" w:type="dxa"/>
            <w:bottom w:w="0" w:type="dxa"/>
            <w:right w:w="108" w:type="dxa"/>
          </w:tblCellMar>
        </w:tblPrEx>
        <w:trPr>
          <w:trHeight w:val="545" w:hRule="atLeast"/>
          <w:jc w:val="center"/>
        </w:trPr>
        <w:tc>
          <w:tcPr>
            <w:tcW w:w="529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24"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09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12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524"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09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2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7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09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2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7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29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29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1360.12</w:t>
            </w:r>
          </w:p>
        </w:tc>
        <w:tc>
          <w:tcPr>
            <w:tcW w:w="3271"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1001.55</w:t>
            </w: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358.58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2040201</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行政运行</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774.24</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774.24</w:t>
            </w: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2040202</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一般行政管理事务</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2040220</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执法办案</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120.15</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120.15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2040299</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其他公安支出</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206.6</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2080505</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机关事业单位基本养老保险缴费支出</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72.69</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72.69</w:t>
            </w: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2080599</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其他行政事业单位养老支出</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45.49</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45.49</w:t>
            </w: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2080801</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死亡抚恤</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21.62</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17.99</w:t>
            </w: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3.62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2101101</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行政单位医疗</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31.06</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31.06</w:t>
            </w: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2101103</w:t>
            </w:r>
          </w:p>
        </w:tc>
        <w:tc>
          <w:tcPr>
            <w:tcW w:w="4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公务员医疗补助</w:t>
            </w:r>
          </w:p>
        </w:tc>
        <w:tc>
          <w:tcPr>
            <w:tcW w:w="212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6.2</w:t>
            </w:r>
          </w:p>
        </w:tc>
        <w:tc>
          <w:tcPr>
            <w:tcW w:w="32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52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2210201</w:t>
            </w:r>
          </w:p>
        </w:tc>
        <w:tc>
          <w:tcPr>
            <w:tcW w:w="4095"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住房公积金</w:t>
            </w:r>
          </w:p>
        </w:tc>
        <w:tc>
          <w:tcPr>
            <w:tcW w:w="2129"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60.06</w:t>
            </w:r>
          </w:p>
        </w:tc>
        <w:tc>
          <w:tcPr>
            <w:tcW w:w="3271"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524"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60.06</w:t>
            </w:r>
          </w:p>
        </w:tc>
      </w:tr>
    </w:tbl>
    <w:p>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 xml:space="preserve">永州市公安局金洞分局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798.27</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139.79</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256.96</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229.85</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147.64</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72.69</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31.06</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60.06</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63.49</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7.95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17.99</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45.49</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pPr>
              <w:widowControl/>
              <w:jc w:val="center"/>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pPr>
              <w:widowControl/>
              <w:jc w:val="center"/>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pPr>
              <w:widowControl/>
              <w:jc w:val="center"/>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36.13</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10.66</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861.75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139.79</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 xml:space="preserve">永州市公安局金洞分局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 xml:space="preserve">永州市公安局金洞分局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 xml:space="preserve">永州市公安局金洞分局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2025年度收、支总计1718.86万元。与上年相比，增加92.37万元，增长5.68%，主要是本年度新招录民警入职，人员编制数量增加，导致人员经费、社保缴费、公用保障经费相应增加，整体收支规模有所增长。</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过紧日子”工作要求，坚持厉行节约、勤俭办事，从严从紧管控一般性支出，持续压减办公运行、会议培训、日常行政等非刚性、非重点支出，严格规范“三公”经费管理。坚持有保有压、统筹兼顾，持续优化财政支出结构，大力盘活存量资金、提升资金使用效益，集中财力保障公安警务运行、基层履职保障、专项业务开展等重点领域支出，实现财政资源精准高效配置。</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1718.86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1360.12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79.13</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358.74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20.87</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1718.86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1061.55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61.76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657.31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1718.86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92.37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增长5.68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主要为新招录民警入职，人员经费、配套公用经费刚性增加，加之上级统筹安排无房派出所建设专项经费所致。</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1360.12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79.13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69.46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5.38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主要为新招录民警入职，人员经费、配套公用经费刚性增加，加之上级统筹安排无房派出所建设专项经费所致。</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1360.12</w:t>
      </w:r>
      <w:r>
        <w:rPr>
          <w:rFonts w:hint="eastAsia"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公共安全</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公安</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支出1123万元，占82.57%；社会保障和就业支出</w:t>
      </w:r>
      <w:r>
        <w:rPr>
          <w:rFonts w:hint="eastAsia"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139.8</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10.28</w:t>
      </w:r>
      <w:r>
        <w:rPr>
          <w:rFonts w:hint="eastAsia" w:ascii="Times New Roman" w:hAnsi="Times New Roman" w:eastAsia="仿宋_GB2312" w:cs="Times New Roman"/>
          <w:sz w:val="32"/>
          <w:szCs w:val="32"/>
        </w:rPr>
        <w:t>%；卫生健康支出（类）支出</w:t>
      </w:r>
      <w:r>
        <w:rPr>
          <w:rFonts w:hint="eastAsia" w:ascii="Times New Roman" w:hAnsi="Times New Roman" w:eastAsia="仿宋_GB2312" w:cs="Times New Roman"/>
          <w:sz w:val="32"/>
          <w:szCs w:val="32"/>
          <w:lang w:val="en-US" w:eastAsia="zh-CN"/>
        </w:rPr>
        <w:t>37.26</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2.73</w:t>
      </w:r>
      <w:r>
        <w:rPr>
          <w:rFonts w:hint="eastAsia" w:ascii="Times New Roman" w:hAnsi="Times New Roman" w:eastAsia="仿宋_GB2312" w:cs="Times New Roman"/>
          <w:sz w:val="32"/>
          <w:szCs w:val="32"/>
        </w:rPr>
        <w:t>%；住房保障（类）支出</w:t>
      </w:r>
      <w:r>
        <w:rPr>
          <w:rFonts w:hint="eastAsia" w:ascii="Times New Roman" w:hAnsi="Times New Roman" w:eastAsia="仿宋_GB2312" w:cs="Times New Roman"/>
          <w:sz w:val="32"/>
          <w:szCs w:val="32"/>
          <w:lang w:val="en-US" w:eastAsia="zh-CN"/>
        </w:rPr>
        <w:t>60.06</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4.42</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1086.01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1360.12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125.24</w:t>
      </w:r>
      <w:r>
        <w:rPr>
          <w:rFonts w:ascii="Times New Roman" w:hAnsi="Times New Roman" w:eastAsia="仿宋_GB2312" w:cs="Times New Roman"/>
          <w:sz w:val="32"/>
          <w:szCs w:val="32"/>
        </w:rPr>
        <w:t>%，其中：</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公共安全</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720.3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774.24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决算数大于年初预算数，主要是本年度新招录民警入职，年中上级统筹追加人员经费及公用保障经费，相应增加基本支出。</w:t>
      </w:r>
      <w:r>
        <w:rPr>
          <w:rFonts w:hint="eastAsia" w:ascii="Times New Roman" w:hAnsi="Times New Roman" w:eastAsia="仿宋_GB2312" w:cs="Times New Roman"/>
          <w:sz w:val="32"/>
          <w:szCs w:val="32"/>
          <w:lang w:val="en-US" w:eastAsia="zh-CN"/>
        </w:rPr>
        <w:t xml:space="preserve"> </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eastAsia="zh-CN"/>
        </w:rPr>
        <w:t>公共安全</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一般行政管理事务</w:t>
      </w:r>
      <w:r>
        <w:rPr>
          <w:rFonts w:hint="eastAsia" w:ascii="Times New Roman" w:hAnsi="Times New Roman" w:eastAsia="仿宋_GB2312"/>
          <w:sz w:val="32"/>
          <w:szCs w:val="32"/>
        </w:rPr>
        <w:t>（项）。</w:t>
      </w:r>
    </w:p>
    <w:p>
      <w:pPr>
        <w:pStyle w:val="13"/>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决算数大于年初预算数的主要原因是：年初未编制该项预算，为年中追加安排的一般行政管理事务（项）专项经费。</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公共安全</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执法办案</w:t>
      </w:r>
      <w:r>
        <w:rPr>
          <w:rFonts w:hint="eastAsia" w:ascii="Times New Roman" w:hAnsi="Times New Roman" w:eastAsia="仿宋_GB2312"/>
          <w:sz w:val="32"/>
          <w:szCs w:val="32"/>
        </w:rPr>
        <w:t>（项）。</w:t>
      </w:r>
    </w:p>
    <w:p>
      <w:pPr>
        <w:pStyle w:val="13"/>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120.15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 xml:space="preserve">决算数小于年初预算数的主要原因是厉行节约，从严管控办案开支，部分办案事项压减，经费节约使用，形成结余。 </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公共安全</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其他公安支出</w:t>
      </w:r>
      <w:r>
        <w:rPr>
          <w:rFonts w:hint="eastAsia" w:ascii="Times New Roman" w:hAnsi="Times New Roman" w:eastAsia="仿宋_GB2312"/>
          <w:sz w:val="32"/>
          <w:szCs w:val="32"/>
        </w:rPr>
        <w:t>（项）。</w:t>
      </w:r>
    </w:p>
    <w:p>
      <w:pPr>
        <w:pStyle w:val="13"/>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81</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206.6</w:t>
      </w:r>
      <w:r>
        <w:rPr>
          <w:rFonts w:hint="eastAsia" w:ascii="Times New Roman" w:hAnsi="Times New Roman" w:eastAsia="仿宋_GB2312"/>
          <w:sz w:val="32"/>
          <w:szCs w:val="32"/>
          <w:lang w:eastAsia="zh-CN"/>
        </w:rPr>
        <w:t>万元，决算数大于年初预算数的主要原因是年中</w:t>
      </w:r>
      <w:r>
        <w:rPr>
          <w:rFonts w:hint="eastAsia" w:ascii="Times New Roman" w:hAnsi="Times New Roman" w:eastAsia="仿宋_GB2312"/>
          <w:sz w:val="32"/>
          <w:szCs w:val="32"/>
          <w:lang w:val="en-US" w:eastAsia="zh-CN"/>
        </w:rPr>
        <w:t>追加</w:t>
      </w:r>
      <w:r>
        <w:rPr>
          <w:rFonts w:hint="eastAsia" w:ascii="Times New Roman" w:hAnsi="Times New Roman" w:eastAsia="仿宋_GB2312"/>
          <w:sz w:val="32"/>
          <w:szCs w:val="32"/>
          <w:lang w:eastAsia="zh-CN"/>
        </w:rPr>
        <w:t>安排无房派出所建设专项经费</w:t>
      </w:r>
      <w:r>
        <w:rPr>
          <w:rFonts w:hint="eastAsia" w:ascii="Times New Roman" w:hAnsi="Times New Roman" w:eastAsia="仿宋_GB2312"/>
          <w:sz w:val="32"/>
          <w:szCs w:val="32"/>
          <w:lang w:val="en-US" w:eastAsia="zh-CN"/>
        </w:rPr>
        <w:t>及</w:t>
      </w:r>
      <w:r>
        <w:rPr>
          <w:rFonts w:hint="eastAsia" w:ascii="Times New Roman" w:hAnsi="Times New Roman" w:eastAsia="仿宋_GB2312"/>
          <w:sz w:val="32"/>
          <w:szCs w:val="32"/>
          <w:lang w:eastAsia="zh-CN"/>
        </w:rPr>
        <w:t>其他公安业务新增项目，相关支出相应增加。</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机关事业单位基本养老保险缴费支出</w:t>
      </w:r>
      <w:r>
        <w:rPr>
          <w:rFonts w:hint="eastAsia" w:ascii="Times New Roman" w:hAnsi="Times New Roman" w:eastAsia="仿宋_GB2312"/>
          <w:sz w:val="32"/>
          <w:szCs w:val="32"/>
        </w:rPr>
        <w:t>（项）。</w:t>
      </w:r>
    </w:p>
    <w:p>
      <w:pPr>
        <w:pStyle w:val="13"/>
        <w:ind w:firstLine="960" w:firstLineChars="3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71.4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72.69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决算数大于年初预算数的主要原因是本年度新招录民警到岗，养老保险缴费基数增加，缴费支出相应增长。</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其他行政事业单位养老支出</w:t>
      </w:r>
      <w:r>
        <w:rPr>
          <w:rFonts w:hint="eastAsia" w:ascii="Times New Roman" w:hAnsi="Times New Roman" w:eastAsia="仿宋_GB2312"/>
          <w:sz w:val="32"/>
          <w:szCs w:val="32"/>
        </w:rPr>
        <w:t>（项）。</w:t>
      </w:r>
    </w:p>
    <w:p>
      <w:pPr>
        <w:pStyle w:val="13"/>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45.49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决算数大于年初预算数的主要原因是：年初未编制该项预算，为年中追加安排的</w:t>
      </w:r>
      <w:r>
        <w:rPr>
          <w:rFonts w:hint="eastAsia" w:ascii="Times New Roman" w:hAnsi="Times New Roman" w:eastAsia="仿宋_GB2312"/>
          <w:sz w:val="32"/>
          <w:szCs w:val="32"/>
          <w:lang w:eastAsia="zh-CN"/>
        </w:rPr>
        <w:t>其他行政事业单位养老支出</w:t>
      </w:r>
      <w:r>
        <w:rPr>
          <w:rFonts w:hint="eastAsia" w:ascii="Times New Roman" w:hAnsi="Times New Roman" w:eastAsia="仿宋_GB2312"/>
          <w:sz w:val="32"/>
          <w:szCs w:val="32"/>
        </w:rPr>
        <w:t>（项）</w:t>
      </w:r>
      <w:r>
        <w:rPr>
          <w:rFonts w:hint="eastAsia" w:ascii="Times New Roman" w:hAnsi="Times New Roman" w:eastAsia="仿宋_GB2312"/>
          <w:sz w:val="32"/>
          <w:szCs w:val="32"/>
          <w:lang w:val="en-US" w:eastAsia="zh-CN"/>
        </w:rPr>
        <w:t>经费。</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抚恤</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死亡抚恤</w:t>
      </w:r>
      <w:r>
        <w:rPr>
          <w:rFonts w:hint="eastAsia" w:ascii="Times New Roman" w:hAnsi="Times New Roman" w:eastAsia="仿宋_GB2312"/>
          <w:sz w:val="32"/>
          <w:szCs w:val="32"/>
        </w:rPr>
        <w:t>（项）。</w:t>
      </w:r>
    </w:p>
    <w:p>
      <w:pPr>
        <w:pStyle w:val="13"/>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21.62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决算数大于年初预算数的主要原因是：年初未编制该项预算，为年中追加安排的</w:t>
      </w:r>
      <w:r>
        <w:rPr>
          <w:rFonts w:hint="eastAsia" w:ascii="Times New Roman" w:hAnsi="Times New Roman" w:eastAsia="仿宋_GB2312"/>
          <w:sz w:val="32"/>
          <w:szCs w:val="32"/>
          <w:lang w:eastAsia="zh-CN"/>
        </w:rPr>
        <w:t>抚恤</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死亡抚恤</w:t>
      </w:r>
      <w:r>
        <w:rPr>
          <w:rFonts w:hint="eastAsia" w:ascii="Times New Roman" w:hAnsi="Times New Roman" w:eastAsia="仿宋_GB2312"/>
          <w:sz w:val="32"/>
          <w:szCs w:val="32"/>
        </w:rPr>
        <w:t>（项）</w:t>
      </w:r>
      <w:r>
        <w:rPr>
          <w:rFonts w:hint="eastAsia" w:ascii="Times New Roman" w:hAnsi="Times New Roman" w:eastAsia="仿宋_GB2312"/>
          <w:sz w:val="32"/>
          <w:szCs w:val="32"/>
          <w:lang w:val="en-US" w:eastAsia="zh-CN"/>
        </w:rPr>
        <w:t>经费。</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pPr>
        <w:pStyle w:val="13"/>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30.42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31.06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决算数大于年初预算数主要是本年度新招录民警入职，医疗缴费人员基数增加，医疗缴费支出相应增加。</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公务员医疗补助</w:t>
      </w:r>
      <w:r>
        <w:rPr>
          <w:rFonts w:hint="eastAsia" w:ascii="Times New Roman" w:hAnsi="Times New Roman" w:eastAsia="仿宋_GB2312"/>
          <w:sz w:val="32"/>
          <w:szCs w:val="32"/>
        </w:rPr>
        <w:t>（项）。</w:t>
      </w:r>
    </w:p>
    <w:p>
      <w:pPr>
        <w:pStyle w:val="13"/>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决算数大于年初预算数的主要原因是：年初未编制该项预算，为年中追加安排的</w:t>
      </w:r>
      <w:r>
        <w:rPr>
          <w:rFonts w:hint="eastAsia" w:ascii="Times New Roman" w:hAnsi="Times New Roman" w:eastAsia="仿宋_GB2312"/>
          <w:sz w:val="32"/>
          <w:szCs w:val="32"/>
          <w:lang w:eastAsia="zh-CN"/>
        </w:rPr>
        <w:t>公务员医疗补助</w:t>
      </w:r>
      <w:r>
        <w:rPr>
          <w:rFonts w:hint="eastAsia" w:ascii="Times New Roman" w:hAnsi="Times New Roman" w:eastAsia="仿宋_GB2312"/>
          <w:sz w:val="32"/>
          <w:szCs w:val="32"/>
        </w:rPr>
        <w:t>（项）</w:t>
      </w:r>
      <w:r>
        <w:rPr>
          <w:rFonts w:hint="eastAsia" w:ascii="Times New Roman" w:hAnsi="Times New Roman" w:eastAsia="仿宋_GB2312"/>
          <w:sz w:val="32"/>
          <w:szCs w:val="32"/>
          <w:lang w:val="en-US" w:eastAsia="zh-CN"/>
        </w:rPr>
        <w:t>经费。</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lang w:eastAsia="zh-CN"/>
        </w:rPr>
        <w:t>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rPr>
        <w:t>（项）。</w:t>
      </w:r>
    </w:p>
    <w:p>
      <w:pPr>
        <w:pStyle w:val="13"/>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59.89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60.06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决算数大于年初预算数主要本年度新招录民警入职，缴存人员增加，住房公积金缴存支出相应增长。</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2025年度一般公共预算财政拨款基本支出1001.54万元，其中：</w:t>
      </w:r>
    </w:p>
    <w:p>
      <w:pPr>
        <w:pStyle w:val="13"/>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人员经费861.75万元，占基本支出的86.04%，主要包括基本工资256.96万元、津贴补贴229.85万元、奖金147.64万元、机关事业单位基本养老保险缴费72.69万元、职工基本医疗保险缴费31.06万元、住房公积金60.06万元、抚恤金17.99万元、生活补助45.49万元。</w:t>
      </w:r>
    </w:p>
    <w:p>
      <w:pPr>
        <w:pStyle w:val="13"/>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公用经费139.79万元，占基本支出的13.96 %，主要包括办公费11万元、印刷费11万元、电费1.5万元、差旅费15万元、维修（护）费10万元、培训费7.95万元、专用材料费5万元、被装购置费3万元、委托业务费5万元、工会经费3.55 万元、公务用车运行维护费20万元、其他交通费用36.13万元、其他商品和服务支出10.66万元。</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95.24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%。决算数小于预算数的主要原因</w:t>
      </w:r>
      <w:r>
        <w:rPr>
          <w:rFonts w:hint="eastAsia" w:ascii="Times New Roman" w:hAnsi="Times New Roman" w:eastAsia="仿宋_GB2312" w:cs="Times New Roman"/>
          <w:sz w:val="32"/>
          <w:szCs w:val="32"/>
        </w:rPr>
        <w:t>严格落实党政机关过紧日子要求，本年度未发生公务接待支出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本年度未发生公务接待支出</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Times New Roman" w:hAnsi="Times New Roman" w:eastAsia="仿宋_GB2312" w:cs="Times New Roman"/>
          <w:sz w:val="32"/>
          <w:szCs w:val="32"/>
        </w:rPr>
        <w:t>完成预算</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hint="eastAsia" w:ascii="Times New Roman" w:hAnsi="Times New Roman" w:eastAsia="仿宋_GB2312"/>
          <w:sz w:val="32"/>
          <w:szCs w:val="32"/>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严格落实党政机关过紧日子要求，本年度未发生公务接待支出</w:t>
      </w:r>
      <w:r>
        <w:rPr>
          <w:rFonts w:hint="eastAsia" w:ascii="Times New Roman" w:hAnsi="Times New Roman" w:eastAsia="仿宋_GB2312" w:cs="Times New Roman"/>
          <w:sz w:val="32"/>
          <w:szCs w:val="32"/>
          <w:lang w:eastAsia="zh-CN"/>
        </w:rPr>
        <w:t>。</w:t>
      </w:r>
    </w:p>
    <w:p>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2025年度本单位无政府性基金收支。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139.79</w:t>
      </w:r>
      <w:r>
        <w:rPr>
          <w:rFonts w:ascii="Times New Roman" w:hAnsi="Times New Roman" w:eastAsia="仿宋_GB2312" w:cs="Times New Roman"/>
          <w:sz w:val="32"/>
          <w:szCs w:val="32"/>
        </w:rPr>
        <w:t>万元</w:t>
      </w:r>
      <w:r>
        <w:rPr>
          <w:rFonts w:hint="eastAsia" w:ascii="Times New Roman" w:hAnsi="Times New Roman" w:eastAsia="仿宋_GB2312"/>
          <w:sz w:val="32"/>
          <w:szCs w:val="32"/>
          <w:lang w:eastAsia="zh-CN"/>
        </w:rPr>
        <w:t>，比年初预算数</w:t>
      </w:r>
      <w:r>
        <w:rPr>
          <w:rFonts w:hint="eastAsia" w:ascii="Times New Roman" w:hAnsi="Times New Roman" w:eastAsia="仿宋_GB2312"/>
          <w:sz w:val="32"/>
          <w:szCs w:val="32"/>
          <w:lang w:val="en-US" w:eastAsia="zh-CN"/>
        </w:rPr>
        <w:t>139.27万元增加0.52</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lang w:val="en-US" w:eastAsia="zh-CN"/>
        </w:rPr>
        <w:t xml:space="preserve">增加0.37 </w:t>
      </w:r>
      <w:r>
        <w:rPr>
          <w:rFonts w:hint="eastAsia" w:ascii="Times New Roman" w:hAnsi="Times New Roman" w:eastAsia="仿宋_GB2312"/>
          <w:sz w:val="32"/>
          <w:szCs w:val="32"/>
          <w:lang w:eastAsia="zh-CN"/>
        </w:rPr>
        <w:t>%。主要原因是：</w:t>
      </w:r>
      <w:r>
        <w:rPr>
          <w:rFonts w:hint="eastAsia" w:ascii="Times New Roman" w:hAnsi="Times New Roman" w:eastAsia="仿宋_GB2312"/>
          <w:sz w:val="32"/>
          <w:szCs w:val="32"/>
          <w:lang w:val="en-US" w:eastAsia="zh-CN"/>
        </w:rPr>
        <w:t>2025年我局新招录民警数量增加，相关的公用经费增加。</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2025年本部门培训费支出7.95万元，主要用于新招录民警培训、民警警衔晋升培训等业务学习培训，参训人员</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人；本年度未发生会议费支出，未举办晚会、论坛、赛事类活动。</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241.6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241.6</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241.6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241.6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w:t>
      </w:r>
      <w:r>
        <w:rPr>
          <w:rFonts w:ascii="Times New Roman" w:hAnsi="Times New Roman" w:eastAsia="仿宋_GB2312" w:cs="Times New Roman"/>
          <w:color w:val="auto"/>
          <w:sz w:val="32"/>
          <w:szCs w:val="32"/>
        </w:rPr>
        <w:t>单位共有车辆</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12</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主要用于单位日常公务出行、综合事务保障等工作。</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（一）绩效评价工作开展情况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单位认真组织开展2025年度部门整体支出绩效自评工作，涉及项目2个，共涉及资金192.97万元。其中，一般公共预算项目2个192.97万元，占一般公共预算支出总额的100%；政府性基金预算项目0个0万元，占政府性基金预算支出总额的0%；国有资本经营预算项目0个0万元，占国有资本经营预算支出总额的0%；社会保险基金预算项目0个0万元，占社会保险基金预算支出总额的0%。</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（二）绩效评价结果</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一是绩效自评结果。2025年度本单位整体支出全年预算数1724.2万元，执行数1718.86万元，完成预算的99.69%，绩效自评得分98分，评价等级为优。</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绩效目标完成情况：一是基本支出保障到位。严格按照财政预算要求足额保障单位人员工资、社保、公积金及日常公用经费支出，有效保障新增民警到岗履职，队伍运行稳定。二是项目支出成效良好。顺利完成执法办案、警务保障、无房派出所基础建设等专项工作，各项年度警务工作、基层治理、安全防控、便民服务工作均有序落地，财政资金使用规范、保障高效，年度整体绩效目标全面完成。</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发现的主要问题及原因：一是预算编制精准度仍有提升空间。年度工作中存在临时性、新增性警务及基础建设任务，年初无法完全精准预判，导致个别项目预决算存在小幅差异。二是预算绩效管理精细化程度不足。项目实施过程绩效动态跟踪、过程台账管理仍不够细致，全过程绩效管控力度有待加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下一步改进措施：一是科学精准编制年度预算。结合年度重点警务任务、基础设施建设计划、人员变动情况提前统筹谋划，提高预算编制前瞻性和精准度，进一步缩小预决算偏差。二是强化全过程预算绩效管理。完善项目事前谋划、事中监管、事后自评闭环管理机制，细化绩效台账资料，强化资金动态管控，持续提升财政资金使用效益。</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（三）评价结果应用情况</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本单位严格执行各项财经纪律和预算管理制度，坚决落实“过紧日子”要求，规范经费审批、严控一般性支出，整体预算执行规范高效。本年度绩效自评结果真实反映了单位全年资金运行及履职成效。下一步，本单位将充分运用绩效评价结果，优化年度预算编制与资金支出结构，优先保障基层警务运行、队伍建设、基础设施完善等重点领域经费投入。持续健全单位财务管理制度和预算绩效管理制度，强化资金使用全过程监管，以绩效结果导向提升预算管理规范化、精细化水平，推动财政资金提质增效。</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overflowPunct w:val="0"/>
        <w:autoSpaceDE/>
        <w:autoSpaceDN/>
        <w:spacing w:line="600" w:lineRule="exact"/>
        <w:jc w:val="both"/>
        <w:rPr>
          <w:rFonts w:ascii="Times New Roman" w:hAnsi="Times New Roman" w:eastAsia="仿宋_GB2312" w:cs="Times New Roman"/>
          <w:color w:val="auto"/>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widowControl/>
        <w:jc w:val="left"/>
        <w:rPr>
          <w:rFonts w:ascii="Times New Roman" w:hAnsi="Times New Roman" w:cs="Times New Roman"/>
          <w:color w:val="000000"/>
          <w:kern w:val="0"/>
          <w:sz w:val="32"/>
          <w:szCs w:val="32"/>
        </w:rPr>
      </w:pP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财政拨款收入：指财政当年拨付的资金，主要包括一般公共预算财政拨款，政府性基金预算财政拨款，国有资本经营预算财政拨款。</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b/>
          <w:bCs/>
          <w:color w:val="FF0000"/>
          <w:kern w:val="0"/>
          <w:sz w:val="32"/>
          <w:szCs w:val="32"/>
          <w:lang w:val="en-US" w:eastAsia="zh-CN" w:bidi="ar-SA"/>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pStyle w:val="13"/>
        <w:spacing w:line="360" w:lineRule="auto"/>
        <w:jc w:val="both"/>
        <w:rPr>
          <w:rFonts w:ascii="Times New Roman" w:hAnsi="Times New Roman" w:eastAsia="方正小标宋_GBK" w:cs="Times New Roman"/>
          <w:sz w:val="52"/>
          <w:szCs w:val="52"/>
        </w:rPr>
      </w:pPr>
    </w:p>
    <w:p>
      <w:pPr>
        <w:pStyle w:val="13"/>
        <w:spacing w:line="360" w:lineRule="auto"/>
        <w:jc w:val="both"/>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p>
      <w:pPr>
        <w:jc w:val="center"/>
        <w:outlineLvl w:val="1"/>
        <w:rPr>
          <w:rFonts w:eastAsia="楷体_GB2312"/>
          <w:b/>
          <w:sz w:val="32"/>
          <w:szCs w:val="32"/>
        </w:rPr>
      </w:pPr>
      <w:r>
        <w:rPr>
          <w:rFonts w:hint="eastAsia" w:ascii="方正小标宋简体" w:eastAsia="方正小标宋简体"/>
          <w:sz w:val="52"/>
          <w:szCs w:val="52"/>
        </w:rPr>
        <w:t>202</w:t>
      </w:r>
      <w:r>
        <w:rPr>
          <w:rFonts w:hint="eastAsia" w:ascii="方正小标宋简体" w:eastAsia="方正小标宋简体"/>
          <w:sz w:val="52"/>
          <w:szCs w:val="52"/>
          <w:lang w:val="en-US" w:eastAsia="zh-CN"/>
        </w:rPr>
        <w:t>5</w:t>
      </w:r>
      <w:r>
        <w:rPr>
          <w:rFonts w:hint="eastAsia" w:ascii="方正小标宋简体" w:eastAsia="方正小标宋简体"/>
          <w:sz w:val="52"/>
          <w:szCs w:val="52"/>
        </w:rPr>
        <w:t>年度</w:t>
      </w:r>
      <w:r>
        <w:rPr>
          <w:rFonts w:hint="eastAsia" w:ascii="方正小标宋简体" w:eastAsia="方正小标宋简体"/>
          <w:sz w:val="52"/>
          <w:szCs w:val="52"/>
          <w:lang w:eastAsia="zh-CN"/>
        </w:rPr>
        <w:t>永州市公安局金洞分局</w:t>
      </w:r>
      <w:r>
        <w:rPr>
          <w:rFonts w:hint="eastAsia" w:ascii="方正小标宋简体" w:eastAsia="方正小标宋简体"/>
          <w:sz w:val="52"/>
          <w:szCs w:val="52"/>
        </w:rPr>
        <w:t>整体支出绩效自评报告</w:t>
      </w:r>
    </w:p>
    <w:p>
      <w:pPr>
        <w:jc w:val="left"/>
        <w:rPr>
          <w:rFonts w:ascii="Times New Roman" w:hAnsi="Times New Roman" w:cs="Times New Roman"/>
          <w:color w:val="000000"/>
          <w:kern w:val="0"/>
          <w:sz w:val="32"/>
          <w:szCs w:val="32"/>
        </w:rPr>
      </w:pPr>
    </w:p>
    <w:p>
      <w:pPr>
        <w:numPr>
          <w:ilvl w:val="0"/>
          <w:numId w:val="2"/>
        </w:numPr>
        <w:spacing w:line="570" w:lineRule="exact"/>
        <w:outlineLvl w:val="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kern w:val="0"/>
          <w:sz w:val="32"/>
          <w:szCs w:val="32"/>
          <w:lang w:val="en-US" w:eastAsia="zh-CN" w:bidi="ar-SA"/>
        </w:rPr>
        <w:t>部门（单位）基本情况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（一）基本情况。</w:t>
      </w:r>
    </w:p>
    <w:p>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eastAsia" w:asciiTheme="majorEastAsia" w:hAnsiTheme="majorEastAsia" w:eastAsiaTheme="majorEastAsia" w:cstheme="majorEastAsia"/>
          <w:b/>
          <w:bCs w:val="0"/>
          <w:i w:val="0"/>
          <w:iCs w:val="0"/>
          <w:sz w:val="30"/>
          <w:szCs w:val="30"/>
          <w:u w:val="none"/>
          <w:lang w:eastAsia="zh-CN"/>
        </w:rPr>
      </w:pPr>
      <w:r>
        <w:rPr>
          <w:rFonts w:hint="eastAsia" w:asciiTheme="majorEastAsia" w:hAnsiTheme="majorEastAsia" w:eastAsiaTheme="majorEastAsia" w:cstheme="majorEastAsia"/>
          <w:b/>
          <w:bCs w:val="0"/>
          <w:i w:val="0"/>
          <w:iCs w:val="0"/>
          <w:sz w:val="30"/>
          <w:szCs w:val="30"/>
          <w:u w:val="none"/>
        </w:rPr>
        <w:t>1</w:t>
      </w:r>
      <w:r>
        <w:rPr>
          <w:rFonts w:hint="eastAsia" w:asciiTheme="majorEastAsia" w:hAnsiTheme="majorEastAsia" w:eastAsiaTheme="majorEastAsia" w:cstheme="majorEastAsia"/>
          <w:b/>
          <w:sz w:val="30"/>
          <w:szCs w:val="30"/>
          <w:lang w:eastAsia="zh-CN"/>
        </w:rPr>
        <w:t>、</w:t>
      </w:r>
      <w:r>
        <w:rPr>
          <w:rFonts w:hint="eastAsia" w:asciiTheme="majorEastAsia" w:hAnsiTheme="majorEastAsia" w:eastAsiaTheme="majorEastAsia" w:cstheme="majorEastAsia"/>
          <w:b/>
          <w:sz w:val="32"/>
          <w:szCs w:val="32"/>
          <w:lang w:eastAsia="zh-CN"/>
        </w:rPr>
        <w:t>基本职能和主要工作职责</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eastAsia="仿宋_GB2312"/>
          <w:sz w:val="32"/>
          <w:szCs w:val="32"/>
          <w:lang w:val="en-US" w:eastAsia="zh-CN"/>
        </w:rPr>
      </w:pPr>
      <w:r>
        <w:rPr>
          <w:rFonts w:hint="eastAsia" w:eastAsia="仿宋_GB2312"/>
          <w:sz w:val="32"/>
          <w:szCs w:val="32"/>
          <w:lang w:val="en-US" w:eastAsia="zh-CN"/>
        </w:rPr>
        <w:t>依据《中华人民共和国宪法》、《人民警察法》、《刑法》、《治安管理处罚法》等法律法规，我局承担着维护国家安全，维护社会治安，保护公民的人身安全、人身自由和合法财产，保护公共财产，预防、制止和惩治违法犯罪活动，管理社会秩序，掌握、分析、研究敌情和社会治安状况，维护社会稳定，保障人民群众的安居乐业和社会主义现代化建设事业的顺利进行的职能。</w:t>
      </w:r>
    </w:p>
    <w:p>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eastAsia" w:asciiTheme="majorEastAsia" w:hAnsiTheme="majorEastAsia" w:eastAsiaTheme="majorEastAsia" w:cstheme="majorEastAsia"/>
          <w:b/>
          <w:sz w:val="30"/>
          <w:szCs w:val="30"/>
          <w:lang w:eastAsia="zh-CN"/>
        </w:rPr>
      </w:pPr>
      <w:r>
        <w:rPr>
          <w:rFonts w:hint="eastAsia" w:asciiTheme="majorEastAsia" w:hAnsiTheme="majorEastAsia" w:eastAsiaTheme="majorEastAsia" w:cstheme="majorEastAsia"/>
          <w:b/>
          <w:sz w:val="30"/>
          <w:szCs w:val="30"/>
          <w:lang w:val="en-US" w:eastAsia="zh-CN"/>
        </w:rPr>
        <w:t>2、</w:t>
      </w:r>
      <w:r>
        <w:rPr>
          <w:rFonts w:hint="eastAsia" w:asciiTheme="majorEastAsia" w:hAnsiTheme="majorEastAsia" w:eastAsiaTheme="majorEastAsia" w:cstheme="majorEastAsia"/>
          <w:b/>
          <w:sz w:val="32"/>
          <w:szCs w:val="32"/>
          <w:lang w:eastAsia="zh-CN"/>
        </w:rPr>
        <w:t>机构编制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金洞公安分局为正科级单位，是永州市公安局直属分局，部门机构设置和人员编制根据市委办《永州市公安局金洞分局职能配置、内设机构和人员编制规定》文件精神，结合分局实际，编制核定如下：内设机构4个，包括情报指挥中心、政工室、治安管理大队（留置看护大队）、刑事侦查大队；派出所6个，包括4个治安派出所，分别为金洞派出所、石鼓源派出所、晒北滩派出所、凤凰派出所，森林派出所2个，分别为小金洞森林派出所、白果市森林派出所。单位行政编制总数53名，截至2025年12月，行政在职实发工资人数50人，退休人员27人。另有警务辅助人员编制61名。</w:t>
      </w:r>
    </w:p>
    <w:p>
      <w:pPr>
        <w:spacing w:line="560" w:lineRule="exact"/>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（二）部门（单位）整体支出规模、使用方向和主要内容、涉及范围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2025年，本单位预算收入1724.2万元，全年实际总收入为1718.86万元，其中：财政拨款收入1360.12万元，其他资金收入358.74万元；本年总支出1718.86万万元，其中：基本支出1061.55万元，项目支出657.31万元，本年无结余。本单位整体支出的主要内容及方向：一是保障单位人员工资正常发放及单位正常</w:t>
      </w:r>
      <w:r>
        <w:rPr>
          <w:rFonts w:hint="eastAsia" w:ascii="仿宋" w:hAnsi="仿宋" w:eastAsia="仿宋" w:cs="仿宋"/>
          <w:sz w:val="32"/>
          <w:szCs w:val="32"/>
          <w:highlight w:val="none"/>
          <w:lang w:val="en-US" w:eastAsia="zh-CN"/>
        </w:rPr>
        <w:t>运转等支出，全年人员经费支出862.75万元、本年度公用经费支出198.79万元，其中“三公”经费支出20万元，具体为：因公出国（境）费用0万元，公务用车运行维护费20万元，公务接待费0万元；二是中央省级政府转移支付资金支出及其他支出657.32万元。如按经济分类其中工资福利支出1001.76万元，商品和服务支出408.38万元，对个人和家庭的补助支出67.11万元，资本性支出241.6万元。</w:t>
      </w:r>
    </w:p>
    <w:p>
      <w:pPr>
        <w:pStyle w:val="14"/>
        <w:spacing w:line="570" w:lineRule="exact"/>
        <w:ind w:firstLine="640"/>
        <w:outlineLvl w:val="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二、一般公共预算支出情况</w:t>
      </w:r>
    </w:p>
    <w:p>
      <w:pPr>
        <w:spacing w:line="560" w:lineRule="exact"/>
        <w:ind w:firstLine="640" w:firstLineChars="200"/>
        <w:rPr>
          <w:rFonts w:hint="eastAsia" w:ascii="宋体" w:hAnsi="宋体" w:eastAsia="宋体" w:cs="宋体"/>
          <w:b/>
          <w:bCs/>
          <w:sz w:val="32"/>
          <w:szCs w:val="32"/>
          <w:lang w:eastAsia="zh-CN"/>
        </w:rPr>
      </w:pPr>
      <w:r>
        <w:rPr>
          <w:rFonts w:hint="eastAsia" w:ascii="宋体" w:hAnsi="宋体" w:eastAsia="宋体" w:cs="宋体"/>
          <w:b/>
          <w:bCs/>
          <w:sz w:val="32"/>
          <w:szCs w:val="32"/>
        </w:rPr>
        <w:t>（一）基本支出</w:t>
      </w:r>
      <w:r>
        <w:rPr>
          <w:rFonts w:hint="eastAsia" w:ascii="宋体" w:hAnsi="宋体" w:eastAsia="宋体" w:cs="宋体"/>
          <w:b/>
          <w:bCs/>
          <w:sz w:val="32"/>
          <w:szCs w:val="32"/>
          <w:lang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val="0"/>
          <w:sz w:val="32"/>
          <w:szCs w:val="32"/>
          <w:u w:val="none"/>
          <w:lang w:val="en-US" w:eastAsia="zh-CN"/>
        </w:rPr>
      </w:pPr>
      <w:r>
        <w:rPr>
          <w:rFonts w:hint="eastAsia" w:ascii="仿宋" w:hAnsi="仿宋" w:eastAsia="仿宋" w:cs="仿宋"/>
          <w:b w:val="0"/>
          <w:bCs w:val="0"/>
          <w:sz w:val="32"/>
          <w:szCs w:val="32"/>
          <w:u w:val="none"/>
          <w:lang w:val="en-US" w:eastAsia="zh-CN"/>
        </w:rPr>
        <w:t>2025年度财政拨款基本支出1061.55万元，其中：人员经费795.64万元，占基本支出的74.95%，主要包括基本工资、津贴补贴、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公用经费198.79万元，占基本支出的18.73%，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其他商品和服务支出等；对个人和家庭的补助67.11万元，占基本支出的6.32%。</w:t>
      </w:r>
    </w:p>
    <w:p>
      <w:pPr>
        <w:spacing w:line="560" w:lineRule="exact"/>
        <w:ind w:firstLine="640" w:firstLineChars="200"/>
        <w:rPr>
          <w:rFonts w:hint="eastAsia" w:asciiTheme="majorEastAsia" w:hAnsiTheme="majorEastAsia" w:eastAsiaTheme="majorEastAsia" w:cstheme="majorEastAsia"/>
          <w:b/>
          <w:bCs/>
          <w:sz w:val="32"/>
          <w:szCs w:val="32"/>
          <w:lang w:eastAsia="zh-CN"/>
        </w:rPr>
      </w:pPr>
      <w:r>
        <w:rPr>
          <w:rFonts w:hint="eastAsia" w:asciiTheme="majorEastAsia" w:hAnsiTheme="majorEastAsia" w:eastAsiaTheme="majorEastAsia" w:cstheme="majorEastAsia"/>
          <w:b/>
          <w:bCs/>
          <w:sz w:val="32"/>
          <w:szCs w:val="32"/>
        </w:rPr>
        <w:t>（二）</w:t>
      </w:r>
      <w:r>
        <w:rPr>
          <w:rFonts w:hint="eastAsia" w:asciiTheme="majorEastAsia" w:hAnsiTheme="majorEastAsia" w:eastAsiaTheme="majorEastAsia" w:cstheme="majorEastAsia"/>
          <w:b/>
          <w:bCs/>
          <w:sz w:val="32"/>
          <w:szCs w:val="32"/>
          <w:lang w:eastAsia="zh-CN"/>
        </w:rPr>
        <w:t>项目</w:t>
      </w:r>
      <w:r>
        <w:rPr>
          <w:rFonts w:hint="eastAsia" w:asciiTheme="majorEastAsia" w:hAnsiTheme="majorEastAsia" w:eastAsiaTheme="majorEastAsia" w:cstheme="majorEastAsia"/>
          <w:b/>
          <w:bCs/>
          <w:sz w:val="32"/>
          <w:szCs w:val="32"/>
        </w:rPr>
        <w:t>支出</w:t>
      </w:r>
      <w:r>
        <w:rPr>
          <w:rFonts w:hint="eastAsia" w:asciiTheme="majorEastAsia" w:hAnsiTheme="majorEastAsia" w:eastAsiaTheme="majorEastAsia" w:cstheme="majorEastAsia"/>
          <w:b/>
          <w:bCs/>
          <w:sz w:val="32"/>
          <w:szCs w:val="32"/>
          <w:lang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1、专项资金安排落实、总投入等情况分析</w:t>
      </w:r>
    </w:p>
    <w:p>
      <w:pPr>
        <w:pStyle w:val="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年度项目支出合计657.31万元，资金主要用于保障执法办案、业务装备、基础设施建设等重点工作开展。项目支出中，中央政法纪检监察转移支付资金下达金额208万元，其中中央转移支付办案经费下达113.4万元(湘财预〔2024〕0326号、年初预算〔2025〕0376号)、中央转移支付森林公安经费下达6万元（湘财预〔2024〕0326号）、中央转移支付装备经费下达66.6万元（湘财预〔2024〕0326号）、公安装备建设经费下达12万元（湘财预〔2025〕0073号）、石鼓源派出所建设“提质”经费下达10万元（湘财预〔2025〕0073号），该资金严格按照规定用途专款专用，规范执行支付流程，有效支撑了部门核心业务履职需求，充分发挥了上级转移支付资金的保障作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2、专项资金实际使用情况分析</w:t>
      </w:r>
    </w:p>
    <w:p>
      <w:pPr>
        <w:pStyle w:val="20"/>
        <w:rPr>
          <w:rFonts w:hint="eastAsia" w:ascii="仿宋" w:hAnsi="仿宋" w:eastAsia="仿宋" w:cs="仿宋"/>
          <w:sz w:val="32"/>
          <w:szCs w:val="32"/>
          <w:lang w:val="en-US" w:eastAsia="zh-CN"/>
        </w:rPr>
      </w:pPr>
      <w:r>
        <w:rPr>
          <w:rFonts w:hint="eastAsia" w:ascii="仿宋" w:hAnsi="仿宋" w:eastAsia="仿宋" w:cs="仿宋"/>
          <w:b w:val="0"/>
          <w:bCs w:val="0"/>
          <w:sz w:val="32"/>
          <w:szCs w:val="32"/>
          <w:lang w:eastAsia="zh-CN"/>
        </w:rPr>
        <w:t>中央政法纪检监察转移支付资金为我局各项工作开展提供了有力保障，截止2025年12月31日，共计下达该项资金208万元，共执行207.97万，整体资金执行率99.99%。其中，中央转移支付办案经费下达113.4万元，支出113.39万元，执行率99.99%，结余0.01万元；中央转移支付森林公安经费下达6万元，支出5.98万元，执行率99.67%，结余0.02万元；中央转移支付装备经费下达66.6万元，支出66.6万元，执行率100%；公安装备建设经费下达12万元，支出12万元，执行率100%；石鼓源派出所建设“提质”经费下达10万元，支出10万元，执行率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3、专项资金管理情况分析</w:t>
      </w:r>
    </w:p>
    <w:p>
      <w:pPr>
        <w:pStyle w:val="19"/>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2025年度，我单位严格按照</w:t>
      </w:r>
      <w:r>
        <w:rPr>
          <w:rFonts w:hint="eastAsia" w:ascii="仿宋" w:hAnsi="仿宋" w:eastAsia="仿宋" w:cs="仿宋"/>
          <w:sz w:val="32"/>
          <w:szCs w:val="32"/>
          <w:lang w:val="en-US" w:eastAsia="zh-CN"/>
        </w:rPr>
        <w:t>中央政法纪检监察转移支付资金</w:t>
      </w:r>
      <w:r>
        <w:rPr>
          <w:rFonts w:hint="eastAsia" w:ascii="仿宋" w:hAnsi="仿宋" w:eastAsia="仿宋" w:cs="仿宋"/>
          <w:b w:val="0"/>
          <w:bCs w:val="0"/>
          <w:sz w:val="32"/>
          <w:szCs w:val="32"/>
          <w:lang w:val="en-US" w:eastAsia="zh-CN"/>
        </w:rPr>
        <w:t>管理相关规定，切实加强资金全过程管理，在资金分配、下达、拨付、使用、预算执行、绩效管理及支出责任落实等方面均做到规范有序，确保资金专款专用、安全高效。</w:t>
      </w:r>
    </w:p>
    <w:p>
      <w:pPr>
        <w:pStyle w:val="19"/>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（1）资金分配、下达与拨付情况。</w:t>
      </w:r>
    </w:p>
    <w:p>
      <w:pPr>
        <w:pStyle w:val="19"/>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严格按照上级下达的资金指标和管理要求，结合公安工作实际，科学分配资金，重点保障执法办案、警务装备、基层所队运转等核心业务需求。资金下达及拨付流程规范，严格执行国库集中支付制度，做到专款专用，无截留、挤占、挪用等情况，资金下达与拨付程序合规、时效达标。</w:t>
      </w:r>
    </w:p>
    <w:p>
      <w:pPr>
        <w:pStyle w:val="19"/>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（2）资金使用与预算执行情况。</w:t>
      </w:r>
    </w:p>
    <w:p>
      <w:pPr>
        <w:pStyle w:val="19"/>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资金使用严格限定在公安执法办案、业务装备、业务运行等规定范围，坚持先有预算、后有支出，所有支出均履行审批程序，票据真实、手续完备。全年预算执行情况良好，资金使用与年度公安重点工作任务高度匹配，有效保障了各项警务工作正常开展，未发生违规支出问题。</w:t>
      </w:r>
    </w:p>
    <w:p>
      <w:pPr>
        <w:pStyle w:val="19"/>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（3）预算绩效管理情况。</w:t>
      </w:r>
    </w:p>
    <w:p>
      <w:pPr>
        <w:pStyle w:val="19"/>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严格落实全过程预算绩效管理要求，按时完成绩效目标分解、细化与下达，确保绩效目标与资金使用、工作任务同步推进。在执行过程中加强绩效运行监控，及时掌握资金使用进度与目标完成情况，确保绩效目标不偏离。年度终了认真开展绩效自评，全面客观反映资金使用效果、管理成效和存在问题，做到自评真实、完整、准确。</w:t>
      </w:r>
    </w:p>
    <w:p>
      <w:pPr>
        <w:pStyle w:val="19"/>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（4）支出责任履行情况。</w:t>
      </w:r>
    </w:p>
    <w:p>
      <w:pPr>
        <w:pStyle w:val="19"/>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严格落实“谁使用、谁负责、谁管理、谁负责”的支出责任，建立健全内部财务管理制度，明确岗位职责，强化内部监督。单位负责人、财务人员及业务科室各司其职、各负其责，严格遵守财经纪律和资金管理规定，切实履行资金管理主体责任，确保资金管理规范、安全、高效。</w:t>
      </w:r>
    </w:p>
    <w:p>
      <w:pPr>
        <w:pStyle w:val="14"/>
        <w:numPr>
          <w:ilvl w:val="0"/>
          <w:numId w:val="0"/>
        </w:numPr>
        <w:spacing w:line="570" w:lineRule="exact"/>
        <w:ind w:left="640" w:leftChars="0"/>
        <w:jc w:val="left"/>
        <w:outlineLvl w:val="0"/>
        <w:rPr>
          <w:rFonts w:hint="eastAsia" w:ascii="Times New Roman" w:hAnsi="Times New Roman" w:eastAsia="黑体"/>
          <w:sz w:val="32"/>
          <w:szCs w:val="32"/>
        </w:rPr>
      </w:pPr>
      <w:r>
        <w:rPr>
          <w:rFonts w:hint="eastAsia" w:ascii="Times New Roman" w:hAnsi="Times New Roman" w:eastAsia="黑体"/>
          <w:sz w:val="32"/>
          <w:szCs w:val="32"/>
          <w:lang w:eastAsia="zh-CN"/>
        </w:rPr>
        <w:t>三、</w:t>
      </w: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1" w:leftChars="0"/>
        <w:jc w:val="left"/>
        <w:textAlignment w:val="auto"/>
        <w:outlineLvl w:val="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pPr>
        <w:pStyle w:val="14"/>
        <w:numPr>
          <w:ilvl w:val="0"/>
          <w:numId w:val="0"/>
        </w:numPr>
        <w:spacing w:line="570" w:lineRule="exact"/>
        <w:ind w:firstLine="640" w:firstLineChars="200"/>
        <w:jc w:val="left"/>
        <w:outlineLvl w:val="0"/>
        <w:rPr>
          <w:rFonts w:hint="eastAsia" w:ascii="Times New Roman" w:hAnsi="Times New Roman" w:eastAsia="仿宋_GB2312"/>
          <w:color w:val="000000"/>
          <w:sz w:val="32"/>
          <w:szCs w:val="32"/>
        </w:rPr>
      </w:pPr>
      <w:r>
        <w:rPr>
          <w:rFonts w:hint="eastAsia" w:ascii="Times New Roman" w:hAnsi="Times New Roman" w:eastAsia="黑体"/>
          <w:sz w:val="32"/>
          <w:szCs w:val="32"/>
          <w:lang w:eastAsia="zh-CN"/>
        </w:rPr>
        <w:t>四、</w:t>
      </w: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我单位无国有资本经营预算支出情况</w:t>
      </w:r>
    </w:p>
    <w:p>
      <w:pPr>
        <w:pStyle w:val="14"/>
        <w:numPr>
          <w:ilvl w:val="0"/>
          <w:numId w:val="3"/>
        </w:numPr>
        <w:spacing w:line="570" w:lineRule="exact"/>
        <w:ind w:firstLine="640"/>
        <w:jc w:val="left"/>
        <w:outlineLvl w:val="0"/>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我单位无社会保险基金预算支出情况保险基金预算支出情况</w:t>
      </w:r>
    </w:p>
    <w:p>
      <w:pPr>
        <w:spacing w:line="570" w:lineRule="exact"/>
        <w:ind w:firstLine="645"/>
        <w:jc w:val="left"/>
        <w:outlineLvl w:val="0"/>
        <w:rPr>
          <w:rFonts w:eastAsia="黑体"/>
          <w:sz w:val="32"/>
          <w:szCs w:val="32"/>
        </w:rPr>
      </w:pPr>
      <w:r>
        <w:rPr>
          <w:rFonts w:eastAsia="黑体"/>
          <w:sz w:val="32"/>
          <w:szCs w:val="32"/>
        </w:rPr>
        <w:t>六、部门整体支出绩效情况</w:t>
      </w:r>
    </w:p>
    <w:p>
      <w:pPr>
        <w:pStyle w:val="14"/>
        <w:spacing w:line="570" w:lineRule="exact"/>
        <w:ind w:firstLine="640"/>
        <w:jc w:val="left"/>
        <w:outlineLvl w:val="0"/>
        <w:rPr>
          <w:rFonts w:hint="eastAsia" w:eastAsia="仿宋_GB2312"/>
          <w:sz w:val="32"/>
          <w:szCs w:val="32"/>
          <w:lang w:val="en-US" w:eastAsia="zh-CN"/>
        </w:rPr>
      </w:pPr>
      <w:r>
        <w:rPr>
          <w:rFonts w:hint="eastAsia" w:eastAsia="仿宋_GB2312"/>
          <w:sz w:val="32"/>
          <w:szCs w:val="32"/>
          <w:lang w:val="en-US" w:eastAsia="zh-CN"/>
        </w:rPr>
        <w:t>本单位围绕自身核心职责与行业发展规划，以预算资金管理为主线，统筹推进“四本预算”执行工作，年度绩效目标均按要求有序落实，资金使用与业务开展协同高效。</w:t>
      </w:r>
    </w:p>
    <w:p>
      <w:pPr>
        <w:pStyle w:val="14"/>
        <w:spacing w:line="570" w:lineRule="exact"/>
        <w:ind w:firstLine="640"/>
        <w:jc w:val="left"/>
        <w:outlineLvl w:val="0"/>
        <w:rPr>
          <w:rFonts w:hint="eastAsia" w:eastAsia="仿宋_GB2312"/>
          <w:sz w:val="32"/>
          <w:szCs w:val="32"/>
          <w:lang w:val="en-US" w:eastAsia="zh-CN"/>
        </w:rPr>
      </w:pPr>
      <w:r>
        <w:rPr>
          <w:rFonts w:hint="eastAsia" w:eastAsia="仿宋_GB2312"/>
          <w:sz w:val="32"/>
          <w:szCs w:val="32"/>
          <w:lang w:val="en-US" w:eastAsia="zh-CN"/>
        </w:rPr>
        <w:t>从资金执行来看，本单位严格规范预算分配、拨付及使用流程，强化资产管理与成本管控，公用经费、项目经费等各类支出均合规有序，有效降低运行成本，提升财政资金使用效率。从业务开展来看，依托财政资金保障，顺利完成各项核心履职任务，业务工作有序推进、资产管理规范到位，部门运转高效顺畅。</w:t>
      </w:r>
    </w:p>
    <w:p>
      <w:pPr>
        <w:pStyle w:val="14"/>
        <w:spacing w:line="570" w:lineRule="exact"/>
        <w:ind w:firstLine="640"/>
        <w:jc w:val="left"/>
        <w:outlineLvl w:val="0"/>
        <w:rPr>
          <w:rFonts w:hint="eastAsia" w:eastAsia="仿宋_GB2312"/>
          <w:sz w:val="32"/>
          <w:szCs w:val="32"/>
          <w:lang w:val="en-US" w:eastAsia="zh-CN"/>
        </w:rPr>
      </w:pPr>
      <w:r>
        <w:rPr>
          <w:rFonts w:hint="eastAsia" w:eastAsia="仿宋_GB2312"/>
          <w:sz w:val="32"/>
          <w:szCs w:val="32"/>
          <w:lang w:val="en-US" w:eastAsia="zh-CN"/>
        </w:rPr>
        <w:t>从实施成效来看，部门履职效能持续提升，各项工作取得良好社会效应，有效维护社会秩序、保障公共利益，服务对象满意度保持较高水平。同时，通过优化资金配置、夯实业务基础、完善保障机制，进一步增强了部门可持续发展能力。整体而言，本单位预算资金使用实现了预期产出与效益，充分发挥了财政资金的保障与支撑作用，圆满达成年度整体支出绩效目标。</w:t>
      </w:r>
    </w:p>
    <w:p>
      <w:pPr>
        <w:pStyle w:val="14"/>
        <w:spacing w:line="570" w:lineRule="exact"/>
        <w:ind w:firstLine="640"/>
        <w:jc w:val="left"/>
        <w:outlineLvl w:val="0"/>
        <w:rPr>
          <w:rFonts w:ascii="Times New Roman" w:hAnsi="Times New Roman" w:eastAsia="黑体"/>
          <w:sz w:val="32"/>
          <w:szCs w:val="32"/>
        </w:rPr>
      </w:pPr>
      <w:r>
        <w:rPr>
          <w:rFonts w:ascii="Times New Roman" w:hAnsi="Times New Roman" w:eastAsia="黑体"/>
          <w:sz w:val="32"/>
          <w:szCs w:val="32"/>
        </w:rPr>
        <w:t>七、存在的问题及原因分析</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对照年度预算绩效目标与部门履职要求，结合预算执行、资金管理、业务开展等工作实际，全面梳理排查，当前存在的问题及原因具体如下：</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、预算及绩效管理不够精细</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是预算编制精准度不足，部分执法办案、装备保障等项目资金测算不够细致，预算执行进度存在不均衡现象，与预期进度存在小幅偏差。二是绩效管控力度偏弱，部分绩效指标设置不够量化具体，绩效运行动态监控不够及时，绩效评价结果未能充分运用到后续预算统筹、工作优化中。</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原因主要是预算编制前期对年度重点任务、应急勤务等资金需求预判不够全面，绩效全流程管理意识不强，财务与业务工作衔接不够紧密，专业绩效管理能力有待提升。</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、部门履职效能有待进一步提升</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受应急处突、安保执勤、专项整治等临时性、突发性工作任务叠加影响，部分常规业务与重点工作统筹推进不够顺畅，少数工作推进效率未达预期；业务工作协同配合力度不足，履职流程优化不够到位，影响了整体工作效能。 </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主要原因是公安工作突发性、应急性特征明显，工作统筹规划难度较大；部分岗位工作任务繁重，业务培训针对性不足，跨科室协同联动机制不够完善，一定程度制约了履职效率。</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、资金管理使用规范性需加强</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资金分配与实际业务需求匹配度不够高，部分项目资金执行进度偏慢，资金拨付节奏与项目实施节奏衔接不紧密；资金使用精细化管理不足，资金使用效益未能实现最大化，存在重拨付、轻监管的情况。</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究其原因，资金统筹分配缺乏系统性规划，部分项目受前期审批、外部协同等因素影响实施滞后；财务与业务科室沟通不及时，资金使用全程跟踪管控机制不够健全，动态监管力度薄弱。</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、资产与财务管理存在薄弱环节</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固定资产日常管理不够规范，部分警用装备、办公资产盘点更新不及时，资产台账管理不够完善，资产使用效率有待提高；财务内控制度执行不够严格，凭证审核、账务处理等细节把控不够严谨。</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核心原因是资产管理责任未完全压实，专人专管、日常监管机制不够健全；财务人员责任意识和专业能力有待提升，内部财务监督核查不够常态化，制度刚性约束不足。</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、政府采购流程需持续优化</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部分采购项目前期计划申报不及时，采购流程衔接不够顺畅，采购效率有待提升；少数采购项目验收环节不够严谨，警用物资、装备采购质量把控不够全面。</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主要原因是采购人员对政府采购政策掌握不够透彻，前期采购谋划不够周密；采购全流程跟踪管控不到位，受采购审批、物资供应等客观因素影响，导致采购工作推进滞后。</w:t>
      </w:r>
    </w:p>
    <w:p>
      <w:pPr>
        <w:spacing w:line="57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、预算支出执行偏离绩效目标原因</w:t>
      </w:r>
    </w:p>
    <w:p>
      <w:pPr>
        <w:spacing w:line="57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少数项目预算支出进度与绩效目标完成不同步，核心原因一方面是公安应急性工作较多，打乱了既定项目实施计划；另一方面是对预算绩效同步管控重视不足，前期工作谋划不周密，未能及时对执行偏差进行纠偏调整，导致绩效目标推进滞后。</w:t>
      </w:r>
    </w:p>
    <w:p>
      <w:pPr>
        <w:numPr>
          <w:ilvl w:val="0"/>
          <w:numId w:val="4"/>
        </w:numPr>
        <w:spacing w:line="570" w:lineRule="exact"/>
        <w:ind w:firstLine="640" w:firstLineChars="200"/>
        <w:jc w:val="left"/>
        <w:outlineLvl w:val="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下一步改进措施</w:t>
      </w:r>
    </w:p>
    <w:p>
      <w:pPr>
        <w:pStyle w:val="1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针对本年度预算绩效、资金管理、履职服务等方面存在的问题，结合部门工作实际，逐项落实整改，全面提升管理质效，具体措施如下：</w:t>
      </w:r>
    </w:p>
    <w:p>
      <w:pPr>
        <w:pStyle w:val="1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一是精准编制预算，强化全流程绩效管理。细化预算测算，充分考量应急工作需求，提升预算编制精准度；量化绩效指标，加强绩效运行动态监控，及时纠偏整改，强化绩效评价结果与预算安排挂钩，完善绩效管理闭环。</w:t>
      </w:r>
    </w:p>
    <w:p>
      <w:pPr>
        <w:pStyle w:val="1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二是统筹工作推进，提升履职效能。合理统筹日常业务、应急处突与专项任务，优化警力资源调配，健全内部协同联动机制；加强业务技能培训，理顺工作流程，破解工作推进堵点，提升整体履职效率。</w:t>
      </w:r>
    </w:p>
    <w:p>
      <w:pPr>
        <w:pStyle w:val="1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三是规范资金管控，提高使用效益。科学统筹资金分配，贴合业务实际需求；建立资金执行台账，加快支出进度，强化资金使用全程监管，严格控制运行成本，杜绝资金浪费，提升财政资金使用效率。</w:t>
      </w:r>
    </w:p>
    <w:p>
      <w:pPr>
        <w:pStyle w:val="1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四是夯实资产财务管理，规范内控机制。压实资产管理责任，定期盘点资产、更新台账，提高资产利用率；严格执行财务内控制度，细化凭证审核、账务处理流程，强化内部监督，提升财务规范化管理水平。</w:t>
      </w:r>
    </w:p>
    <w:p>
      <w:pPr>
        <w:pStyle w:val="1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五是优化政府采购，提升采购效率。科学制定采购计划，提前做好前期筹备，规范采购流程；严把采购验收关口，强化物资质量管控，确保采购合规高效，保障工作物资需求。</w:t>
      </w:r>
    </w:p>
    <w:p>
      <w:pPr>
        <w:pStyle w:val="1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六是狠抓整改落实，健全长效机制。压实问题整改责任，明确整改时限，确保问题整改到位；将预算绩效管理与业务工作深度融合，完善管理制度，切实提升部门整体管理水平与资金使用效益。</w:t>
      </w:r>
    </w:p>
    <w:p>
      <w:pPr>
        <w:numPr>
          <w:ilvl w:val="0"/>
          <w:numId w:val="4"/>
        </w:numPr>
        <w:spacing w:line="570" w:lineRule="exact"/>
        <w:ind w:left="0" w:leftChars="0" w:firstLine="640" w:firstLineChars="200"/>
        <w:jc w:val="left"/>
        <w:outlineLvl w:val="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部门整体支出绩效自评结果拟应用和公开情况</w:t>
      </w:r>
    </w:p>
    <w:p>
      <w:pPr>
        <w:spacing w:line="570" w:lineRule="exact"/>
        <w:ind w:firstLine="645"/>
        <w:jc w:val="left"/>
        <w:rPr>
          <w:rFonts w:hint="eastAsia" w:ascii="仿宋" w:hAnsi="仿宋" w:eastAsia="仿宋"/>
          <w:sz w:val="30"/>
          <w:szCs w:val="30"/>
          <w:lang w:val="en-US" w:eastAsia="zh-CN"/>
        </w:rPr>
      </w:pPr>
      <w:r>
        <w:rPr>
          <w:rFonts w:hint="eastAsia" w:ascii="仿宋" w:hAnsi="仿宋" w:eastAsia="仿宋"/>
          <w:sz w:val="30"/>
          <w:szCs w:val="30"/>
          <w:lang w:val="en-US" w:eastAsia="zh-CN"/>
        </w:rPr>
        <w:t>本次绩效自评结果将充分运用到后续预算编制、资金分配及内部管理工作中，与下年度预算安排挂钩，优化资金配置，针对自评问题狠抓整改，提升资金使用效益与部门管理水平。同时，严格按照财政信息公开相关规定，依法依规在政府指定平台及时公开本次自评结果，主动接受社会监督，保障公开内容真实、准确、完整，推进预算管理透明化、规范化。</w:t>
      </w:r>
    </w:p>
    <w:p>
      <w:pPr>
        <w:spacing w:line="570" w:lineRule="exact"/>
        <w:ind w:firstLine="645"/>
        <w:jc w:val="left"/>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lang w:eastAsia="zh-CN"/>
        </w:rPr>
        <w:t>十、</w:t>
      </w:r>
      <w:r>
        <w:rPr>
          <w:rFonts w:hint="eastAsia" w:asciiTheme="majorEastAsia" w:hAnsiTheme="majorEastAsia" w:eastAsiaTheme="majorEastAsia" w:cstheme="majorEastAsia"/>
          <w:b/>
          <w:bCs/>
          <w:sz w:val="32"/>
          <w:szCs w:val="32"/>
        </w:rPr>
        <w:t>其他需要说明的情况</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 w:hAnsi="仿宋" w:eastAsia="仿宋"/>
          <w:sz w:val="30"/>
          <w:szCs w:val="30"/>
          <w:lang w:val="en-US" w:eastAsia="zh-CN"/>
        </w:rPr>
      </w:pPr>
      <w:r>
        <w:rPr>
          <w:rFonts w:hint="eastAsia" w:ascii="仿宋" w:hAnsi="仿宋" w:eastAsia="仿宋"/>
          <w:sz w:val="30"/>
          <w:szCs w:val="30"/>
          <w:lang w:val="en-US" w:eastAsia="zh-CN"/>
        </w:rPr>
        <w:t>无</w:t>
      </w:r>
    </w:p>
    <w:p/>
    <w:p/>
    <w:p/>
    <w:p/>
    <w:p/>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spacing w:after="240" w:afterLines="100" w:line="560" w:lineRule="exact"/>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1</w:t>
      </w:r>
    </w:p>
    <w:p>
      <w:pPr>
        <w:spacing w:after="240" w:afterLines="100" w:line="520" w:lineRule="exact"/>
        <w:jc w:val="center"/>
        <w:rPr>
          <w:rFonts w:hint="eastAsia" w:ascii="方正小标宋简体" w:eastAsia="方正小标宋简体" w:cs="Times New Roman"/>
          <w:w w:val="99"/>
          <w:sz w:val="36"/>
          <w:szCs w:val="36"/>
        </w:rPr>
      </w:pPr>
      <w:r>
        <w:rPr>
          <w:rFonts w:hint="eastAsia" w:ascii="方正小标宋简体" w:eastAsia="方正小标宋简体" w:cs="Times New Roman"/>
          <w:w w:val="99"/>
          <w:sz w:val="36"/>
          <w:szCs w:val="36"/>
        </w:rPr>
        <w:t>2025年度部门整体支出绩效评价基础数据表</w:t>
      </w:r>
    </w:p>
    <w:tbl>
      <w:tblPr>
        <w:tblStyle w:val="9"/>
        <w:tblW w:w="935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205"/>
        <w:gridCol w:w="641"/>
        <w:gridCol w:w="1144"/>
        <w:gridCol w:w="1078"/>
        <w:gridCol w:w="1095"/>
        <w:gridCol w:w="7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noWrap w:val="0"/>
            <w:vAlign w:val="center"/>
          </w:tcPr>
          <w:p>
            <w:pPr>
              <w:jc w:val="center"/>
              <w:rPr>
                <w:rFonts w:eastAsia="仿宋_GB2312" w:cs="Times New Roman"/>
                <w:sz w:val="20"/>
                <w:szCs w:val="20"/>
              </w:rPr>
            </w:pPr>
            <w:r>
              <w:rPr>
                <w:rFonts w:eastAsia="仿宋_GB2312" w:cs="Times New Roman"/>
                <w:sz w:val="20"/>
                <w:szCs w:val="20"/>
              </w:rPr>
              <w:t>财政供养人员情况（人）</w:t>
            </w:r>
          </w:p>
        </w:tc>
        <w:tc>
          <w:tcPr>
            <w:tcW w:w="1846"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编制数</w:t>
            </w:r>
          </w:p>
        </w:tc>
        <w:tc>
          <w:tcPr>
            <w:tcW w:w="2222"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5</w:t>
            </w:r>
            <w:r>
              <w:rPr>
                <w:rFonts w:eastAsia="仿宋_GB2312" w:cs="Times New Roman"/>
                <w:b/>
                <w:bCs/>
                <w:sz w:val="20"/>
                <w:szCs w:val="20"/>
              </w:rPr>
              <w:t>年实际在职人数</w:t>
            </w:r>
          </w:p>
        </w:tc>
        <w:tc>
          <w:tcPr>
            <w:tcW w:w="1890"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控制率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noWrap w:val="0"/>
            <w:vAlign w:val="center"/>
          </w:tcPr>
          <w:p>
            <w:pPr>
              <w:jc w:val="left"/>
              <w:rPr>
                <w:rFonts w:eastAsia="仿宋_GB2312" w:cs="Times New Roman"/>
                <w:sz w:val="20"/>
                <w:szCs w:val="20"/>
              </w:rPr>
            </w:pPr>
          </w:p>
        </w:tc>
        <w:tc>
          <w:tcPr>
            <w:tcW w:w="1846" w:type="dxa"/>
            <w:gridSpan w:val="2"/>
            <w:noWrap w:val="0"/>
            <w:vAlign w:val="center"/>
          </w:tcPr>
          <w:p>
            <w:pPr>
              <w:jc w:val="center"/>
              <w:rPr>
                <w:rFonts w:hint="default" w:eastAsia="仿宋_GB2312" w:cs="Times New Roman"/>
                <w:sz w:val="20"/>
                <w:szCs w:val="20"/>
                <w:lang w:val="en-US" w:eastAsia="zh-CN"/>
              </w:rPr>
            </w:pPr>
            <w:r>
              <w:rPr>
                <w:rFonts w:eastAsia="仿宋_GB2312" w:cs="Times New Roman"/>
                <w:sz w:val="20"/>
                <w:szCs w:val="20"/>
              </w:rPr>
              <w:t>　</w:t>
            </w:r>
            <w:r>
              <w:rPr>
                <w:rFonts w:hint="eastAsia" w:eastAsia="仿宋_GB2312" w:cs="Times New Roman"/>
                <w:sz w:val="20"/>
                <w:szCs w:val="20"/>
                <w:lang w:val="en-US" w:eastAsia="zh-CN"/>
              </w:rPr>
              <w:t>53</w:t>
            </w: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50</w:t>
            </w:r>
            <w:r>
              <w:rPr>
                <w:rFonts w:eastAsia="仿宋_GB2312" w:cs="Times New Roman"/>
                <w:sz w:val="20"/>
                <w:szCs w:val="20"/>
              </w:rPr>
              <w:t>　</w:t>
            </w:r>
          </w:p>
        </w:tc>
        <w:tc>
          <w:tcPr>
            <w:tcW w:w="1890" w:type="dxa"/>
            <w:gridSpan w:val="2"/>
            <w:noWrap w:val="0"/>
            <w:vAlign w:val="center"/>
          </w:tcPr>
          <w:p>
            <w:pPr>
              <w:jc w:val="center"/>
              <w:rPr>
                <w:rFonts w:hint="default" w:eastAsia="仿宋_GB2312" w:cs="Times New Roman"/>
                <w:sz w:val="20"/>
                <w:szCs w:val="20"/>
                <w:lang w:val="en-US" w:eastAsia="zh-CN"/>
              </w:rPr>
            </w:pPr>
            <w:r>
              <w:rPr>
                <w:rFonts w:eastAsia="仿宋_GB2312" w:cs="Times New Roman"/>
                <w:sz w:val="20"/>
                <w:szCs w:val="20"/>
              </w:rPr>
              <w:t>　</w:t>
            </w:r>
            <w:r>
              <w:rPr>
                <w:rFonts w:hint="eastAsia" w:eastAsia="仿宋_GB2312" w:cs="Times New Roman"/>
                <w:sz w:val="20"/>
                <w:szCs w:val="20"/>
                <w:lang w:val="en-US" w:eastAsia="zh-CN"/>
              </w:rPr>
              <w:t>94.34%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center"/>
              <w:rPr>
                <w:rFonts w:eastAsia="仿宋_GB2312" w:cs="Times New Roman"/>
                <w:sz w:val="20"/>
                <w:szCs w:val="20"/>
              </w:rPr>
            </w:pPr>
            <w:r>
              <w:rPr>
                <w:rFonts w:eastAsia="仿宋_GB2312" w:cs="Times New Roman"/>
                <w:sz w:val="20"/>
                <w:szCs w:val="20"/>
              </w:rPr>
              <w:t>经费控制情况（万元）</w:t>
            </w:r>
          </w:p>
        </w:tc>
        <w:tc>
          <w:tcPr>
            <w:tcW w:w="1846"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4</w:t>
            </w:r>
            <w:r>
              <w:rPr>
                <w:rFonts w:eastAsia="仿宋_GB2312" w:cs="Times New Roman"/>
                <w:b/>
                <w:bCs/>
                <w:sz w:val="20"/>
                <w:szCs w:val="20"/>
              </w:rPr>
              <w:t>年决算数</w:t>
            </w:r>
          </w:p>
        </w:tc>
        <w:tc>
          <w:tcPr>
            <w:tcW w:w="2222"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5</w:t>
            </w:r>
            <w:r>
              <w:rPr>
                <w:rFonts w:eastAsia="仿宋_GB2312" w:cs="Times New Roman"/>
                <w:b/>
                <w:bCs/>
                <w:sz w:val="20"/>
                <w:szCs w:val="20"/>
              </w:rPr>
              <w:t>年预算数</w:t>
            </w:r>
          </w:p>
        </w:tc>
        <w:tc>
          <w:tcPr>
            <w:tcW w:w="1890" w:type="dxa"/>
            <w:gridSpan w:val="2"/>
            <w:noWrap w:val="0"/>
            <w:vAlign w:val="center"/>
          </w:tcPr>
          <w:p>
            <w:pPr>
              <w:jc w:val="center"/>
              <w:rPr>
                <w:rFonts w:eastAsia="仿宋_GB2312" w:cs="Times New Roman"/>
                <w:b/>
                <w:bCs/>
                <w:sz w:val="20"/>
                <w:szCs w:val="20"/>
              </w:rPr>
            </w:pPr>
            <w:r>
              <w:rPr>
                <w:rFonts w:eastAsia="仿宋_GB2312" w:cs="Times New Roman"/>
                <w:b/>
                <w:bCs/>
                <w:sz w:val="20"/>
                <w:szCs w:val="20"/>
              </w:rPr>
              <w:t>202</w:t>
            </w:r>
            <w:r>
              <w:rPr>
                <w:rFonts w:hint="eastAsia" w:eastAsia="仿宋_GB2312" w:cs="Times New Roman"/>
                <w:b/>
                <w:bCs/>
                <w:sz w:val="20"/>
                <w:szCs w:val="20"/>
              </w:rPr>
              <w:t>5</w:t>
            </w:r>
            <w:r>
              <w:rPr>
                <w:rFonts w:eastAsia="仿宋_GB2312" w:cs="Times New Roman"/>
                <w:b/>
                <w:bCs/>
                <w:sz w:val="20"/>
                <w:szCs w:val="20"/>
              </w:rPr>
              <w:t>年决算数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90" w:hRule="atLeast"/>
          <w:jc w:val="center"/>
        </w:trPr>
        <w:tc>
          <w:tcPr>
            <w:tcW w:w="3400" w:type="dxa"/>
            <w:noWrap w:val="0"/>
            <w:vAlign w:val="center"/>
          </w:tcPr>
          <w:p>
            <w:pPr>
              <w:jc w:val="center"/>
              <w:rPr>
                <w:rFonts w:hint="eastAsia" w:eastAsia="仿宋_GB2312" w:cs="Times New Roman"/>
                <w:sz w:val="20"/>
                <w:szCs w:val="20"/>
              </w:rPr>
            </w:pPr>
            <w:r>
              <w:rPr>
                <w:rFonts w:hint="eastAsia" w:eastAsia="仿宋_GB2312" w:cs="Times New Roman"/>
                <w:sz w:val="20"/>
                <w:szCs w:val="20"/>
              </w:rPr>
              <w:t>一、部门基本支出</w:t>
            </w:r>
          </w:p>
        </w:tc>
        <w:tc>
          <w:tcPr>
            <w:tcW w:w="1846" w:type="dxa"/>
            <w:gridSpan w:val="2"/>
            <w:noWrap w:val="0"/>
            <w:vAlign w:val="center"/>
          </w:tcPr>
          <w:p>
            <w:pPr>
              <w:jc w:val="center"/>
              <w:rPr>
                <w:rFonts w:eastAsia="仿宋_GB2312" w:cs="Times New Roman"/>
                <w:b/>
                <w:bCs/>
                <w:sz w:val="20"/>
                <w:szCs w:val="20"/>
              </w:rPr>
            </w:pPr>
            <w:r>
              <w:rPr>
                <w:rFonts w:hint="eastAsia" w:eastAsia="仿宋_GB2312" w:cs="Times New Roman"/>
                <w:b/>
                <w:bCs/>
                <w:sz w:val="20"/>
                <w:szCs w:val="20"/>
              </w:rPr>
              <w:t>985.32</w:t>
            </w:r>
          </w:p>
        </w:tc>
        <w:tc>
          <w:tcPr>
            <w:tcW w:w="2222" w:type="dxa"/>
            <w:gridSpan w:val="2"/>
            <w:noWrap w:val="0"/>
            <w:vAlign w:val="center"/>
          </w:tcPr>
          <w:p>
            <w:pPr>
              <w:jc w:val="center"/>
              <w:rPr>
                <w:rFonts w:eastAsia="仿宋_GB2312" w:cs="Times New Roman"/>
                <w:b/>
                <w:bCs/>
                <w:sz w:val="20"/>
                <w:szCs w:val="20"/>
              </w:rPr>
            </w:pPr>
            <w:r>
              <w:rPr>
                <w:rFonts w:hint="eastAsia" w:eastAsia="仿宋_GB2312" w:cs="Times New Roman"/>
                <w:b/>
                <w:bCs/>
                <w:sz w:val="20"/>
                <w:szCs w:val="20"/>
              </w:rPr>
              <w:t>1066.6</w:t>
            </w:r>
          </w:p>
        </w:tc>
        <w:tc>
          <w:tcPr>
            <w:tcW w:w="1890" w:type="dxa"/>
            <w:gridSpan w:val="2"/>
            <w:noWrap w:val="0"/>
            <w:vAlign w:val="center"/>
          </w:tcPr>
          <w:p>
            <w:pPr>
              <w:jc w:val="center"/>
              <w:rPr>
                <w:rFonts w:eastAsia="仿宋_GB2312" w:cs="Times New Roman"/>
                <w:b/>
                <w:bCs/>
                <w:sz w:val="20"/>
                <w:szCs w:val="20"/>
              </w:rPr>
            </w:pPr>
            <w:r>
              <w:rPr>
                <w:rFonts w:hint="eastAsia" w:eastAsia="仿宋_GB2312" w:cs="Times New Roman"/>
                <w:b/>
                <w:bCs/>
                <w:sz w:val="20"/>
                <w:szCs w:val="20"/>
              </w:rPr>
              <w:t>1061.55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rPr>
                <w:rFonts w:hint="eastAsia" w:eastAsia="仿宋_GB2312" w:cs="Times New Roman"/>
                <w:sz w:val="20"/>
                <w:szCs w:val="20"/>
              </w:rPr>
            </w:pPr>
            <w:r>
              <w:rPr>
                <w:rFonts w:hint="eastAsia" w:eastAsia="仿宋_GB2312" w:cs="Times New Roman"/>
                <w:sz w:val="20"/>
                <w:szCs w:val="20"/>
              </w:rPr>
              <w:t>其中：</w:t>
            </w:r>
            <w:r>
              <w:rPr>
                <w:rFonts w:eastAsia="仿宋_GB2312" w:cs="Times New Roman"/>
                <w:sz w:val="20"/>
                <w:szCs w:val="20"/>
              </w:rPr>
              <w:t>公用经费</w:t>
            </w:r>
          </w:p>
        </w:tc>
        <w:tc>
          <w:tcPr>
            <w:tcW w:w="1846" w:type="dxa"/>
            <w:gridSpan w:val="2"/>
            <w:noWrap w:val="0"/>
            <w:vAlign w:val="center"/>
          </w:tcPr>
          <w:p>
            <w:pPr>
              <w:jc w:val="center"/>
              <w:rPr>
                <w:rFonts w:eastAsia="仿宋_GB2312" w:cs="Times New Roman"/>
                <w:b/>
                <w:bCs/>
                <w:sz w:val="20"/>
                <w:szCs w:val="20"/>
              </w:rPr>
            </w:pPr>
          </w:p>
        </w:tc>
        <w:tc>
          <w:tcPr>
            <w:tcW w:w="2222" w:type="dxa"/>
            <w:gridSpan w:val="2"/>
            <w:noWrap w:val="0"/>
            <w:vAlign w:val="center"/>
          </w:tcPr>
          <w:p>
            <w:pPr>
              <w:jc w:val="center"/>
              <w:rPr>
                <w:rFonts w:eastAsia="仿宋_GB2312" w:cs="Times New Roman"/>
                <w:b/>
                <w:bCs/>
                <w:sz w:val="20"/>
                <w:szCs w:val="20"/>
              </w:rPr>
            </w:pPr>
          </w:p>
        </w:tc>
        <w:tc>
          <w:tcPr>
            <w:tcW w:w="1890" w:type="dxa"/>
            <w:gridSpan w:val="2"/>
            <w:noWrap w:val="0"/>
            <w:vAlign w:val="center"/>
          </w:tcPr>
          <w:p>
            <w:pPr>
              <w:jc w:val="center"/>
              <w:rPr>
                <w:rFonts w:eastAsia="仿宋_GB2312" w:cs="Times New Roman"/>
                <w:b/>
                <w:bCs/>
                <w:sz w:val="20"/>
                <w:szCs w:val="20"/>
              </w:rPr>
            </w:pPr>
            <w:r>
              <w:rPr>
                <w:rFonts w:hint="eastAsia" w:eastAsia="仿宋_GB2312" w:cs="Times New Roman"/>
                <w:b/>
                <w:bCs/>
                <w:sz w:val="20"/>
                <w:szCs w:val="20"/>
              </w:rPr>
              <w:t>198.79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其中：办公费</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hint="default" w:eastAsia="仿宋_GB2312" w:cs="Times New Roman"/>
                <w:b/>
                <w:bCs/>
                <w:sz w:val="20"/>
                <w:szCs w:val="20"/>
                <w:lang w:val="en-US" w:eastAsia="zh-CN"/>
              </w:rPr>
            </w:pPr>
            <w:r>
              <w:rPr>
                <w:rFonts w:hint="eastAsia" w:eastAsia="仿宋_GB2312" w:cs="Times New Roman"/>
                <w:sz w:val="20"/>
                <w:szCs w:val="20"/>
                <w:lang w:val="en-US" w:eastAsia="zh-CN"/>
              </w:rPr>
              <w:t>34.78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水费、电费、差旅费</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73.6</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会议费、培训费</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10.25</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三公经费</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20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1</w:t>
            </w:r>
            <w:r>
              <w:rPr>
                <w:rFonts w:hint="eastAsia" w:eastAsia="仿宋_GB2312" w:cs="Times New Roman"/>
                <w:sz w:val="20"/>
                <w:szCs w:val="20"/>
              </w:rPr>
              <w:t>.</w:t>
            </w:r>
            <w:r>
              <w:rPr>
                <w:rFonts w:eastAsia="仿宋_GB2312" w:cs="Times New Roman"/>
                <w:sz w:val="20"/>
                <w:szCs w:val="20"/>
              </w:rPr>
              <w:t>公务用车购置和维护经费</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20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600" w:firstLineChars="300"/>
              <w:jc w:val="left"/>
              <w:rPr>
                <w:rFonts w:eastAsia="仿宋_GB2312" w:cs="Times New Roman"/>
                <w:sz w:val="20"/>
                <w:szCs w:val="20"/>
              </w:rPr>
            </w:pPr>
            <w:r>
              <w:rPr>
                <w:rFonts w:eastAsia="仿宋_GB2312" w:cs="Times New Roman"/>
                <w:sz w:val="20"/>
                <w:szCs w:val="20"/>
              </w:rPr>
              <w:t>其中：公车购置</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w:t>
            </w:r>
            <w:r>
              <w:rPr>
                <w:rFonts w:hint="eastAsia" w:eastAsia="仿宋_GB2312" w:cs="Times New Roman"/>
                <w:sz w:val="20"/>
                <w:szCs w:val="20"/>
              </w:rPr>
              <w:t xml:space="preserve">      </w:t>
            </w:r>
            <w:r>
              <w:rPr>
                <w:rFonts w:eastAsia="仿宋_GB2312" w:cs="Times New Roman"/>
                <w:sz w:val="20"/>
                <w:szCs w:val="20"/>
              </w:rPr>
              <w:t>公车运行维护</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20</w:t>
            </w: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w:t>
            </w:r>
            <w:r>
              <w:rPr>
                <w:rFonts w:hint="eastAsia" w:eastAsia="仿宋_GB2312" w:cs="Times New Roman"/>
                <w:sz w:val="20"/>
                <w:szCs w:val="20"/>
              </w:rPr>
              <w:t xml:space="preserve">    </w:t>
            </w:r>
            <w:r>
              <w:rPr>
                <w:rFonts w:eastAsia="仿宋_GB2312" w:cs="Times New Roman"/>
                <w:sz w:val="20"/>
                <w:szCs w:val="20"/>
              </w:rPr>
              <w:t>2</w:t>
            </w:r>
            <w:r>
              <w:rPr>
                <w:rFonts w:hint="eastAsia" w:eastAsia="仿宋_GB2312" w:cs="Times New Roman"/>
                <w:sz w:val="20"/>
                <w:szCs w:val="20"/>
              </w:rPr>
              <w:t>.</w:t>
            </w:r>
            <w:r>
              <w:rPr>
                <w:rFonts w:eastAsia="仿宋_GB2312" w:cs="Times New Roman"/>
                <w:sz w:val="20"/>
                <w:szCs w:val="20"/>
              </w:rPr>
              <w:t>出国经费</w:t>
            </w:r>
          </w:p>
        </w:tc>
        <w:tc>
          <w:tcPr>
            <w:tcW w:w="1846" w:type="dxa"/>
            <w:gridSpan w:val="2"/>
            <w:noWrap w:val="0"/>
            <w:vAlign w:val="center"/>
          </w:tcPr>
          <w:p>
            <w:pPr>
              <w:jc w:val="center"/>
              <w:rPr>
                <w:rFonts w:eastAsia="仿宋_GB2312" w:cs="Times New Roman"/>
                <w:sz w:val="20"/>
                <w:szCs w:val="20"/>
              </w:rPr>
            </w:pPr>
          </w:p>
        </w:tc>
        <w:tc>
          <w:tcPr>
            <w:tcW w:w="2222" w:type="dxa"/>
            <w:gridSpan w:val="2"/>
            <w:noWrap w:val="0"/>
            <w:vAlign w:val="center"/>
          </w:tcPr>
          <w:p>
            <w:pPr>
              <w:jc w:val="center"/>
              <w:rPr>
                <w:rFonts w:eastAsia="仿宋_GB2312" w:cs="Times New Roman"/>
                <w:sz w:val="20"/>
                <w:szCs w:val="20"/>
              </w:rPr>
            </w:pPr>
          </w:p>
        </w:tc>
        <w:tc>
          <w:tcPr>
            <w:tcW w:w="1890"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w:t>
            </w:r>
            <w:r>
              <w:rPr>
                <w:rFonts w:hint="eastAsia" w:eastAsia="仿宋_GB2312" w:cs="Times New Roman"/>
                <w:sz w:val="20"/>
                <w:szCs w:val="20"/>
              </w:rPr>
              <w:t xml:space="preserve">    </w:t>
            </w:r>
            <w:r>
              <w:rPr>
                <w:rFonts w:eastAsia="仿宋_GB2312" w:cs="Times New Roman"/>
                <w:sz w:val="20"/>
                <w:szCs w:val="20"/>
              </w:rPr>
              <w:t xml:space="preserve"> 3</w:t>
            </w:r>
            <w:r>
              <w:rPr>
                <w:rFonts w:hint="eastAsia" w:eastAsia="仿宋_GB2312" w:cs="Times New Roman"/>
                <w:sz w:val="20"/>
                <w:szCs w:val="20"/>
              </w:rPr>
              <w:t>.</w:t>
            </w:r>
            <w:r>
              <w:rPr>
                <w:rFonts w:eastAsia="仿宋_GB2312" w:cs="Times New Roman"/>
                <w:sz w:val="20"/>
                <w:szCs w:val="20"/>
              </w:rPr>
              <w:t>公务接待</w:t>
            </w:r>
          </w:p>
        </w:tc>
        <w:tc>
          <w:tcPr>
            <w:tcW w:w="1846" w:type="dxa"/>
            <w:gridSpan w:val="2"/>
            <w:noWrap w:val="0"/>
            <w:vAlign w:val="center"/>
          </w:tcPr>
          <w:p>
            <w:pPr>
              <w:jc w:val="center"/>
              <w:rPr>
                <w:rFonts w:eastAsia="仿宋_GB2312" w:cs="Times New Roman"/>
                <w:sz w:val="20"/>
                <w:szCs w:val="20"/>
              </w:rPr>
            </w:pPr>
          </w:p>
        </w:tc>
        <w:tc>
          <w:tcPr>
            <w:tcW w:w="2222" w:type="dxa"/>
            <w:gridSpan w:val="2"/>
            <w:noWrap w:val="0"/>
            <w:vAlign w:val="center"/>
          </w:tcPr>
          <w:p>
            <w:pPr>
              <w:jc w:val="center"/>
              <w:rPr>
                <w:rFonts w:eastAsia="仿宋_GB2312" w:cs="Times New Roman"/>
                <w:sz w:val="20"/>
                <w:szCs w:val="20"/>
              </w:rPr>
            </w:pPr>
          </w:p>
        </w:tc>
        <w:tc>
          <w:tcPr>
            <w:tcW w:w="1890"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ind w:firstLine="800" w:firstLineChars="400"/>
              <w:jc w:val="left"/>
              <w:rPr>
                <w:rFonts w:hint="eastAsia" w:eastAsia="仿宋_GB2312" w:cs="Times New Roman"/>
                <w:sz w:val="20"/>
                <w:szCs w:val="20"/>
              </w:rPr>
            </w:pPr>
            <w:r>
              <w:rPr>
                <w:rFonts w:hint="eastAsia" w:eastAsia="仿宋_GB2312" w:cs="Times New Roman"/>
                <w:sz w:val="20"/>
                <w:szCs w:val="20"/>
              </w:rPr>
              <w:t>二、</w:t>
            </w:r>
            <w:r>
              <w:rPr>
                <w:rFonts w:eastAsia="仿宋_GB2312" w:cs="Times New Roman"/>
                <w:sz w:val="20"/>
                <w:szCs w:val="20"/>
              </w:rPr>
              <w:t>项目支出</w:t>
            </w:r>
            <w:r>
              <w:rPr>
                <w:rFonts w:hint="eastAsia" w:eastAsia="仿宋_GB2312" w:cs="Times New Roman"/>
                <w:sz w:val="20"/>
                <w:szCs w:val="20"/>
              </w:rPr>
              <w:t>小计</w:t>
            </w:r>
          </w:p>
        </w:tc>
        <w:tc>
          <w:tcPr>
            <w:tcW w:w="1846" w:type="dxa"/>
            <w:gridSpan w:val="2"/>
            <w:noWrap w:val="0"/>
            <w:vAlign w:val="center"/>
          </w:tcPr>
          <w:p>
            <w:pPr>
              <w:jc w:val="center"/>
              <w:rPr>
                <w:rFonts w:eastAsia="仿宋_GB2312" w:cs="Times New Roman"/>
                <w:sz w:val="20"/>
                <w:szCs w:val="20"/>
              </w:rPr>
            </w:pPr>
          </w:p>
        </w:tc>
        <w:tc>
          <w:tcPr>
            <w:tcW w:w="2222" w:type="dxa"/>
            <w:gridSpan w:val="2"/>
            <w:noWrap w:val="0"/>
            <w:vAlign w:val="center"/>
          </w:tcPr>
          <w:p>
            <w:pPr>
              <w:jc w:val="center"/>
              <w:rPr>
                <w:rFonts w:hint="default" w:eastAsia="仿宋_GB2312" w:cs="Times New Roman"/>
                <w:sz w:val="20"/>
                <w:szCs w:val="20"/>
                <w:lang w:val="en-US" w:eastAsia="zh-CN"/>
              </w:rPr>
            </w:pPr>
            <w:r>
              <w:rPr>
                <w:rFonts w:hint="eastAsia" w:eastAsia="仿宋_GB2312" w:cs="Times New Roman"/>
                <w:sz w:val="20"/>
                <w:szCs w:val="20"/>
                <w:lang w:val="en-US" w:eastAsia="zh-CN"/>
              </w:rPr>
              <w:t>204</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lang w:val="en-US" w:eastAsia="zh-CN"/>
              </w:rPr>
              <w:t>192.97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  1</w:t>
            </w:r>
            <w:r>
              <w:rPr>
                <w:rFonts w:hint="eastAsia" w:eastAsia="仿宋_GB2312" w:cs="Times New Roman"/>
                <w:sz w:val="20"/>
                <w:szCs w:val="20"/>
              </w:rPr>
              <w:t>.2025年执法办案经费</w:t>
            </w:r>
          </w:p>
        </w:tc>
        <w:tc>
          <w:tcPr>
            <w:tcW w:w="1846" w:type="dxa"/>
            <w:gridSpan w:val="2"/>
            <w:noWrap w:val="0"/>
            <w:vAlign w:val="center"/>
          </w:tcPr>
          <w:p>
            <w:pPr>
              <w:jc w:val="center"/>
              <w:rPr>
                <w:rFonts w:eastAsia="仿宋_GB2312" w:cs="Times New Roman"/>
                <w:sz w:val="20"/>
                <w:szCs w:val="20"/>
              </w:rPr>
            </w:pPr>
          </w:p>
        </w:tc>
        <w:tc>
          <w:tcPr>
            <w:tcW w:w="2222"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8</w:t>
            </w:r>
          </w:p>
        </w:tc>
        <w:tc>
          <w:tcPr>
            <w:tcW w:w="1890" w:type="dxa"/>
            <w:gridSpan w:val="2"/>
            <w:noWrap w:val="0"/>
            <w:vAlign w:val="center"/>
          </w:tcPr>
          <w:p>
            <w:pPr>
              <w:jc w:val="center"/>
              <w:rPr>
                <w:rFonts w:hint="eastAsia" w:eastAsia="仿宋_GB2312" w:cs="Times New Roman"/>
                <w:sz w:val="20"/>
                <w:szCs w:val="20"/>
                <w:lang w:val="en-US" w:eastAsia="zh-CN"/>
              </w:rPr>
            </w:pPr>
            <w:r>
              <w:rPr>
                <w:rFonts w:hint="eastAsia" w:eastAsia="仿宋_GB2312" w:cs="Times New Roman"/>
                <w:sz w:val="20"/>
                <w:szCs w:val="20"/>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center"/>
              <w:rPr>
                <w:rFonts w:eastAsia="仿宋_GB2312" w:cs="Times New Roman"/>
                <w:sz w:val="20"/>
                <w:szCs w:val="20"/>
              </w:rPr>
            </w:pPr>
            <w:r>
              <w:rPr>
                <w:rFonts w:eastAsia="仿宋_GB2312" w:cs="Times New Roman"/>
                <w:sz w:val="20"/>
                <w:szCs w:val="20"/>
              </w:rPr>
              <w:t>2</w:t>
            </w:r>
            <w:r>
              <w:rPr>
                <w:rFonts w:hint="eastAsia" w:eastAsia="仿宋_GB2312" w:cs="Times New Roman"/>
                <w:sz w:val="20"/>
                <w:szCs w:val="20"/>
              </w:rPr>
              <w:t>.提前下达2025年中央和省级ZFZYZF资金转移支付资金</w:t>
            </w:r>
          </w:p>
        </w:tc>
        <w:tc>
          <w:tcPr>
            <w:tcW w:w="1846" w:type="dxa"/>
            <w:gridSpan w:val="2"/>
            <w:noWrap w:val="0"/>
            <w:vAlign w:val="center"/>
          </w:tcPr>
          <w:p>
            <w:pPr>
              <w:jc w:val="center"/>
              <w:rPr>
                <w:rFonts w:eastAsia="仿宋_GB2312" w:cs="Times New Roman"/>
                <w:sz w:val="20"/>
                <w:szCs w:val="20"/>
              </w:rPr>
            </w:pPr>
          </w:p>
        </w:tc>
        <w:tc>
          <w:tcPr>
            <w:tcW w:w="2222" w:type="dxa"/>
            <w:gridSpan w:val="2"/>
            <w:noWrap w:val="0"/>
            <w:vAlign w:val="center"/>
          </w:tcPr>
          <w:p>
            <w:pPr>
              <w:jc w:val="center"/>
              <w:rPr>
                <w:rFonts w:eastAsia="仿宋_GB2312" w:cs="Times New Roman"/>
                <w:sz w:val="20"/>
                <w:szCs w:val="20"/>
              </w:rPr>
            </w:pPr>
            <w:r>
              <w:rPr>
                <w:rFonts w:hint="eastAsia" w:eastAsia="仿宋_GB2312" w:cs="Times New Roman"/>
                <w:sz w:val="20"/>
                <w:szCs w:val="20"/>
              </w:rPr>
              <w:t>196</w:t>
            </w:r>
          </w:p>
        </w:tc>
        <w:tc>
          <w:tcPr>
            <w:tcW w:w="1890" w:type="dxa"/>
            <w:gridSpan w:val="2"/>
            <w:noWrap w:val="0"/>
            <w:vAlign w:val="center"/>
          </w:tcPr>
          <w:p>
            <w:pPr>
              <w:jc w:val="center"/>
              <w:rPr>
                <w:rFonts w:eastAsia="仿宋_GB2312" w:cs="Times New Roman"/>
                <w:sz w:val="20"/>
                <w:szCs w:val="20"/>
              </w:rPr>
            </w:pPr>
            <w:r>
              <w:rPr>
                <w:rFonts w:hint="eastAsia" w:eastAsia="仿宋_GB2312" w:cs="Times New Roman"/>
                <w:sz w:val="20"/>
                <w:szCs w:val="20"/>
              </w:rPr>
              <w:t>185.97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政府采购金额</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noWrap w:val="0"/>
            <w:vAlign w:val="center"/>
          </w:tcPr>
          <w:p>
            <w:pPr>
              <w:jc w:val="left"/>
              <w:rPr>
                <w:rFonts w:eastAsia="仿宋_GB2312" w:cs="Times New Roman"/>
                <w:sz w:val="20"/>
                <w:szCs w:val="20"/>
              </w:rPr>
            </w:pPr>
            <w:r>
              <w:rPr>
                <w:rFonts w:eastAsia="仿宋_GB2312" w:cs="Times New Roman"/>
                <w:sz w:val="20"/>
                <w:szCs w:val="20"/>
              </w:rPr>
              <w:t xml:space="preserve">部门基本支出预算调整 </w:t>
            </w:r>
          </w:p>
        </w:tc>
        <w:tc>
          <w:tcPr>
            <w:tcW w:w="1846" w:type="dxa"/>
            <w:gridSpan w:val="2"/>
            <w:noWrap w:val="0"/>
            <w:vAlign w:val="center"/>
          </w:tcPr>
          <w:p>
            <w:pPr>
              <w:jc w:val="center"/>
              <w:rPr>
                <w:rFonts w:eastAsia="仿宋_GB2312" w:cs="Times New Roman"/>
                <w:sz w:val="20"/>
                <w:szCs w:val="20"/>
              </w:rPr>
            </w:pPr>
            <w:r>
              <w:rPr>
                <w:rFonts w:eastAsia="仿宋_GB2312" w:cs="Times New Roman"/>
                <w:sz w:val="20"/>
                <w:szCs w:val="20"/>
              </w:rPr>
              <w:t>——</w:t>
            </w:r>
          </w:p>
        </w:tc>
        <w:tc>
          <w:tcPr>
            <w:tcW w:w="2222"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c>
          <w:tcPr>
            <w:tcW w:w="1890" w:type="dxa"/>
            <w:gridSpan w:val="2"/>
            <w:noWrap w:val="0"/>
            <w:vAlign w:val="center"/>
          </w:tcPr>
          <w:p>
            <w:pPr>
              <w:jc w:val="center"/>
              <w:rPr>
                <w:rFonts w:eastAsia="仿宋_GB2312" w:cs="Times New Roman"/>
                <w:sz w:val="20"/>
                <w:szCs w:val="20"/>
              </w:rPr>
            </w:pP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3400" w:type="dxa"/>
            <w:vMerge w:val="restart"/>
            <w:noWrap w:val="0"/>
            <w:vAlign w:val="center"/>
          </w:tcPr>
          <w:p>
            <w:pPr>
              <w:jc w:val="center"/>
              <w:rPr>
                <w:rFonts w:eastAsia="仿宋_GB2312" w:cs="Times New Roman"/>
                <w:sz w:val="20"/>
                <w:szCs w:val="20"/>
              </w:rPr>
            </w:pPr>
            <w:r>
              <w:rPr>
                <w:rFonts w:eastAsia="仿宋_GB2312" w:cs="Times New Roman"/>
                <w:sz w:val="20"/>
                <w:szCs w:val="20"/>
              </w:rPr>
              <w:t>楼堂馆所控制情况</w:t>
            </w:r>
          </w:p>
          <w:p>
            <w:pPr>
              <w:jc w:val="center"/>
              <w:rPr>
                <w:rFonts w:eastAsia="仿宋_GB2312" w:cs="Times New Roman"/>
                <w:sz w:val="20"/>
                <w:szCs w:val="20"/>
              </w:rPr>
            </w:pPr>
            <w:r>
              <w:rPr>
                <w:rFonts w:eastAsia="仿宋_GB2312" w:cs="Times New Roman"/>
                <w:sz w:val="20"/>
                <w:szCs w:val="20"/>
              </w:rPr>
              <w:t>（202</w:t>
            </w:r>
            <w:r>
              <w:rPr>
                <w:rFonts w:hint="eastAsia" w:eastAsia="仿宋_GB2312" w:cs="Times New Roman"/>
                <w:sz w:val="20"/>
                <w:szCs w:val="20"/>
              </w:rPr>
              <w:t>5</w:t>
            </w:r>
            <w:r>
              <w:rPr>
                <w:rFonts w:eastAsia="仿宋_GB2312" w:cs="Times New Roman"/>
                <w:sz w:val="20"/>
                <w:szCs w:val="20"/>
              </w:rPr>
              <w:t>年完工项目）</w:t>
            </w:r>
          </w:p>
        </w:tc>
        <w:tc>
          <w:tcPr>
            <w:tcW w:w="1205" w:type="dxa"/>
            <w:noWrap w:val="0"/>
            <w:vAlign w:val="center"/>
          </w:tcPr>
          <w:p>
            <w:pPr>
              <w:spacing w:line="240" w:lineRule="exact"/>
              <w:jc w:val="center"/>
              <w:rPr>
                <w:rFonts w:eastAsia="仿宋_GB2312" w:cs="Times New Roman"/>
                <w:bCs/>
                <w:sz w:val="20"/>
                <w:szCs w:val="20"/>
              </w:rPr>
            </w:pPr>
            <w:r>
              <w:rPr>
                <w:rFonts w:eastAsia="仿宋_GB2312" w:cs="Times New Roman"/>
                <w:bCs/>
                <w:sz w:val="20"/>
                <w:szCs w:val="20"/>
              </w:rPr>
              <w:t>批复规模</w:t>
            </w:r>
          </w:p>
          <w:p>
            <w:pPr>
              <w:spacing w:line="240" w:lineRule="exact"/>
              <w:jc w:val="center"/>
              <w:rPr>
                <w:rFonts w:eastAsia="仿宋_GB2312" w:cs="Times New Roman"/>
                <w:sz w:val="20"/>
                <w:szCs w:val="20"/>
              </w:rPr>
            </w:pPr>
            <w:r>
              <w:rPr>
                <w:rFonts w:eastAsia="仿宋_GB2312" w:cs="Times New Roman"/>
                <w:bCs/>
                <w:sz w:val="20"/>
                <w:szCs w:val="20"/>
              </w:rPr>
              <w:t>（</w:t>
            </w:r>
            <w:r>
              <w:rPr>
                <w:rFonts w:eastAsia="宋体" w:cs="Times New Roman"/>
                <w:bCs/>
                <w:sz w:val="20"/>
                <w:szCs w:val="20"/>
              </w:rPr>
              <w:t>㎡</w:t>
            </w:r>
            <w:r>
              <w:rPr>
                <w:rFonts w:eastAsia="仿宋_GB2312" w:cs="Times New Roman"/>
                <w:bCs/>
                <w:sz w:val="20"/>
                <w:szCs w:val="20"/>
              </w:rPr>
              <w:t>）</w:t>
            </w:r>
          </w:p>
        </w:tc>
        <w:tc>
          <w:tcPr>
            <w:tcW w:w="641" w:type="dxa"/>
            <w:noWrap w:val="0"/>
            <w:vAlign w:val="center"/>
          </w:tcPr>
          <w:p>
            <w:pPr>
              <w:spacing w:line="240" w:lineRule="exact"/>
              <w:jc w:val="center"/>
              <w:rPr>
                <w:rFonts w:eastAsia="宋体" w:cs="Times New Roman"/>
              </w:rPr>
            </w:pPr>
            <w:r>
              <w:rPr>
                <w:rFonts w:eastAsia="仿宋_GB2312" w:cs="Times New Roman"/>
                <w:bCs/>
                <w:sz w:val="20"/>
                <w:szCs w:val="20"/>
              </w:rPr>
              <w:t>实际规模（</w:t>
            </w:r>
            <w:r>
              <w:rPr>
                <w:rFonts w:eastAsia="宋体" w:cs="Times New Roman"/>
                <w:bCs/>
                <w:sz w:val="20"/>
                <w:szCs w:val="20"/>
              </w:rPr>
              <w:t>㎡</w:t>
            </w:r>
            <w:r>
              <w:rPr>
                <w:rFonts w:eastAsia="仿宋_GB2312" w:cs="Times New Roman"/>
                <w:bCs/>
                <w:sz w:val="20"/>
                <w:szCs w:val="20"/>
              </w:rPr>
              <w:t>）</w:t>
            </w:r>
          </w:p>
        </w:tc>
        <w:tc>
          <w:tcPr>
            <w:tcW w:w="1144" w:type="dxa"/>
            <w:noWrap w:val="0"/>
            <w:vAlign w:val="center"/>
          </w:tcPr>
          <w:p>
            <w:pPr>
              <w:spacing w:line="240" w:lineRule="exact"/>
              <w:jc w:val="center"/>
              <w:rPr>
                <w:rFonts w:eastAsia="仿宋_GB2312" w:cs="Times New Roman"/>
                <w:sz w:val="20"/>
                <w:szCs w:val="20"/>
              </w:rPr>
            </w:pPr>
            <w:r>
              <w:rPr>
                <w:rFonts w:eastAsia="仿宋_GB2312" w:cs="Times New Roman"/>
                <w:bCs/>
                <w:sz w:val="20"/>
                <w:szCs w:val="20"/>
              </w:rPr>
              <w:t>规模控制率</w:t>
            </w:r>
          </w:p>
        </w:tc>
        <w:tc>
          <w:tcPr>
            <w:tcW w:w="1078" w:type="dxa"/>
            <w:noWrap w:val="0"/>
            <w:vAlign w:val="center"/>
          </w:tcPr>
          <w:p>
            <w:pPr>
              <w:spacing w:line="240" w:lineRule="exact"/>
              <w:jc w:val="center"/>
              <w:rPr>
                <w:rFonts w:eastAsia="宋体" w:cs="Times New Roman"/>
              </w:rPr>
            </w:pPr>
            <w:r>
              <w:rPr>
                <w:rFonts w:eastAsia="仿宋_GB2312" w:cs="Times New Roman"/>
                <w:bCs/>
                <w:sz w:val="20"/>
                <w:szCs w:val="20"/>
              </w:rPr>
              <w:t>预算投资（万元）</w:t>
            </w:r>
          </w:p>
        </w:tc>
        <w:tc>
          <w:tcPr>
            <w:tcW w:w="1095" w:type="dxa"/>
            <w:noWrap w:val="0"/>
            <w:vAlign w:val="center"/>
          </w:tcPr>
          <w:p>
            <w:pPr>
              <w:spacing w:line="240" w:lineRule="exact"/>
              <w:jc w:val="center"/>
              <w:rPr>
                <w:rFonts w:eastAsia="仿宋_GB2312" w:cs="Times New Roman"/>
                <w:sz w:val="20"/>
                <w:szCs w:val="20"/>
              </w:rPr>
            </w:pPr>
            <w:r>
              <w:rPr>
                <w:rFonts w:eastAsia="仿宋_GB2312" w:cs="Times New Roman"/>
                <w:bCs/>
                <w:sz w:val="20"/>
                <w:szCs w:val="20"/>
              </w:rPr>
              <w:t>实际投资（万元）</w:t>
            </w:r>
          </w:p>
        </w:tc>
        <w:tc>
          <w:tcPr>
            <w:tcW w:w="795" w:type="dxa"/>
            <w:noWrap w:val="0"/>
            <w:vAlign w:val="center"/>
          </w:tcPr>
          <w:p>
            <w:pPr>
              <w:spacing w:line="240" w:lineRule="exact"/>
              <w:jc w:val="center"/>
              <w:rPr>
                <w:rFonts w:eastAsia="宋体" w:cs="Times New Roman"/>
              </w:rPr>
            </w:pPr>
            <w:r>
              <w:rPr>
                <w:rFonts w:eastAsia="仿宋_GB2312" w:cs="Times New Roman"/>
                <w:bCs/>
                <w:sz w:val="20"/>
                <w:szCs w:val="20"/>
              </w:rPr>
              <w:t>投资概算控制率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4" w:hRule="atLeast"/>
          <w:jc w:val="center"/>
        </w:trPr>
        <w:tc>
          <w:tcPr>
            <w:tcW w:w="3400" w:type="dxa"/>
            <w:vMerge w:val="continue"/>
            <w:noWrap w:val="0"/>
            <w:vAlign w:val="center"/>
          </w:tcPr>
          <w:p>
            <w:pPr>
              <w:jc w:val="left"/>
              <w:rPr>
                <w:rFonts w:eastAsia="仿宋_GB2312" w:cs="Times New Roman"/>
                <w:sz w:val="20"/>
                <w:szCs w:val="20"/>
              </w:rPr>
            </w:pPr>
          </w:p>
        </w:tc>
        <w:tc>
          <w:tcPr>
            <w:tcW w:w="1205" w:type="dxa"/>
            <w:noWrap w:val="0"/>
            <w:vAlign w:val="center"/>
          </w:tcPr>
          <w:p>
            <w:pPr>
              <w:jc w:val="center"/>
              <w:rPr>
                <w:rFonts w:eastAsia="仿宋_GB2312" w:cs="Times New Roman"/>
                <w:sz w:val="20"/>
                <w:szCs w:val="20"/>
              </w:rPr>
            </w:pPr>
            <w:r>
              <w:rPr>
                <w:rFonts w:eastAsia="仿宋_GB2312" w:cs="Times New Roman"/>
                <w:sz w:val="20"/>
                <w:szCs w:val="20"/>
              </w:rPr>
              <w:t>　</w:t>
            </w:r>
          </w:p>
        </w:tc>
        <w:tc>
          <w:tcPr>
            <w:tcW w:w="641" w:type="dxa"/>
            <w:noWrap w:val="0"/>
            <w:vAlign w:val="center"/>
          </w:tcPr>
          <w:p>
            <w:pPr>
              <w:jc w:val="left"/>
              <w:rPr>
                <w:rFonts w:eastAsia="宋体" w:cs="Times New Roman"/>
              </w:rPr>
            </w:pPr>
            <w:r>
              <w:rPr>
                <w:rFonts w:eastAsia="仿宋_GB2312" w:cs="Times New Roman"/>
                <w:sz w:val="20"/>
                <w:szCs w:val="20"/>
              </w:rPr>
              <w:t>　</w:t>
            </w:r>
          </w:p>
        </w:tc>
        <w:tc>
          <w:tcPr>
            <w:tcW w:w="1144" w:type="dxa"/>
            <w:noWrap w:val="0"/>
            <w:vAlign w:val="center"/>
          </w:tcPr>
          <w:p>
            <w:pPr>
              <w:jc w:val="left"/>
              <w:rPr>
                <w:rFonts w:eastAsia="仿宋_GB2312" w:cs="Times New Roman"/>
                <w:sz w:val="20"/>
                <w:szCs w:val="20"/>
              </w:rPr>
            </w:pPr>
            <w:r>
              <w:rPr>
                <w:rFonts w:eastAsia="仿宋_GB2312" w:cs="Times New Roman"/>
                <w:sz w:val="20"/>
                <w:szCs w:val="20"/>
              </w:rPr>
              <w:t>　</w:t>
            </w:r>
          </w:p>
        </w:tc>
        <w:tc>
          <w:tcPr>
            <w:tcW w:w="1078" w:type="dxa"/>
            <w:noWrap w:val="0"/>
            <w:vAlign w:val="center"/>
          </w:tcPr>
          <w:p>
            <w:pPr>
              <w:jc w:val="left"/>
              <w:rPr>
                <w:rFonts w:eastAsia="宋体" w:cs="Times New Roman"/>
              </w:rPr>
            </w:pPr>
            <w:r>
              <w:rPr>
                <w:rFonts w:eastAsia="仿宋_GB2312" w:cs="Times New Roman"/>
                <w:sz w:val="20"/>
                <w:szCs w:val="20"/>
              </w:rPr>
              <w:t>　</w:t>
            </w:r>
          </w:p>
        </w:tc>
        <w:tc>
          <w:tcPr>
            <w:tcW w:w="1095" w:type="dxa"/>
            <w:noWrap w:val="0"/>
            <w:vAlign w:val="center"/>
          </w:tcPr>
          <w:p>
            <w:pPr>
              <w:jc w:val="left"/>
              <w:rPr>
                <w:rFonts w:eastAsia="仿宋_GB2312" w:cs="Times New Roman"/>
                <w:sz w:val="20"/>
                <w:szCs w:val="20"/>
              </w:rPr>
            </w:pPr>
            <w:r>
              <w:rPr>
                <w:rFonts w:eastAsia="仿宋_GB2312" w:cs="Times New Roman"/>
                <w:sz w:val="20"/>
                <w:szCs w:val="20"/>
              </w:rPr>
              <w:t>　</w:t>
            </w:r>
          </w:p>
        </w:tc>
        <w:tc>
          <w:tcPr>
            <w:tcW w:w="795" w:type="dxa"/>
            <w:noWrap w:val="0"/>
            <w:vAlign w:val="center"/>
          </w:tcPr>
          <w:p>
            <w:pPr>
              <w:jc w:val="left"/>
              <w:rPr>
                <w:rFonts w:eastAsia="宋体" w:cs="Times New Roman"/>
              </w:rPr>
            </w:pPr>
            <w:r>
              <w:rPr>
                <w:rFonts w:eastAsia="仿宋_GB2312" w:cs="Times New Roman"/>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9" w:hRule="atLeast"/>
          <w:jc w:val="center"/>
        </w:trPr>
        <w:tc>
          <w:tcPr>
            <w:tcW w:w="3400" w:type="dxa"/>
            <w:noWrap w:val="0"/>
            <w:vAlign w:val="center"/>
          </w:tcPr>
          <w:p>
            <w:pPr>
              <w:jc w:val="center"/>
              <w:rPr>
                <w:rFonts w:eastAsia="仿宋_GB2312" w:cs="Times New Roman"/>
                <w:sz w:val="20"/>
                <w:szCs w:val="20"/>
              </w:rPr>
            </w:pPr>
            <w:r>
              <w:rPr>
                <w:rFonts w:eastAsia="仿宋_GB2312" w:cs="Times New Roman"/>
                <w:sz w:val="20"/>
                <w:szCs w:val="20"/>
              </w:rPr>
              <w:t>厉行节约保障措施</w:t>
            </w:r>
          </w:p>
        </w:tc>
        <w:tc>
          <w:tcPr>
            <w:tcW w:w="5958" w:type="dxa"/>
            <w:gridSpan w:val="6"/>
            <w:noWrap w:val="0"/>
            <w:vAlign w:val="center"/>
          </w:tcPr>
          <w:p>
            <w:pPr>
              <w:jc w:val="center"/>
              <w:rPr>
                <w:rFonts w:eastAsia="仿宋_GB2312" w:cs="Times New Roman"/>
                <w:sz w:val="20"/>
                <w:szCs w:val="20"/>
              </w:rPr>
            </w:pPr>
            <w:r>
              <w:rPr>
                <w:rFonts w:eastAsia="仿宋_GB2312" w:cs="Times New Roman"/>
                <w:sz w:val="20"/>
                <w:szCs w:val="20"/>
              </w:rPr>
              <w:t>　</w:t>
            </w:r>
          </w:p>
        </w:tc>
      </w:tr>
    </w:tbl>
    <w:p>
      <w:pPr>
        <w:rPr>
          <w:rFonts w:hint="eastAsia" w:eastAsia="仿宋_GB2312"/>
          <w:sz w:val="20"/>
          <w:szCs w:val="21"/>
          <w:lang w:val="en-US" w:eastAsia="zh-CN"/>
        </w:rPr>
      </w:pPr>
      <w:r>
        <w:rPr>
          <w:rFonts w:eastAsia="仿宋_GB2312" w:cs="Times New Roman"/>
          <w:sz w:val="21"/>
          <w:szCs w:val="21"/>
        </w:rPr>
        <w:t>填表人：</w:t>
      </w:r>
      <w:r>
        <w:rPr>
          <w:rFonts w:hint="eastAsia" w:eastAsia="仿宋_GB2312" w:cs="Times New Roman"/>
          <w:sz w:val="21"/>
          <w:szCs w:val="21"/>
          <w:lang w:val="en-US" w:eastAsia="zh-CN"/>
        </w:rPr>
        <w:t>郭馨月</w:t>
      </w:r>
      <w:r>
        <w:rPr>
          <w:rFonts w:eastAsia="仿宋_GB2312" w:cs="Times New Roman"/>
          <w:sz w:val="21"/>
          <w:szCs w:val="21"/>
        </w:rPr>
        <w:t xml:space="preserve"> 填报日期：</w:t>
      </w:r>
      <w:r>
        <w:rPr>
          <w:rFonts w:hint="eastAsia" w:eastAsia="仿宋_GB2312" w:cs="Times New Roman"/>
          <w:sz w:val="21"/>
          <w:szCs w:val="21"/>
          <w:lang w:val="en-US" w:eastAsia="zh-CN"/>
        </w:rPr>
        <w:t>2026年9月23日</w:t>
      </w:r>
      <w:r>
        <w:rPr>
          <w:rFonts w:eastAsia="仿宋_GB2312" w:cs="Times New Roman"/>
          <w:sz w:val="21"/>
          <w:szCs w:val="21"/>
        </w:rPr>
        <w:t xml:space="preserve"> 联系电话：</w:t>
      </w:r>
      <w:r>
        <w:rPr>
          <w:rFonts w:hint="eastAsia" w:eastAsia="仿宋_GB2312" w:cs="Times New Roman"/>
          <w:sz w:val="21"/>
          <w:szCs w:val="21"/>
          <w:lang w:val="en-US" w:eastAsia="zh-CN"/>
        </w:rPr>
        <w:t>18673558556</w:t>
      </w:r>
      <w:r>
        <w:rPr>
          <w:rFonts w:eastAsia="仿宋_GB2312" w:cs="Times New Roman"/>
          <w:sz w:val="21"/>
          <w:szCs w:val="21"/>
        </w:rPr>
        <w:t xml:space="preserve"> 单位负责人：</w:t>
      </w:r>
      <w:r>
        <w:rPr>
          <w:rFonts w:hint="eastAsia" w:eastAsia="仿宋_GB2312" w:cs="Times New Roman"/>
          <w:sz w:val="21"/>
          <w:szCs w:val="21"/>
          <w:lang w:val="en-US" w:eastAsia="zh-CN"/>
        </w:rPr>
        <w:t>唐慧云</w:t>
      </w:r>
    </w:p>
    <w:p/>
    <w:p/>
    <w:p/>
    <w:p/>
    <w:p/>
    <w:p/>
    <w:p/>
    <w:p/>
    <w:p>
      <w:pPr>
        <w:keepNext w:val="0"/>
        <w:keepLines w:val="0"/>
        <w:pageBreakBefore w:val="0"/>
        <w:widowControl w:val="0"/>
        <w:kinsoku/>
        <w:wordWrap/>
        <w:overflowPunct/>
        <w:topLinePunct w:val="0"/>
        <w:autoSpaceDE/>
        <w:autoSpaceDN/>
        <w:bidi w:val="0"/>
        <w:adjustRightInd/>
        <w:snapToGrid/>
        <w:spacing w:after="240" w:afterLines="100" w:line="500" w:lineRule="exact"/>
        <w:jc w:val="left"/>
        <w:textAlignment w:val="auto"/>
        <w:rPr>
          <w:rFonts w:hint="default" w:ascii="黑体" w:hAnsi="黑体" w:eastAsia="黑体" w:cs="黑体"/>
          <w:sz w:val="32"/>
          <w:szCs w:val="32"/>
        </w:rPr>
      </w:pPr>
      <w:r>
        <w:rPr>
          <w:rFonts w:hint="eastAsia" w:ascii="黑体" w:hAnsi="黑体" w:eastAsia="黑体" w:cs="黑体"/>
          <w:sz w:val="32"/>
          <w:szCs w:val="32"/>
        </w:rPr>
        <w:t>附件</w:t>
      </w:r>
      <w:r>
        <w:rPr>
          <w:rFonts w:hint="default" w:ascii="黑体" w:hAnsi="黑体" w:eastAsia="黑体" w:cs="黑体"/>
          <w:sz w:val="32"/>
          <w:szCs w:val="32"/>
        </w:rPr>
        <w:t>2</w:t>
      </w:r>
    </w:p>
    <w:p>
      <w:pPr>
        <w:keepNext w:val="0"/>
        <w:keepLines w:val="0"/>
        <w:pageBreakBefore w:val="0"/>
        <w:widowControl w:val="0"/>
        <w:kinsoku/>
        <w:wordWrap/>
        <w:overflowPunct/>
        <w:topLinePunct w:val="0"/>
        <w:autoSpaceDE/>
        <w:autoSpaceDN/>
        <w:bidi w:val="0"/>
        <w:adjustRightInd/>
        <w:snapToGrid/>
        <w:spacing w:after="240" w:afterLines="100" w:line="500" w:lineRule="exact"/>
        <w:jc w:val="center"/>
        <w:textAlignment w:val="auto"/>
        <w:rPr>
          <w:rFonts w:ascii="方正小标宋简体" w:eastAsia="方正小标宋简体"/>
          <w:sz w:val="44"/>
          <w:szCs w:val="44"/>
        </w:rPr>
      </w:pPr>
      <w:r>
        <w:rPr>
          <w:rFonts w:hint="eastAsia" w:ascii="方正小标宋简体" w:eastAsia="方正小标宋简体"/>
          <w:sz w:val="44"/>
          <w:szCs w:val="44"/>
          <w:lang w:val="en-US" w:eastAsia="zh-CN"/>
        </w:rPr>
        <w:t>2025</w:t>
      </w:r>
      <w:r>
        <w:rPr>
          <w:rFonts w:ascii="方正小标宋简体" w:eastAsia="方正小标宋简体"/>
          <w:sz w:val="44"/>
          <w:szCs w:val="44"/>
        </w:rPr>
        <w:t>年度部门整体支出绩效自评表</w:t>
      </w:r>
    </w:p>
    <w:tbl>
      <w:tblPr>
        <w:tblStyle w:val="9"/>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62"/>
        <w:gridCol w:w="713"/>
        <w:gridCol w:w="750"/>
        <w:gridCol w:w="1561"/>
        <w:gridCol w:w="172"/>
        <w:gridCol w:w="1260"/>
        <w:gridCol w:w="848"/>
        <w:gridCol w:w="718"/>
        <w:gridCol w:w="884"/>
        <w:gridCol w:w="14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40" w:hRule="atLeast"/>
          <w:jc w:val="center"/>
        </w:trPr>
        <w:tc>
          <w:tcPr>
            <w:tcW w:w="962"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市级预算部门名称</w:t>
            </w:r>
          </w:p>
        </w:tc>
        <w:tc>
          <w:tcPr>
            <w:tcW w:w="8349" w:type="dxa"/>
            <w:gridSpan w:val="9"/>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永州市公安局金洞分局</w:t>
            </w: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年度预</w:t>
            </w:r>
          </w:p>
          <w:p>
            <w:pPr>
              <w:spacing w:line="240" w:lineRule="exact"/>
              <w:jc w:val="center"/>
              <w:rPr>
                <w:rFonts w:eastAsia="仿宋_GB2312"/>
                <w:color w:val="000000"/>
                <w:sz w:val="20"/>
                <w:szCs w:val="20"/>
              </w:rPr>
            </w:pPr>
            <w:r>
              <w:rPr>
                <w:rFonts w:eastAsia="仿宋_GB2312"/>
                <w:color w:val="000000"/>
                <w:sz w:val="20"/>
                <w:szCs w:val="20"/>
              </w:rPr>
              <w:t>算申请</w:t>
            </w:r>
          </w:p>
          <w:p>
            <w:pPr>
              <w:spacing w:line="240" w:lineRule="exact"/>
              <w:jc w:val="center"/>
              <w:rPr>
                <w:rFonts w:eastAsia="仿宋_GB2312"/>
                <w:color w:val="000000"/>
                <w:sz w:val="20"/>
                <w:szCs w:val="20"/>
              </w:rPr>
            </w:pPr>
            <w:r>
              <w:rPr>
                <w:rFonts w:eastAsia="仿宋_GB2312"/>
                <w:color w:val="000000"/>
                <w:sz w:val="20"/>
                <w:szCs w:val="20"/>
              </w:rPr>
              <w:t>（万元）</w:t>
            </w:r>
          </w:p>
        </w:tc>
        <w:tc>
          <w:tcPr>
            <w:tcW w:w="1463" w:type="dxa"/>
            <w:gridSpan w:val="2"/>
            <w:noWrap w:val="0"/>
            <w:vAlign w:val="center"/>
          </w:tcPr>
          <w:p>
            <w:pPr>
              <w:spacing w:line="240" w:lineRule="exact"/>
              <w:jc w:val="center"/>
              <w:rPr>
                <w:rFonts w:eastAsia="仿宋_GB2312"/>
                <w:sz w:val="20"/>
                <w:szCs w:val="20"/>
              </w:rPr>
            </w:pPr>
          </w:p>
        </w:tc>
        <w:tc>
          <w:tcPr>
            <w:tcW w:w="1561" w:type="dxa"/>
            <w:noWrap w:val="0"/>
            <w:vAlign w:val="center"/>
          </w:tcPr>
          <w:p>
            <w:pPr>
              <w:spacing w:line="240" w:lineRule="exact"/>
              <w:jc w:val="center"/>
              <w:rPr>
                <w:rFonts w:eastAsia="仿宋_GB2312"/>
                <w:sz w:val="20"/>
                <w:szCs w:val="20"/>
              </w:rPr>
            </w:pPr>
            <w:r>
              <w:rPr>
                <w:rFonts w:eastAsia="仿宋_GB2312"/>
                <w:sz w:val="20"/>
                <w:szCs w:val="20"/>
              </w:rPr>
              <w:t>年初预算数</w:t>
            </w:r>
          </w:p>
        </w:tc>
        <w:tc>
          <w:tcPr>
            <w:tcW w:w="1432" w:type="dxa"/>
            <w:gridSpan w:val="2"/>
            <w:noWrap w:val="0"/>
            <w:vAlign w:val="center"/>
          </w:tcPr>
          <w:p>
            <w:pPr>
              <w:spacing w:line="240" w:lineRule="exact"/>
              <w:jc w:val="center"/>
              <w:rPr>
                <w:rFonts w:eastAsia="仿宋_GB2312"/>
                <w:sz w:val="20"/>
                <w:szCs w:val="20"/>
              </w:rPr>
            </w:pPr>
            <w:r>
              <w:rPr>
                <w:rFonts w:eastAsia="仿宋_GB2312"/>
                <w:sz w:val="20"/>
                <w:szCs w:val="20"/>
              </w:rPr>
              <w:t>全年预算数</w:t>
            </w:r>
          </w:p>
        </w:tc>
        <w:tc>
          <w:tcPr>
            <w:tcW w:w="848" w:type="dxa"/>
            <w:noWrap w:val="0"/>
            <w:vAlign w:val="center"/>
          </w:tcPr>
          <w:p>
            <w:pPr>
              <w:spacing w:line="240" w:lineRule="exact"/>
              <w:jc w:val="center"/>
              <w:rPr>
                <w:rFonts w:eastAsia="仿宋_GB2312"/>
                <w:sz w:val="20"/>
                <w:szCs w:val="20"/>
              </w:rPr>
            </w:pPr>
            <w:r>
              <w:rPr>
                <w:rFonts w:eastAsia="仿宋_GB2312"/>
                <w:sz w:val="20"/>
                <w:szCs w:val="20"/>
              </w:rPr>
              <w:t>全年执行数</w:t>
            </w:r>
          </w:p>
        </w:tc>
        <w:tc>
          <w:tcPr>
            <w:tcW w:w="718" w:type="dxa"/>
            <w:noWrap w:val="0"/>
            <w:vAlign w:val="center"/>
          </w:tcPr>
          <w:p>
            <w:pPr>
              <w:spacing w:line="240" w:lineRule="exact"/>
              <w:jc w:val="center"/>
              <w:rPr>
                <w:rFonts w:eastAsia="仿宋_GB2312"/>
                <w:sz w:val="20"/>
                <w:szCs w:val="20"/>
              </w:rPr>
            </w:pPr>
            <w:r>
              <w:rPr>
                <w:rFonts w:eastAsia="仿宋_GB2312"/>
                <w:sz w:val="20"/>
                <w:szCs w:val="20"/>
              </w:rPr>
              <w:t>分值</w:t>
            </w:r>
          </w:p>
        </w:tc>
        <w:tc>
          <w:tcPr>
            <w:tcW w:w="884" w:type="dxa"/>
            <w:noWrap w:val="0"/>
            <w:vAlign w:val="center"/>
          </w:tcPr>
          <w:p>
            <w:pPr>
              <w:spacing w:line="240" w:lineRule="exact"/>
              <w:jc w:val="center"/>
              <w:rPr>
                <w:rFonts w:eastAsia="仿宋_GB2312"/>
                <w:sz w:val="20"/>
                <w:szCs w:val="20"/>
              </w:rPr>
            </w:pPr>
            <w:r>
              <w:rPr>
                <w:rFonts w:eastAsia="仿宋_GB2312"/>
                <w:sz w:val="20"/>
                <w:szCs w:val="20"/>
              </w:rPr>
              <w:t>执行率</w:t>
            </w:r>
          </w:p>
        </w:tc>
        <w:tc>
          <w:tcPr>
            <w:tcW w:w="1443" w:type="dxa"/>
            <w:noWrap w:val="0"/>
            <w:vAlign w:val="center"/>
          </w:tcPr>
          <w:p>
            <w:pPr>
              <w:spacing w:line="240" w:lineRule="exact"/>
              <w:jc w:val="center"/>
              <w:rPr>
                <w:rFonts w:eastAsia="仿宋_GB2312"/>
                <w:sz w:val="20"/>
                <w:szCs w:val="20"/>
              </w:rPr>
            </w:pPr>
            <w:r>
              <w:rPr>
                <w:rFonts w:eastAsia="仿宋_GB2312"/>
                <w:sz w:val="20"/>
                <w:szCs w:val="20"/>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1463" w:type="dxa"/>
            <w:gridSpan w:val="2"/>
            <w:noWrap w:val="0"/>
            <w:vAlign w:val="center"/>
          </w:tcPr>
          <w:p>
            <w:pPr>
              <w:spacing w:line="240" w:lineRule="exact"/>
              <w:jc w:val="center"/>
              <w:rPr>
                <w:rFonts w:eastAsia="仿宋_GB2312"/>
                <w:sz w:val="20"/>
                <w:szCs w:val="20"/>
              </w:rPr>
            </w:pPr>
            <w:r>
              <w:rPr>
                <w:rFonts w:eastAsia="仿宋_GB2312"/>
                <w:color w:val="000000"/>
                <w:sz w:val="20"/>
                <w:szCs w:val="20"/>
              </w:rPr>
              <w:t>年度资金总额</w:t>
            </w:r>
          </w:p>
        </w:tc>
        <w:tc>
          <w:tcPr>
            <w:tcW w:w="1561" w:type="dxa"/>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1086.00</w:t>
            </w:r>
          </w:p>
        </w:tc>
        <w:tc>
          <w:tcPr>
            <w:tcW w:w="1432" w:type="dxa"/>
            <w:gridSpan w:val="2"/>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1724.20</w:t>
            </w:r>
          </w:p>
        </w:tc>
        <w:tc>
          <w:tcPr>
            <w:tcW w:w="848" w:type="dxa"/>
            <w:noWrap w:val="0"/>
            <w:vAlign w:val="center"/>
          </w:tcPr>
          <w:p>
            <w:pPr>
              <w:spacing w:line="240" w:lineRule="exact"/>
              <w:jc w:val="center"/>
              <w:rPr>
                <w:rFonts w:hint="default" w:eastAsia="仿宋_GB2312"/>
                <w:sz w:val="20"/>
                <w:szCs w:val="20"/>
                <w:lang w:val="en-US" w:eastAsia="zh-CN"/>
              </w:rPr>
            </w:pPr>
            <w:r>
              <w:rPr>
                <w:rFonts w:hint="eastAsia" w:eastAsia="仿宋_GB2312"/>
                <w:sz w:val="20"/>
                <w:szCs w:val="20"/>
                <w:lang w:val="en-US" w:eastAsia="zh-CN"/>
              </w:rPr>
              <w:t>1718.86</w:t>
            </w:r>
          </w:p>
        </w:tc>
        <w:tc>
          <w:tcPr>
            <w:tcW w:w="718" w:type="dxa"/>
            <w:noWrap w:val="0"/>
            <w:vAlign w:val="center"/>
          </w:tcPr>
          <w:p>
            <w:pPr>
              <w:spacing w:line="240" w:lineRule="exact"/>
              <w:jc w:val="center"/>
              <w:rPr>
                <w:rFonts w:eastAsia="仿宋_GB2312"/>
                <w:sz w:val="20"/>
                <w:szCs w:val="20"/>
              </w:rPr>
            </w:pPr>
            <w:r>
              <w:rPr>
                <w:rFonts w:eastAsia="仿宋_GB2312"/>
                <w:sz w:val="20"/>
                <w:szCs w:val="20"/>
              </w:rPr>
              <w:t>10</w:t>
            </w:r>
          </w:p>
        </w:tc>
        <w:tc>
          <w:tcPr>
            <w:tcW w:w="884" w:type="dxa"/>
            <w:noWrap w:val="0"/>
            <w:vAlign w:val="center"/>
          </w:tcPr>
          <w:p>
            <w:pPr>
              <w:spacing w:line="240" w:lineRule="exact"/>
              <w:jc w:val="center"/>
              <w:rPr>
                <w:rFonts w:hint="default" w:eastAsia="仿宋_GB2312"/>
                <w:sz w:val="20"/>
                <w:szCs w:val="20"/>
                <w:lang w:val="en-US" w:eastAsia="zh-CN"/>
              </w:rPr>
            </w:pPr>
            <w:r>
              <w:rPr>
                <w:rFonts w:eastAsia="仿宋_GB2312"/>
                <w:sz w:val="20"/>
                <w:szCs w:val="20"/>
              </w:rPr>
              <w:t>99.69 %</w:t>
            </w:r>
          </w:p>
        </w:tc>
        <w:tc>
          <w:tcPr>
            <w:tcW w:w="1443" w:type="dxa"/>
            <w:noWrap w:val="0"/>
            <w:vAlign w:val="center"/>
          </w:tcPr>
          <w:p>
            <w:pPr>
              <w:spacing w:line="240" w:lineRule="exact"/>
              <w:jc w:val="center"/>
              <w:rPr>
                <w:rFonts w:hint="default" w:eastAsia="仿宋_GB2312"/>
                <w:sz w:val="20"/>
                <w:szCs w:val="20"/>
                <w:lang w:val="en-US" w:eastAsia="zh-CN"/>
              </w:rPr>
            </w:pPr>
            <w:r>
              <w:rPr>
                <w:rFonts w:eastAsia="仿宋_GB2312"/>
                <w:sz w:val="20"/>
                <w:szCs w:val="20"/>
              </w:rPr>
              <w:t>9.97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456" w:type="dxa"/>
            <w:gridSpan w:val="5"/>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按收入性质分：</w:t>
            </w:r>
            <w:r>
              <w:rPr>
                <w:rFonts w:hint="eastAsia" w:eastAsia="仿宋_GB2312"/>
                <w:color w:val="000000"/>
                <w:sz w:val="20"/>
                <w:szCs w:val="20"/>
                <w:lang w:val="en-US" w:eastAsia="zh-CN"/>
              </w:rPr>
              <w:t>1360.12</w:t>
            </w:r>
          </w:p>
        </w:tc>
        <w:tc>
          <w:tcPr>
            <w:tcW w:w="3893" w:type="dxa"/>
            <w:gridSpan w:val="4"/>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按支出性质分：</w:t>
            </w:r>
            <w:r>
              <w:rPr>
                <w:rFonts w:hint="eastAsia" w:eastAsia="仿宋_GB2312"/>
                <w:color w:val="000000"/>
                <w:sz w:val="20"/>
                <w:szCs w:val="20"/>
                <w:lang w:val="en-US" w:eastAsia="zh-CN"/>
              </w:rPr>
              <w:t>1626.49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456" w:type="dxa"/>
            <w:gridSpan w:val="5"/>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 xml:space="preserve">  其中：  一般公共预算：</w:t>
            </w:r>
            <w:r>
              <w:rPr>
                <w:rFonts w:hint="eastAsia" w:eastAsia="仿宋_GB2312"/>
                <w:color w:val="000000"/>
                <w:sz w:val="20"/>
                <w:szCs w:val="20"/>
                <w:lang w:val="en-US" w:eastAsia="zh-CN"/>
              </w:rPr>
              <w:t>1360.12</w:t>
            </w:r>
          </w:p>
        </w:tc>
        <w:tc>
          <w:tcPr>
            <w:tcW w:w="3893" w:type="dxa"/>
            <w:gridSpan w:val="4"/>
            <w:noWrap w:val="0"/>
            <w:vAlign w:val="center"/>
          </w:tcPr>
          <w:p>
            <w:pPr>
              <w:spacing w:line="240" w:lineRule="exact"/>
              <w:jc w:val="left"/>
              <w:rPr>
                <w:rFonts w:hint="default" w:eastAsia="仿宋_GB2312"/>
                <w:color w:val="000000"/>
                <w:sz w:val="20"/>
                <w:szCs w:val="20"/>
                <w:lang w:val="en-US" w:eastAsia="zh-CN"/>
              </w:rPr>
            </w:pPr>
            <w:r>
              <w:rPr>
                <w:rFonts w:eastAsia="仿宋_GB2312"/>
                <w:color w:val="000000"/>
                <w:sz w:val="20"/>
                <w:szCs w:val="20"/>
              </w:rPr>
              <w:t>其中：基本支出：</w:t>
            </w:r>
            <w:r>
              <w:rPr>
                <w:rFonts w:hint="eastAsia" w:eastAsia="仿宋_GB2312"/>
                <w:color w:val="000000"/>
                <w:sz w:val="20"/>
                <w:szCs w:val="20"/>
                <w:lang w:val="en-US" w:eastAsia="zh-CN"/>
              </w:rPr>
              <w:t>1061.55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456" w:type="dxa"/>
            <w:gridSpan w:val="5"/>
            <w:noWrap w:val="0"/>
            <w:vAlign w:val="center"/>
          </w:tcPr>
          <w:p>
            <w:pPr>
              <w:spacing w:line="240" w:lineRule="exact"/>
              <w:ind w:firstLine="800" w:firstLineChars="400"/>
              <w:jc w:val="left"/>
              <w:rPr>
                <w:rFonts w:eastAsia="仿宋_GB2312"/>
                <w:color w:val="000000"/>
                <w:sz w:val="20"/>
                <w:szCs w:val="20"/>
              </w:rPr>
            </w:pPr>
            <w:r>
              <w:rPr>
                <w:rFonts w:eastAsia="仿宋_GB2312"/>
                <w:color w:val="000000"/>
                <w:sz w:val="20"/>
                <w:szCs w:val="20"/>
              </w:rPr>
              <w:t>政府性基金拨款：</w:t>
            </w:r>
          </w:p>
        </w:tc>
        <w:tc>
          <w:tcPr>
            <w:tcW w:w="3893" w:type="dxa"/>
            <w:gridSpan w:val="4"/>
            <w:noWrap w:val="0"/>
            <w:vAlign w:val="center"/>
          </w:tcPr>
          <w:p>
            <w:pPr>
              <w:spacing w:line="240" w:lineRule="exact"/>
              <w:ind w:firstLine="600" w:firstLineChars="300"/>
              <w:jc w:val="left"/>
              <w:rPr>
                <w:rFonts w:hint="default" w:eastAsia="仿宋_GB2312"/>
                <w:color w:val="000000"/>
                <w:sz w:val="20"/>
                <w:szCs w:val="20"/>
                <w:lang w:val="en-US" w:eastAsia="zh-CN"/>
              </w:rPr>
            </w:pPr>
            <w:r>
              <w:rPr>
                <w:rFonts w:eastAsia="仿宋_GB2312"/>
                <w:color w:val="000000"/>
                <w:sz w:val="20"/>
                <w:szCs w:val="20"/>
              </w:rPr>
              <w:t>项目支出：</w:t>
            </w:r>
            <w:r>
              <w:rPr>
                <w:rFonts w:hint="eastAsia" w:eastAsia="仿宋_GB2312"/>
                <w:color w:val="000000"/>
                <w:sz w:val="20"/>
                <w:szCs w:val="20"/>
                <w:lang w:val="en-US" w:eastAsia="zh-CN"/>
              </w:rPr>
              <w:t>657.31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456" w:type="dxa"/>
            <w:gridSpan w:val="5"/>
            <w:noWrap w:val="0"/>
            <w:vAlign w:val="center"/>
          </w:tcPr>
          <w:p>
            <w:pPr>
              <w:spacing w:line="240" w:lineRule="exact"/>
              <w:jc w:val="left"/>
              <w:rPr>
                <w:rFonts w:eastAsia="仿宋_GB2312"/>
                <w:color w:val="000000"/>
                <w:sz w:val="20"/>
                <w:szCs w:val="20"/>
              </w:rPr>
            </w:pPr>
            <w:r>
              <w:rPr>
                <w:rFonts w:eastAsia="仿宋_GB2312"/>
                <w:color w:val="000000"/>
                <w:sz w:val="20"/>
                <w:szCs w:val="20"/>
              </w:rPr>
              <w:t>纳入专户管理的非税收入拨款：</w:t>
            </w:r>
          </w:p>
        </w:tc>
        <w:tc>
          <w:tcPr>
            <w:tcW w:w="3893" w:type="dxa"/>
            <w:gridSpan w:val="4"/>
            <w:noWrap w:val="0"/>
            <w:vAlign w:val="center"/>
          </w:tcPr>
          <w:p>
            <w:pPr>
              <w:spacing w:line="240" w:lineRule="exact"/>
              <w:jc w:val="left"/>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456" w:type="dxa"/>
            <w:gridSpan w:val="5"/>
            <w:noWrap w:val="0"/>
            <w:vAlign w:val="center"/>
          </w:tcPr>
          <w:p>
            <w:pPr>
              <w:spacing w:line="240" w:lineRule="exact"/>
              <w:ind w:firstLine="1400" w:firstLineChars="700"/>
              <w:jc w:val="left"/>
              <w:rPr>
                <w:rFonts w:eastAsia="仿宋_GB2312"/>
                <w:color w:val="000000"/>
                <w:sz w:val="20"/>
                <w:szCs w:val="20"/>
              </w:rPr>
            </w:pPr>
            <w:r>
              <w:rPr>
                <w:rFonts w:eastAsia="仿宋_GB2312"/>
                <w:color w:val="000000"/>
                <w:sz w:val="20"/>
                <w:szCs w:val="20"/>
              </w:rPr>
              <w:t>其他资金：</w:t>
            </w:r>
          </w:p>
        </w:tc>
        <w:tc>
          <w:tcPr>
            <w:tcW w:w="3893" w:type="dxa"/>
            <w:gridSpan w:val="4"/>
            <w:noWrap w:val="0"/>
            <w:vAlign w:val="center"/>
          </w:tcPr>
          <w:p>
            <w:pPr>
              <w:spacing w:line="240" w:lineRule="exact"/>
              <w:jc w:val="left"/>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年度总体目标</w:t>
            </w:r>
          </w:p>
        </w:tc>
        <w:tc>
          <w:tcPr>
            <w:tcW w:w="4456" w:type="dxa"/>
            <w:gridSpan w:val="5"/>
            <w:noWrap w:val="0"/>
            <w:vAlign w:val="center"/>
          </w:tcPr>
          <w:p>
            <w:pPr>
              <w:spacing w:line="240" w:lineRule="exact"/>
              <w:jc w:val="center"/>
              <w:rPr>
                <w:rFonts w:eastAsia="仿宋_GB2312"/>
                <w:color w:val="000000"/>
                <w:sz w:val="20"/>
                <w:szCs w:val="20"/>
              </w:rPr>
            </w:pPr>
            <w:r>
              <w:rPr>
                <w:rFonts w:eastAsia="仿宋_GB2312"/>
                <w:color w:val="000000"/>
                <w:sz w:val="20"/>
                <w:szCs w:val="20"/>
              </w:rPr>
              <w:t>预期目标</w:t>
            </w:r>
          </w:p>
        </w:tc>
        <w:tc>
          <w:tcPr>
            <w:tcW w:w="3893" w:type="dxa"/>
            <w:gridSpan w:val="4"/>
            <w:noWrap w:val="0"/>
            <w:vAlign w:val="center"/>
          </w:tcPr>
          <w:p>
            <w:pPr>
              <w:spacing w:line="240" w:lineRule="exact"/>
              <w:jc w:val="center"/>
              <w:rPr>
                <w:rFonts w:eastAsia="仿宋_GB2312"/>
                <w:color w:val="000000"/>
                <w:sz w:val="20"/>
                <w:szCs w:val="20"/>
              </w:rPr>
            </w:pPr>
            <w:r>
              <w:rPr>
                <w:rFonts w:eastAsia="仿宋_GB2312"/>
                <w:color w:val="000000"/>
                <w:sz w:val="20"/>
                <w:szCs w:val="20"/>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854" w:hRule="atLeast"/>
          <w:jc w:val="center"/>
        </w:trPr>
        <w:tc>
          <w:tcPr>
            <w:tcW w:w="962" w:type="dxa"/>
            <w:vMerge w:val="continue"/>
            <w:noWrap w:val="0"/>
            <w:vAlign w:val="center"/>
          </w:tcPr>
          <w:p>
            <w:pPr>
              <w:spacing w:line="240" w:lineRule="exact"/>
              <w:jc w:val="center"/>
              <w:rPr>
                <w:rFonts w:eastAsia="仿宋_GB2312"/>
                <w:color w:val="000000"/>
                <w:sz w:val="20"/>
                <w:szCs w:val="20"/>
              </w:rPr>
            </w:pPr>
          </w:p>
        </w:tc>
        <w:tc>
          <w:tcPr>
            <w:tcW w:w="4456" w:type="dxa"/>
            <w:gridSpan w:val="5"/>
            <w:noWrap w:val="0"/>
            <w:vAlign w:val="top"/>
          </w:tcPr>
          <w:p>
            <w:pPr>
              <w:spacing w:line="240" w:lineRule="exact"/>
              <w:jc w:val="both"/>
              <w:rPr>
                <w:rFonts w:eastAsia="仿宋_GB2312"/>
                <w:color w:val="000000"/>
                <w:sz w:val="20"/>
                <w:szCs w:val="20"/>
              </w:rPr>
            </w:pPr>
            <w:r>
              <w:rPr>
                <w:rFonts w:hint="eastAsia" w:eastAsia="仿宋_GB2312"/>
                <w:color w:val="000000"/>
                <w:sz w:val="20"/>
                <w:szCs w:val="20"/>
              </w:rPr>
              <w:t>1.专案办理。2.行政公安行政案件、治安案件、刑事案件办理。3.森林公安行政、治安案件、刑事案件案件办理。4.防火、禁毒业务宣传。5.公安办公设备、办案设备、信息化装备配备。</w:t>
            </w:r>
            <w:r>
              <w:rPr>
                <w:rFonts w:eastAsia="仿宋_GB2312"/>
                <w:color w:val="000000"/>
                <w:sz w:val="20"/>
                <w:szCs w:val="20"/>
              </w:rPr>
              <w:t>　　</w:t>
            </w:r>
          </w:p>
        </w:tc>
        <w:tc>
          <w:tcPr>
            <w:tcW w:w="3893" w:type="dxa"/>
            <w:gridSpan w:val="4"/>
            <w:noWrap w:val="0"/>
            <w:vAlign w:val="top"/>
          </w:tcPr>
          <w:p>
            <w:pPr>
              <w:spacing w:line="240" w:lineRule="exact"/>
              <w:jc w:val="both"/>
              <w:rPr>
                <w:rFonts w:eastAsia="仿宋_GB2312"/>
                <w:color w:val="000000"/>
                <w:sz w:val="20"/>
                <w:szCs w:val="20"/>
              </w:rPr>
            </w:pPr>
            <w:r>
              <w:rPr>
                <w:rFonts w:hint="eastAsia" w:eastAsia="仿宋_GB2312"/>
                <w:color w:val="000000"/>
                <w:sz w:val="20"/>
                <w:szCs w:val="20"/>
                <w:lang w:val="en-US" w:eastAsia="zh-CN"/>
              </w:rPr>
              <w:t>2025年以来，我局扎实推进专案及各类案件办理，辖区破获刑事案件19起、行政案件29起，严打盗抢骗、电诈、涉林等违法犯罪，抓获逃犯及各类涉案人员；全力开展森林防火、禁毒宣传，筑牢林区防火与禁毒防线；稳步推进公安办公、办案及信息化装备配备相关工作；同步抓实安全生产、交通整治、安保维稳、群防群治及为民服务工作，辖区社会治安平稳、群众满意度提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绩</w:t>
            </w:r>
          </w:p>
          <w:p>
            <w:pPr>
              <w:spacing w:line="240" w:lineRule="exact"/>
              <w:jc w:val="center"/>
              <w:rPr>
                <w:rFonts w:eastAsia="仿宋_GB2312"/>
                <w:color w:val="000000"/>
                <w:sz w:val="20"/>
                <w:szCs w:val="20"/>
              </w:rPr>
            </w:pPr>
            <w:r>
              <w:rPr>
                <w:rFonts w:eastAsia="仿宋_GB2312"/>
                <w:color w:val="000000"/>
                <w:sz w:val="20"/>
                <w:szCs w:val="20"/>
              </w:rPr>
              <w:t>效</w:t>
            </w:r>
          </w:p>
          <w:p>
            <w:pPr>
              <w:spacing w:line="240" w:lineRule="exact"/>
              <w:jc w:val="center"/>
              <w:rPr>
                <w:rFonts w:eastAsia="仿宋_GB2312"/>
                <w:color w:val="000000"/>
                <w:sz w:val="20"/>
                <w:szCs w:val="20"/>
              </w:rPr>
            </w:pPr>
            <w:r>
              <w:rPr>
                <w:rFonts w:eastAsia="仿宋_GB2312"/>
                <w:color w:val="000000"/>
                <w:sz w:val="20"/>
                <w:szCs w:val="20"/>
              </w:rPr>
              <w:t>指</w:t>
            </w:r>
          </w:p>
          <w:p>
            <w:pPr>
              <w:spacing w:line="240" w:lineRule="exact"/>
              <w:jc w:val="center"/>
              <w:rPr>
                <w:rFonts w:eastAsia="仿宋_GB2312"/>
                <w:color w:val="000000"/>
                <w:sz w:val="20"/>
                <w:szCs w:val="20"/>
              </w:rPr>
            </w:pPr>
            <w:r>
              <w:rPr>
                <w:rFonts w:eastAsia="仿宋_GB2312"/>
                <w:color w:val="000000"/>
                <w:sz w:val="20"/>
                <w:szCs w:val="20"/>
              </w:rPr>
              <w:t>标</w:t>
            </w:r>
          </w:p>
          <w:p>
            <w:pPr>
              <w:spacing w:line="240" w:lineRule="exact"/>
              <w:jc w:val="center"/>
              <w:rPr>
                <w:rFonts w:eastAsia="仿宋_GB2312"/>
                <w:color w:val="000000"/>
                <w:sz w:val="20"/>
                <w:szCs w:val="20"/>
              </w:rPr>
            </w:pPr>
          </w:p>
        </w:tc>
        <w:tc>
          <w:tcPr>
            <w:tcW w:w="713"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一级指标</w:t>
            </w:r>
          </w:p>
        </w:tc>
        <w:tc>
          <w:tcPr>
            <w:tcW w:w="75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二级指标</w:t>
            </w:r>
          </w:p>
        </w:tc>
        <w:tc>
          <w:tcPr>
            <w:tcW w:w="1733" w:type="dxa"/>
            <w:gridSpan w:val="2"/>
            <w:noWrap w:val="0"/>
            <w:vAlign w:val="center"/>
          </w:tcPr>
          <w:p>
            <w:pPr>
              <w:spacing w:line="240" w:lineRule="exact"/>
              <w:jc w:val="center"/>
              <w:rPr>
                <w:rFonts w:eastAsia="仿宋_GB2312"/>
                <w:color w:val="000000"/>
                <w:sz w:val="20"/>
                <w:szCs w:val="20"/>
              </w:rPr>
            </w:pPr>
            <w:r>
              <w:rPr>
                <w:rFonts w:eastAsia="仿宋_GB2312"/>
                <w:color w:val="000000"/>
                <w:sz w:val="20"/>
                <w:szCs w:val="20"/>
              </w:rPr>
              <w:t>三级指标</w:t>
            </w:r>
          </w:p>
        </w:tc>
        <w:tc>
          <w:tcPr>
            <w:tcW w:w="126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年度指标值</w:t>
            </w:r>
          </w:p>
        </w:tc>
        <w:tc>
          <w:tcPr>
            <w:tcW w:w="848"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实际完成值</w:t>
            </w:r>
          </w:p>
        </w:tc>
        <w:tc>
          <w:tcPr>
            <w:tcW w:w="718"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分值</w:t>
            </w:r>
          </w:p>
        </w:tc>
        <w:tc>
          <w:tcPr>
            <w:tcW w:w="884"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得分</w:t>
            </w:r>
          </w:p>
        </w:tc>
        <w:tc>
          <w:tcPr>
            <w:tcW w:w="1443"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5"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restart"/>
            <w:noWrap w:val="0"/>
            <w:vAlign w:val="center"/>
          </w:tcPr>
          <w:p>
            <w:pPr>
              <w:spacing w:line="240" w:lineRule="exact"/>
              <w:jc w:val="center"/>
              <w:rPr>
                <w:rFonts w:eastAsia="仿宋_GB2312"/>
                <w:color w:val="000000"/>
                <w:sz w:val="20"/>
                <w:szCs w:val="20"/>
              </w:rPr>
            </w:pPr>
            <w:r>
              <w:rPr>
                <w:rFonts w:eastAsia="仿宋_GB2312"/>
                <w:color w:val="000000"/>
                <w:sz w:val="20"/>
                <w:szCs w:val="20"/>
              </w:rPr>
              <w:t>产出指标</w:t>
            </w:r>
          </w:p>
          <w:p>
            <w:pPr>
              <w:spacing w:line="240" w:lineRule="exact"/>
              <w:jc w:val="center"/>
              <w:rPr>
                <w:rFonts w:eastAsia="仿宋_GB2312"/>
                <w:color w:val="000000"/>
                <w:sz w:val="20"/>
                <w:szCs w:val="20"/>
              </w:rPr>
            </w:pPr>
            <w:r>
              <w:rPr>
                <w:rFonts w:eastAsia="仿宋_GB2312"/>
                <w:color w:val="000000"/>
                <w:sz w:val="20"/>
                <w:szCs w:val="20"/>
              </w:rPr>
              <w:t>(50分)</w:t>
            </w:r>
          </w:p>
        </w:tc>
        <w:tc>
          <w:tcPr>
            <w:tcW w:w="750" w:type="dxa"/>
            <w:vMerge w:val="restart"/>
            <w:noWrap w:val="0"/>
            <w:vAlign w:val="center"/>
          </w:tcPr>
          <w:p>
            <w:pPr>
              <w:spacing w:line="240" w:lineRule="exact"/>
              <w:jc w:val="center"/>
              <w:rPr>
                <w:rFonts w:hint="eastAsia" w:eastAsia="仿宋_GB2312"/>
                <w:color w:val="000000"/>
                <w:sz w:val="20"/>
                <w:szCs w:val="20"/>
              </w:rPr>
            </w:pPr>
            <w:r>
              <w:rPr>
                <w:rFonts w:hint="eastAsia" w:eastAsia="仿宋_GB2312"/>
                <w:color w:val="000000"/>
                <w:sz w:val="20"/>
                <w:szCs w:val="20"/>
              </w:rPr>
              <w:t>重点工作</w:t>
            </w:r>
          </w:p>
          <w:p>
            <w:pPr>
              <w:spacing w:line="240" w:lineRule="exact"/>
              <w:jc w:val="center"/>
              <w:rPr>
                <w:rFonts w:eastAsia="仿宋_GB2312"/>
                <w:color w:val="000000"/>
                <w:sz w:val="20"/>
                <w:szCs w:val="20"/>
              </w:rPr>
            </w:pPr>
            <w:r>
              <w:rPr>
                <w:rFonts w:hint="eastAsia" w:eastAsia="仿宋_GB2312"/>
                <w:color w:val="000000"/>
                <w:sz w:val="20"/>
                <w:szCs w:val="20"/>
              </w:rPr>
              <w:t>任务完成</w:t>
            </w:r>
          </w:p>
        </w:tc>
        <w:tc>
          <w:tcPr>
            <w:tcW w:w="1733" w:type="dxa"/>
            <w:gridSpan w:val="2"/>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打击违法犯罪行为数量</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50余起</w:t>
            </w:r>
          </w:p>
        </w:tc>
        <w:tc>
          <w:tcPr>
            <w:tcW w:w="848"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64</w:t>
            </w:r>
            <w:r>
              <w:rPr>
                <w:rFonts w:hint="eastAsia" w:eastAsia="仿宋_GB2312"/>
                <w:color w:val="000000"/>
                <w:sz w:val="20"/>
                <w:szCs w:val="20"/>
              </w:rPr>
              <w:t>余起</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20</w:t>
            </w:r>
          </w:p>
        </w:tc>
        <w:tc>
          <w:tcPr>
            <w:tcW w:w="884" w:type="dxa"/>
            <w:noWrap w:val="0"/>
            <w:vAlign w:val="center"/>
          </w:tcPr>
          <w:p>
            <w:pPr>
              <w:spacing w:line="240" w:lineRule="exact"/>
              <w:jc w:val="center"/>
              <w:rPr>
                <w:rFonts w:hint="default" w:eastAsia="仿宋_GB2312"/>
                <w:color w:val="000000"/>
                <w:sz w:val="20"/>
                <w:szCs w:val="20"/>
                <w:lang w:val="en-US"/>
              </w:rPr>
            </w:pPr>
            <w:r>
              <w:rPr>
                <w:rFonts w:hint="eastAsia" w:eastAsia="仿宋_GB2312"/>
                <w:color w:val="000000"/>
                <w:sz w:val="20"/>
                <w:szCs w:val="20"/>
                <w:lang w:val="en-US" w:eastAsia="zh-CN"/>
              </w:rPr>
              <w:t>20</w:t>
            </w:r>
          </w:p>
        </w:tc>
        <w:tc>
          <w:tcPr>
            <w:tcW w:w="1443" w:type="dxa"/>
            <w:noWrap w:val="0"/>
            <w:vAlign w:val="center"/>
          </w:tcPr>
          <w:p>
            <w:pPr>
              <w:spacing w:line="240" w:lineRule="exact"/>
              <w:jc w:val="center"/>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continue"/>
            <w:noWrap w:val="0"/>
            <w:vAlign w:val="center"/>
          </w:tcPr>
          <w:p>
            <w:pPr>
              <w:spacing w:line="240" w:lineRule="exact"/>
              <w:jc w:val="left"/>
              <w:rPr>
                <w:rFonts w:eastAsia="仿宋_GB2312"/>
                <w:color w:val="000000"/>
                <w:sz w:val="20"/>
                <w:szCs w:val="20"/>
              </w:rPr>
            </w:pPr>
          </w:p>
        </w:tc>
        <w:tc>
          <w:tcPr>
            <w:tcW w:w="750" w:type="dxa"/>
            <w:vMerge w:val="continue"/>
            <w:noWrap w:val="0"/>
            <w:vAlign w:val="center"/>
          </w:tcPr>
          <w:p>
            <w:pPr>
              <w:spacing w:line="240" w:lineRule="exact"/>
              <w:jc w:val="center"/>
              <w:rPr>
                <w:rFonts w:eastAsia="仿宋_GB2312"/>
                <w:color w:val="000000"/>
                <w:sz w:val="20"/>
                <w:szCs w:val="20"/>
              </w:rPr>
            </w:pPr>
          </w:p>
        </w:tc>
        <w:tc>
          <w:tcPr>
            <w:tcW w:w="1733" w:type="dxa"/>
            <w:gridSpan w:val="2"/>
            <w:noWrap w:val="0"/>
            <w:vAlign w:val="center"/>
          </w:tcPr>
          <w:p>
            <w:pPr>
              <w:spacing w:line="240" w:lineRule="exact"/>
              <w:jc w:val="both"/>
              <w:rPr>
                <w:rFonts w:eastAsia="仿宋_GB2312"/>
                <w:color w:val="000000"/>
                <w:sz w:val="20"/>
                <w:szCs w:val="20"/>
              </w:rPr>
            </w:pPr>
            <w:r>
              <w:rPr>
                <w:rFonts w:hint="eastAsia" w:eastAsia="仿宋_GB2312"/>
                <w:color w:val="000000"/>
                <w:sz w:val="20"/>
                <w:szCs w:val="20"/>
              </w:rPr>
              <w:t>做好森林防火、禁毒等宣传活动数量</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30余起</w:t>
            </w:r>
          </w:p>
        </w:tc>
        <w:tc>
          <w:tcPr>
            <w:tcW w:w="848"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5</w:t>
            </w:r>
            <w:r>
              <w:rPr>
                <w:rFonts w:hint="eastAsia" w:eastAsia="仿宋_GB2312"/>
                <w:color w:val="000000"/>
                <w:sz w:val="20"/>
                <w:szCs w:val="20"/>
              </w:rPr>
              <w:t>0余起</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pPr>
              <w:spacing w:line="240" w:lineRule="exact"/>
              <w:jc w:val="center"/>
              <w:rPr>
                <w:rFonts w:hint="default" w:eastAsia="仿宋_GB2312"/>
                <w:color w:val="000000"/>
                <w:sz w:val="20"/>
                <w:szCs w:val="20"/>
                <w:lang w:val="en-US"/>
              </w:rPr>
            </w:pPr>
            <w:r>
              <w:rPr>
                <w:rFonts w:hint="eastAsia" w:eastAsia="仿宋_GB2312"/>
                <w:color w:val="000000"/>
                <w:sz w:val="20"/>
                <w:szCs w:val="20"/>
                <w:lang w:val="en-US" w:eastAsia="zh-CN"/>
              </w:rPr>
              <w:t>10</w:t>
            </w:r>
          </w:p>
        </w:tc>
        <w:tc>
          <w:tcPr>
            <w:tcW w:w="1443" w:type="dxa"/>
            <w:noWrap w:val="0"/>
            <w:vAlign w:val="center"/>
          </w:tcPr>
          <w:p>
            <w:pPr>
              <w:spacing w:line="240" w:lineRule="exact"/>
              <w:jc w:val="both"/>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continue"/>
            <w:noWrap w:val="0"/>
            <w:vAlign w:val="center"/>
          </w:tcPr>
          <w:p>
            <w:pPr>
              <w:spacing w:line="240" w:lineRule="exact"/>
              <w:jc w:val="left"/>
              <w:rPr>
                <w:rFonts w:eastAsia="仿宋_GB2312"/>
                <w:color w:val="000000"/>
                <w:sz w:val="20"/>
                <w:szCs w:val="20"/>
              </w:rPr>
            </w:pPr>
          </w:p>
        </w:tc>
        <w:tc>
          <w:tcPr>
            <w:tcW w:w="750" w:type="dxa"/>
            <w:vMerge w:val="continue"/>
            <w:noWrap w:val="0"/>
            <w:vAlign w:val="center"/>
          </w:tcPr>
          <w:p>
            <w:pPr>
              <w:spacing w:line="240" w:lineRule="exact"/>
              <w:jc w:val="center"/>
              <w:rPr>
                <w:rFonts w:eastAsia="仿宋_GB2312"/>
                <w:color w:val="000000"/>
                <w:sz w:val="20"/>
                <w:szCs w:val="20"/>
              </w:rPr>
            </w:pPr>
          </w:p>
        </w:tc>
        <w:tc>
          <w:tcPr>
            <w:tcW w:w="1733" w:type="dxa"/>
            <w:gridSpan w:val="2"/>
            <w:noWrap w:val="0"/>
            <w:vAlign w:val="center"/>
          </w:tcPr>
          <w:p>
            <w:pPr>
              <w:tabs>
                <w:tab w:val="left" w:pos="381"/>
              </w:tabs>
              <w:spacing w:line="240" w:lineRule="exact"/>
              <w:jc w:val="left"/>
              <w:rPr>
                <w:rFonts w:hint="eastAsia" w:eastAsia="仿宋_GB2312"/>
                <w:color w:val="000000"/>
                <w:sz w:val="20"/>
                <w:szCs w:val="20"/>
                <w:lang w:eastAsia="zh-CN"/>
              </w:rPr>
            </w:pPr>
            <w:r>
              <w:rPr>
                <w:rFonts w:hint="eastAsia" w:eastAsia="仿宋_GB2312"/>
                <w:color w:val="000000"/>
                <w:sz w:val="20"/>
                <w:szCs w:val="20"/>
                <w:lang w:eastAsia="zh-CN"/>
              </w:rPr>
              <w:t>案件侦办质量考评合格率</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100%</w:t>
            </w:r>
          </w:p>
        </w:tc>
        <w:tc>
          <w:tcPr>
            <w:tcW w:w="848"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100%</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10</w:t>
            </w:r>
          </w:p>
        </w:tc>
        <w:tc>
          <w:tcPr>
            <w:tcW w:w="1443" w:type="dxa"/>
            <w:noWrap w:val="0"/>
            <w:vAlign w:val="center"/>
          </w:tcPr>
          <w:p>
            <w:pPr>
              <w:spacing w:line="240" w:lineRule="exact"/>
              <w:jc w:val="center"/>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8"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continue"/>
            <w:noWrap w:val="0"/>
            <w:vAlign w:val="center"/>
          </w:tcPr>
          <w:p>
            <w:pPr>
              <w:spacing w:line="240" w:lineRule="exact"/>
              <w:jc w:val="left"/>
              <w:rPr>
                <w:rFonts w:eastAsia="仿宋_GB2312"/>
                <w:color w:val="000000"/>
                <w:sz w:val="20"/>
                <w:szCs w:val="20"/>
              </w:rPr>
            </w:pPr>
          </w:p>
        </w:tc>
        <w:tc>
          <w:tcPr>
            <w:tcW w:w="750" w:type="dxa"/>
            <w:noWrap w:val="0"/>
            <w:vAlign w:val="center"/>
          </w:tcPr>
          <w:p>
            <w:pPr>
              <w:spacing w:line="240" w:lineRule="exact"/>
              <w:jc w:val="center"/>
              <w:rPr>
                <w:rFonts w:hint="eastAsia" w:eastAsia="仿宋_GB2312"/>
                <w:color w:val="000000"/>
                <w:sz w:val="20"/>
                <w:szCs w:val="20"/>
              </w:rPr>
            </w:pPr>
            <w:r>
              <w:rPr>
                <w:rFonts w:hint="eastAsia" w:eastAsia="仿宋_GB2312"/>
                <w:color w:val="000000"/>
                <w:sz w:val="20"/>
                <w:szCs w:val="20"/>
              </w:rPr>
              <w:t>履职目</w:t>
            </w:r>
          </w:p>
          <w:p>
            <w:pPr>
              <w:spacing w:line="240" w:lineRule="exact"/>
              <w:jc w:val="center"/>
              <w:rPr>
                <w:rFonts w:eastAsia="仿宋_GB2312"/>
                <w:color w:val="000000"/>
                <w:sz w:val="20"/>
                <w:szCs w:val="20"/>
              </w:rPr>
            </w:pPr>
            <w:r>
              <w:rPr>
                <w:rFonts w:hint="eastAsia" w:eastAsia="仿宋_GB2312"/>
                <w:color w:val="000000"/>
                <w:sz w:val="20"/>
                <w:szCs w:val="20"/>
              </w:rPr>
              <w:t>标实现</w:t>
            </w:r>
          </w:p>
        </w:tc>
        <w:tc>
          <w:tcPr>
            <w:tcW w:w="1733" w:type="dxa"/>
            <w:gridSpan w:val="2"/>
            <w:noWrap w:val="0"/>
            <w:vAlign w:val="center"/>
          </w:tcPr>
          <w:p>
            <w:pPr>
              <w:spacing w:line="240" w:lineRule="exact"/>
              <w:jc w:val="center"/>
              <w:rPr>
                <w:rFonts w:hint="eastAsia" w:eastAsia="仿宋_GB2312"/>
                <w:color w:val="000000"/>
                <w:sz w:val="20"/>
                <w:szCs w:val="20"/>
              </w:rPr>
            </w:pPr>
            <w:r>
              <w:rPr>
                <w:rFonts w:hint="eastAsia" w:eastAsia="仿宋_GB2312"/>
                <w:color w:val="000000"/>
                <w:sz w:val="20"/>
                <w:szCs w:val="20"/>
              </w:rPr>
              <w:t>专项资金下达时间</w:t>
            </w:r>
          </w:p>
          <w:p>
            <w:pPr>
              <w:spacing w:line="240" w:lineRule="exact"/>
              <w:jc w:val="center"/>
              <w:rPr>
                <w:rFonts w:eastAsia="仿宋_GB2312"/>
                <w:color w:val="000000"/>
                <w:sz w:val="20"/>
                <w:szCs w:val="20"/>
              </w:rPr>
            </w:pPr>
            <w:r>
              <w:rPr>
                <w:rFonts w:hint="eastAsia" w:eastAsia="仿宋_GB2312"/>
                <w:color w:val="000000"/>
                <w:sz w:val="20"/>
                <w:szCs w:val="20"/>
              </w:rPr>
              <w:t>提前下达的一般性转移支付资金</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202</w:t>
            </w:r>
            <w:r>
              <w:rPr>
                <w:rFonts w:hint="eastAsia" w:eastAsia="仿宋_GB2312"/>
                <w:color w:val="000000"/>
                <w:sz w:val="20"/>
                <w:szCs w:val="20"/>
                <w:lang w:val="en-US" w:eastAsia="zh-CN"/>
              </w:rPr>
              <w:t>5</w:t>
            </w:r>
            <w:r>
              <w:rPr>
                <w:rFonts w:hint="eastAsia" w:eastAsia="仿宋_GB2312"/>
                <w:color w:val="000000"/>
                <w:sz w:val="20"/>
                <w:szCs w:val="20"/>
              </w:rPr>
              <w:t>年12月31日前，按进度拨付</w:t>
            </w:r>
          </w:p>
        </w:tc>
        <w:tc>
          <w:tcPr>
            <w:tcW w:w="848"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202</w:t>
            </w:r>
            <w:r>
              <w:rPr>
                <w:rFonts w:hint="eastAsia" w:eastAsia="仿宋_GB2312"/>
                <w:color w:val="000000"/>
                <w:sz w:val="20"/>
                <w:szCs w:val="20"/>
                <w:lang w:val="en-US" w:eastAsia="zh-CN"/>
              </w:rPr>
              <w:t>5</w:t>
            </w:r>
            <w:r>
              <w:rPr>
                <w:rFonts w:hint="eastAsia" w:eastAsia="仿宋_GB2312"/>
                <w:color w:val="000000"/>
                <w:sz w:val="20"/>
                <w:szCs w:val="20"/>
              </w:rPr>
              <w:t>年12月</w:t>
            </w:r>
            <w:r>
              <w:rPr>
                <w:rFonts w:hint="eastAsia" w:eastAsia="仿宋_GB2312"/>
                <w:color w:val="000000"/>
                <w:sz w:val="20"/>
                <w:szCs w:val="20"/>
                <w:lang w:eastAsia="zh-CN"/>
              </w:rPr>
              <w:t>底</w:t>
            </w:r>
            <w:r>
              <w:rPr>
                <w:rFonts w:hint="eastAsia" w:eastAsia="仿宋_GB2312"/>
                <w:color w:val="000000"/>
                <w:sz w:val="20"/>
                <w:szCs w:val="20"/>
              </w:rPr>
              <w:t>前拨付完成</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10</w:t>
            </w:r>
          </w:p>
        </w:tc>
        <w:tc>
          <w:tcPr>
            <w:tcW w:w="1443" w:type="dxa"/>
            <w:noWrap w:val="0"/>
            <w:vAlign w:val="center"/>
          </w:tcPr>
          <w:p>
            <w:pPr>
              <w:spacing w:line="240" w:lineRule="exact"/>
              <w:jc w:val="center"/>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restart"/>
            <w:noWrap w:val="0"/>
            <w:vAlign w:val="center"/>
          </w:tcPr>
          <w:p>
            <w:pPr>
              <w:spacing w:line="240" w:lineRule="exact"/>
              <w:jc w:val="left"/>
              <w:rPr>
                <w:rFonts w:eastAsia="仿宋_GB2312"/>
                <w:color w:val="000000"/>
                <w:sz w:val="20"/>
                <w:szCs w:val="20"/>
              </w:rPr>
            </w:pPr>
            <w:r>
              <w:rPr>
                <w:rFonts w:eastAsia="仿宋_GB2312"/>
                <w:color w:val="000000"/>
                <w:sz w:val="20"/>
                <w:szCs w:val="20"/>
              </w:rPr>
              <w:t>效益指标</w:t>
            </w:r>
          </w:p>
          <w:p>
            <w:pPr>
              <w:spacing w:line="240" w:lineRule="exact"/>
              <w:jc w:val="left"/>
              <w:rPr>
                <w:rFonts w:eastAsia="仿宋_GB2312"/>
                <w:color w:val="000000"/>
                <w:sz w:val="20"/>
                <w:szCs w:val="20"/>
              </w:rPr>
            </w:pPr>
            <w:r>
              <w:rPr>
                <w:rFonts w:eastAsia="仿宋_GB2312"/>
                <w:color w:val="000000"/>
                <w:sz w:val="20"/>
                <w:szCs w:val="20"/>
              </w:rPr>
              <w:t>（</w:t>
            </w:r>
            <w:r>
              <w:rPr>
                <w:rFonts w:eastAsia="仿宋_GB2312"/>
                <w:color w:val="000000"/>
                <w:sz w:val="20"/>
                <w:szCs w:val="20"/>
                <w:lang w:val="en"/>
              </w:rPr>
              <w:t>4</w:t>
            </w:r>
            <w:r>
              <w:rPr>
                <w:rFonts w:eastAsia="仿宋_GB2312"/>
                <w:color w:val="000000"/>
                <w:sz w:val="20"/>
                <w:szCs w:val="20"/>
              </w:rPr>
              <w:t>0分）</w:t>
            </w:r>
          </w:p>
          <w:p>
            <w:pPr>
              <w:spacing w:line="240" w:lineRule="exact"/>
              <w:jc w:val="left"/>
              <w:rPr>
                <w:rFonts w:eastAsia="仿宋_GB2312"/>
                <w:color w:val="000000"/>
                <w:sz w:val="20"/>
                <w:szCs w:val="20"/>
              </w:rPr>
            </w:pPr>
            <w:r>
              <w:rPr>
                <w:rFonts w:eastAsia="仿宋_GB2312"/>
                <w:color w:val="000000"/>
                <w:sz w:val="20"/>
                <w:szCs w:val="20"/>
              </w:rPr>
              <w:t>　</w:t>
            </w:r>
          </w:p>
          <w:p>
            <w:pPr>
              <w:spacing w:line="240" w:lineRule="exact"/>
              <w:jc w:val="center"/>
              <w:rPr>
                <w:rFonts w:eastAsia="仿宋_GB2312"/>
                <w:color w:val="000000"/>
                <w:sz w:val="20"/>
                <w:szCs w:val="20"/>
              </w:rPr>
            </w:pPr>
          </w:p>
        </w:tc>
        <w:tc>
          <w:tcPr>
            <w:tcW w:w="750" w:type="dxa"/>
            <w:vMerge w:val="restart"/>
            <w:noWrap w:val="0"/>
            <w:vAlign w:val="center"/>
          </w:tcPr>
          <w:p>
            <w:pPr>
              <w:spacing w:line="240" w:lineRule="exact"/>
              <w:jc w:val="center"/>
              <w:rPr>
                <w:rFonts w:hint="eastAsia" w:eastAsia="仿宋_GB2312"/>
                <w:color w:val="000000"/>
                <w:sz w:val="20"/>
                <w:szCs w:val="20"/>
              </w:rPr>
            </w:pPr>
            <w:r>
              <w:rPr>
                <w:rFonts w:hint="eastAsia" w:eastAsia="仿宋_GB2312"/>
                <w:color w:val="000000"/>
                <w:sz w:val="20"/>
                <w:szCs w:val="20"/>
              </w:rPr>
              <w:t>履职</w:t>
            </w:r>
          </w:p>
          <w:p>
            <w:pPr>
              <w:spacing w:line="240" w:lineRule="exact"/>
              <w:jc w:val="center"/>
              <w:rPr>
                <w:rFonts w:eastAsia="仿宋_GB2312"/>
                <w:color w:val="000000"/>
                <w:sz w:val="20"/>
                <w:szCs w:val="20"/>
              </w:rPr>
            </w:pPr>
            <w:r>
              <w:rPr>
                <w:rFonts w:hint="eastAsia" w:eastAsia="仿宋_GB2312"/>
                <w:color w:val="000000"/>
                <w:sz w:val="20"/>
                <w:szCs w:val="20"/>
              </w:rPr>
              <w:t>效益</w:t>
            </w:r>
          </w:p>
        </w:tc>
        <w:tc>
          <w:tcPr>
            <w:tcW w:w="1733" w:type="dxa"/>
            <w:gridSpan w:val="2"/>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挽回人民群众经济损失情况</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上当受骗率大大降低</w:t>
            </w:r>
          </w:p>
        </w:tc>
        <w:tc>
          <w:tcPr>
            <w:tcW w:w="848"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降低5%</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pPr>
              <w:spacing w:line="240" w:lineRule="exact"/>
              <w:jc w:val="center"/>
              <w:rPr>
                <w:rFonts w:hint="default" w:eastAsia="仿宋_GB2312"/>
                <w:color w:val="000000"/>
                <w:sz w:val="20"/>
                <w:szCs w:val="20"/>
                <w:lang w:val="en-US"/>
              </w:rPr>
            </w:pPr>
            <w:r>
              <w:rPr>
                <w:rFonts w:hint="eastAsia" w:eastAsia="仿宋_GB2312"/>
                <w:color w:val="000000"/>
                <w:sz w:val="20"/>
                <w:szCs w:val="20"/>
                <w:lang w:val="en-US" w:eastAsia="zh-CN"/>
              </w:rPr>
              <w:t>10</w:t>
            </w:r>
          </w:p>
        </w:tc>
        <w:tc>
          <w:tcPr>
            <w:tcW w:w="1443" w:type="dxa"/>
            <w:noWrap w:val="0"/>
            <w:vAlign w:val="center"/>
          </w:tcPr>
          <w:p>
            <w:pPr>
              <w:spacing w:line="240" w:lineRule="exact"/>
              <w:jc w:val="center"/>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3"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continue"/>
            <w:noWrap w:val="0"/>
            <w:vAlign w:val="center"/>
          </w:tcPr>
          <w:p>
            <w:pPr>
              <w:spacing w:line="240" w:lineRule="exact"/>
              <w:jc w:val="left"/>
              <w:rPr>
                <w:rFonts w:eastAsia="仿宋_GB2312"/>
                <w:color w:val="000000"/>
                <w:sz w:val="20"/>
                <w:szCs w:val="20"/>
              </w:rPr>
            </w:pPr>
          </w:p>
        </w:tc>
        <w:tc>
          <w:tcPr>
            <w:tcW w:w="750" w:type="dxa"/>
            <w:vMerge w:val="continue"/>
            <w:noWrap w:val="0"/>
            <w:vAlign w:val="center"/>
          </w:tcPr>
          <w:p>
            <w:pPr>
              <w:spacing w:line="240" w:lineRule="exact"/>
              <w:jc w:val="center"/>
              <w:rPr>
                <w:rFonts w:eastAsia="仿宋_GB2312"/>
                <w:color w:val="000000"/>
                <w:sz w:val="20"/>
                <w:szCs w:val="20"/>
              </w:rPr>
            </w:pPr>
          </w:p>
        </w:tc>
        <w:tc>
          <w:tcPr>
            <w:tcW w:w="1733" w:type="dxa"/>
            <w:gridSpan w:val="2"/>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违法犯罪率降低</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3%</w:t>
            </w:r>
          </w:p>
        </w:tc>
        <w:tc>
          <w:tcPr>
            <w:tcW w:w="848"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5</w:t>
            </w:r>
            <w:r>
              <w:rPr>
                <w:rFonts w:hint="eastAsia" w:eastAsia="仿宋_GB2312"/>
                <w:color w:val="000000"/>
                <w:sz w:val="20"/>
                <w:szCs w:val="20"/>
              </w:rPr>
              <w:t>%</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10</w:t>
            </w:r>
          </w:p>
        </w:tc>
        <w:tc>
          <w:tcPr>
            <w:tcW w:w="1443" w:type="dxa"/>
            <w:noWrap w:val="0"/>
            <w:vAlign w:val="center"/>
          </w:tcPr>
          <w:p>
            <w:pPr>
              <w:spacing w:line="240" w:lineRule="exact"/>
              <w:jc w:val="center"/>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70"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continue"/>
            <w:noWrap w:val="0"/>
            <w:vAlign w:val="center"/>
          </w:tcPr>
          <w:p>
            <w:pPr>
              <w:spacing w:line="240" w:lineRule="exact"/>
              <w:jc w:val="left"/>
              <w:rPr>
                <w:rFonts w:eastAsia="仿宋_GB2312"/>
                <w:color w:val="000000"/>
                <w:sz w:val="20"/>
                <w:szCs w:val="20"/>
              </w:rPr>
            </w:pPr>
          </w:p>
        </w:tc>
        <w:tc>
          <w:tcPr>
            <w:tcW w:w="750" w:type="dxa"/>
            <w:vMerge w:val="continue"/>
            <w:noWrap w:val="0"/>
            <w:vAlign w:val="center"/>
          </w:tcPr>
          <w:p>
            <w:pPr>
              <w:spacing w:line="240" w:lineRule="exact"/>
              <w:jc w:val="center"/>
              <w:rPr>
                <w:rFonts w:eastAsia="仿宋_GB2312"/>
                <w:color w:val="000000"/>
                <w:sz w:val="20"/>
                <w:szCs w:val="20"/>
              </w:rPr>
            </w:pPr>
          </w:p>
        </w:tc>
        <w:tc>
          <w:tcPr>
            <w:tcW w:w="1733" w:type="dxa"/>
            <w:gridSpan w:val="2"/>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群众安居乐业</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人民群众安全感更加充实、更有保障、更可持续。</w:t>
            </w:r>
          </w:p>
        </w:tc>
        <w:tc>
          <w:tcPr>
            <w:tcW w:w="848"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群众安居乐业</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lang w:val="en-US" w:eastAsia="zh-CN"/>
              </w:rPr>
              <w:t>10</w:t>
            </w:r>
          </w:p>
        </w:tc>
        <w:tc>
          <w:tcPr>
            <w:tcW w:w="1443" w:type="dxa"/>
            <w:noWrap w:val="0"/>
            <w:vAlign w:val="center"/>
          </w:tcPr>
          <w:p>
            <w:pPr>
              <w:spacing w:line="240" w:lineRule="exact"/>
              <w:jc w:val="center"/>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noWrap w:val="0"/>
            <w:vAlign w:val="center"/>
          </w:tcPr>
          <w:p>
            <w:pPr>
              <w:spacing w:line="240" w:lineRule="exact"/>
              <w:jc w:val="left"/>
              <w:rPr>
                <w:rFonts w:eastAsia="仿宋_GB2312"/>
                <w:color w:val="000000"/>
                <w:sz w:val="20"/>
                <w:szCs w:val="20"/>
              </w:rPr>
            </w:pPr>
          </w:p>
        </w:tc>
        <w:tc>
          <w:tcPr>
            <w:tcW w:w="713" w:type="dxa"/>
            <w:vMerge w:val="continue"/>
            <w:noWrap w:val="0"/>
            <w:vAlign w:val="center"/>
          </w:tcPr>
          <w:p>
            <w:pPr>
              <w:spacing w:line="240" w:lineRule="exact"/>
              <w:jc w:val="center"/>
              <w:rPr>
                <w:rFonts w:eastAsia="仿宋_GB2312"/>
                <w:color w:val="000000"/>
                <w:sz w:val="20"/>
                <w:szCs w:val="20"/>
              </w:rPr>
            </w:pPr>
          </w:p>
        </w:tc>
        <w:tc>
          <w:tcPr>
            <w:tcW w:w="750"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满意度</w:t>
            </w:r>
          </w:p>
        </w:tc>
        <w:tc>
          <w:tcPr>
            <w:tcW w:w="1733" w:type="dxa"/>
            <w:gridSpan w:val="2"/>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辖区内人民群众满意度</w:t>
            </w:r>
          </w:p>
        </w:tc>
        <w:tc>
          <w:tcPr>
            <w:tcW w:w="1260" w:type="dxa"/>
            <w:noWrap w:val="0"/>
            <w:vAlign w:val="center"/>
          </w:tcPr>
          <w:p>
            <w:pPr>
              <w:spacing w:line="240" w:lineRule="exact"/>
              <w:jc w:val="center"/>
              <w:rPr>
                <w:rFonts w:eastAsia="仿宋_GB2312"/>
                <w:color w:val="000000"/>
                <w:sz w:val="20"/>
                <w:szCs w:val="20"/>
              </w:rPr>
            </w:pPr>
            <w:r>
              <w:rPr>
                <w:rFonts w:hint="eastAsia" w:eastAsia="仿宋_GB2312"/>
                <w:color w:val="000000"/>
                <w:sz w:val="20"/>
                <w:szCs w:val="20"/>
              </w:rPr>
              <w:t>≥90%</w:t>
            </w:r>
          </w:p>
        </w:tc>
        <w:tc>
          <w:tcPr>
            <w:tcW w:w="84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99%</w:t>
            </w:r>
          </w:p>
        </w:tc>
        <w:tc>
          <w:tcPr>
            <w:tcW w:w="718"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84"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1443" w:type="dxa"/>
            <w:noWrap w:val="0"/>
            <w:vAlign w:val="center"/>
          </w:tcPr>
          <w:p>
            <w:pPr>
              <w:spacing w:line="240" w:lineRule="exact"/>
              <w:jc w:val="center"/>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noWrap w:val="0"/>
            <w:vAlign w:val="center"/>
          </w:tcPr>
          <w:p>
            <w:pPr>
              <w:spacing w:line="240" w:lineRule="exact"/>
              <w:jc w:val="center"/>
              <w:rPr>
                <w:rFonts w:eastAsia="仿宋_GB2312"/>
                <w:color w:val="000000"/>
                <w:sz w:val="20"/>
                <w:szCs w:val="20"/>
              </w:rPr>
            </w:pPr>
            <w:r>
              <w:rPr>
                <w:rFonts w:eastAsia="仿宋_GB2312"/>
                <w:color w:val="000000"/>
                <w:sz w:val="20"/>
                <w:szCs w:val="20"/>
              </w:rPr>
              <w:t>总分</w:t>
            </w:r>
          </w:p>
        </w:tc>
        <w:tc>
          <w:tcPr>
            <w:tcW w:w="718" w:type="dxa"/>
            <w:noWrap w:val="0"/>
            <w:vAlign w:val="center"/>
          </w:tcPr>
          <w:p>
            <w:pPr>
              <w:spacing w:line="240" w:lineRule="exact"/>
              <w:jc w:val="center"/>
              <w:rPr>
                <w:rFonts w:eastAsia="仿宋_GB2312"/>
                <w:color w:val="000000"/>
                <w:sz w:val="20"/>
                <w:szCs w:val="20"/>
              </w:rPr>
            </w:pPr>
            <w:r>
              <w:rPr>
                <w:rFonts w:eastAsia="仿宋_GB2312"/>
                <w:color w:val="000000"/>
                <w:sz w:val="20"/>
                <w:szCs w:val="20"/>
              </w:rPr>
              <w:t>100</w:t>
            </w:r>
          </w:p>
        </w:tc>
        <w:tc>
          <w:tcPr>
            <w:tcW w:w="884" w:type="dxa"/>
            <w:noWrap w:val="0"/>
            <w:vAlign w:val="center"/>
          </w:tcPr>
          <w:p>
            <w:pPr>
              <w:spacing w:line="240" w:lineRule="exact"/>
              <w:jc w:val="center"/>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1443" w:type="dxa"/>
            <w:noWrap w:val="0"/>
            <w:vAlign w:val="center"/>
          </w:tcPr>
          <w:p>
            <w:pPr>
              <w:spacing w:line="240" w:lineRule="exact"/>
              <w:jc w:val="left"/>
              <w:rPr>
                <w:rFonts w:eastAsia="仿宋_GB2312"/>
                <w:color w:val="000000"/>
                <w:sz w:val="20"/>
                <w:szCs w:val="20"/>
              </w:rPr>
            </w:pPr>
          </w:p>
        </w:tc>
      </w:tr>
    </w:tbl>
    <w:p>
      <w:pPr>
        <w:rPr>
          <w:rFonts w:hint="eastAsia" w:eastAsia="仿宋_GB2312"/>
          <w:sz w:val="22"/>
          <w:szCs w:val="22"/>
          <w:lang w:val="en-US" w:eastAsia="zh-CN"/>
        </w:rPr>
      </w:pPr>
      <w:r>
        <w:rPr>
          <w:rFonts w:eastAsia="仿宋_GB2312"/>
          <w:sz w:val="22"/>
          <w:szCs w:val="22"/>
        </w:rPr>
        <w:t>填表人：</w:t>
      </w:r>
      <w:r>
        <w:rPr>
          <w:rFonts w:hint="eastAsia" w:eastAsia="仿宋_GB2312"/>
          <w:sz w:val="22"/>
          <w:szCs w:val="22"/>
          <w:lang w:val="en-US" w:eastAsia="zh-CN"/>
        </w:rPr>
        <w:t>郭馨月</w:t>
      </w:r>
      <w:r>
        <w:rPr>
          <w:rFonts w:eastAsia="仿宋_GB2312"/>
          <w:sz w:val="22"/>
          <w:szCs w:val="22"/>
        </w:rPr>
        <w:t xml:space="preserve"> </w:t>
      </w:r>
      <w:r>
        <w:rPr>
          <w:rFonts w:hint="eastAsia" w:eastAsia="仿宋_GB2312"/>
          <w:sz w:val="22"/>
          <w:szCs w:val="22"/>
          <w:lang w:val="en-US" w:eastAsia="zh-CN"/>
        </w:rPr>
        <w:t xml:space="preserve"> </w:t>
      </w:r>
      <w:r>
        <w:rPr>
          <w:rFonts w:eastAsia="仿宋_GB2312"/>
          <w:sz w:val="22"/>
          <w:szCs w:val="22"/>
        </w:rPr>
        <w:t>填报日期：</w:t>
      </w:r>
      <w:r>
        <w:rPr>
          <w:rFonts w:hint="eastAsia" w:eastAsia="仿宋_GB2312"/>
          <w:sz w:val="22"/>
          <w:szCs w:val="22"/>
          <w:lang w:val="en-US" w:eastAsia="zh-CN"/>
        </w:rPr>
        <w:t>2026.9.23</w:t>
      </w:r>
      <w:r>
        <w:rPr>
          <w:rFonts w:eastAsia="仿宋_GB2312"/>
          <w:sz w:val="22"/>
          <w:szCs w:val="22"/>
        </w:rPr>
        <w:t xml:space="preserve"> </w:t>
      </w:r>
      <w:r>
        <w:rPr>
          <w:rFonts w:hint="eastAsia" w:eastAsia="仿宋_GB2312"/>
          <w:sz w:val="22"/>
          <w:szCs w:val="22"/>
          <w:lang w:val="en-US" w:eastAsia="zh-CN"/>
        </w:rPr>
        <w:t xml:space="preserve"> </w:t>
      </w:r>
      <w:r>
        <w:rPr>
          <w:rFonts w:eastAsia="仿宋_GB2312"/>
          <w:sz w:val="22"/>
          <w:szCs w:val="22"/>
        </w:rPr>
        <w:t>联系电话：</w:t>
      </w:r>
      <w:r>
        <w:rPr>
          <w:rFonts w:hint="eastAsia" w:eastAsia="仿宋_GB2312"/>
          <w:sz w:val="22"/>
          <w:szCs w:val="22"/>
          <w:lang w:val="en-US" w:eastAsia="zh-CN"/>
        </w:rPr>
        <w:t xml:space="preserve">18673558556  </w:t>
      </w:r>
      <w:r>
        <w:rPr>
          <w:rFonts w:eastAsia="仿宋_GB2312"/>
          <w:sz w:val="22"/>
          <w:szCs w:val="22"/>
        </w:rPr>
        <w:t>单位负责人：</w:t>
      </w:r>
      <w:r>
        <w:rPr>
          <w:rFonts w:hint="eastAsia" w:eastAsia="仿宋_GB2312"/>
          <w:sz w:val="22"/>
          <w:szCs w:val="22"/>
          <w:lang w:val="en-US" w:eastAsia="zh-CN"/>
        </w:rPr>
        <w:t>唐慧云</w:t>
      </w:r>
    </w:p>
    <w:p>
      <w:pPr>
        <w:rPr>
          <w:rFonts w:hint="eastAsia" w:eastAsia="仿宋_GB2312"/>
          <w:sz w:val="22"/>
          <w:szCs w:val="22"/>
          <w:lang w:val="en-US" w:eastAsia="zh-CN"/>
        </w:rPr>
      </w:pPr>
    </w:p>
    <w:p>
      <w:pPr>
        <w:keepNext w:val="0"/>
        <w:keepLines w:val="0"/>
        <w:pageBreakBefore w:val="0"/>
        <w:widowControl w:val="0"/>
        <w:kinsoku w:val="0"/>
        <w:wordWrap/>
        <w:overflowPunct w:val="0"/>
        <w:topLinePunct w:val="0"/>
        <w:autoSpaceDE w:val="0"/>
        <w:autoSpaceDN w:val="0"/>
        <w:bidi w:val="0"/>
        <w:adjustRightInd/>
        <w:snapToGrid/>
        <w:spacing w:after="120" w:afterLines="50" w:line="260" w:lineRule="exact"/>
        <w:ind w:firstLine="640" w:firstLineChars="200"/>
        <w:jc w:val="left"/>
        <w:textAlignment w:val="auto"/>
        <w:outlineLvl w:val="1"/>
        <w:rPr>
          <w:rFonts w:hint="eastAsia" w:ascii="黑体" w:hAnsi="黑体" w:eastAsia="黑体" w:cs="黑体"/>
          <w:sz w:val="32"/>
          <w:szCs w:val="32"/>
        </w:rPr>
      </w:pPr>
    </w:p>
    <w:p>
      <w:pPr>
        <w:keepNext w:val="0"/>
        <w:keepLines w:val="0"/>
        <w:pageBreakBefore w:val="0"/>
        <w:widowControl w:val="0"/>
        <w:kinsoku w:val="0"/>
        <w:wordWrap/>
        <w:overflowPunct w:val="0"/>
        <w:topLinePunct w:val="0"/>
        <w:autoSpaceDE w:val="0"/>
        <w:autoSpaceDN w:val="0"/>
        <w:bidi w:val="0"/>
        <w:adjustRightInd/>
        <w:snapToGrid/>
        <w:spacing w:after="120" w:afterLines="50" w:line="440" w:lineRule="exact"/>
        <w:ind w:firstLine="640" w:firstLineChars="200"/>
        <w:jc w:val="left"/>
        <w:textAlignment w:val="auto"/>
        <w:outlineLvl w:val="1"/>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keepNext w:val="0"/>
        <w:keepLines w:val="0"/>
        <w:pageBreakBefore w:val="0"/>
        <w:widowControl w:val="0"/>
        <w:kinsoku w:val="0"/>
        <w:wordWrap/>
        <w:overflowPunct w:val="0"/>
        <w:topLinePunct w:val="0"/>
        <w:autoSpaceDE w:val="0"/>
        <w:autoSpaceDN w:val="0"/>
        <w:bidi w:val="0"/>
        <w:adjustRightInd/>
        <w:snapToGrid/>
        <w:spacing w:after="120" w:afterLines="50" w:line="440" w:lineRule="exact"/>
        <w:jc w:val="center"/>
        <w:textAlignment w:val="auto"/>
        <w:outlineLvl w:val="1"/>
        <w:rPr>
          <w:rFonts w:ascii="方正小标宋简体" w:eastAsia="方正小标宋简体"/>
          <w:sz w:val="44"/>
          <w:szCs w:val="44"/>
        </w:rPr>
      </w:pPr>
      <w:r>
        <w:rPr>
          <w:rFonts w:ascii="方正小标宋简体" w:eastAsia="方正小标宋简体"/>
          <w:sz w:val="44"/>
          <w:szCs w:val="44"/>
        </w:rPr>
        <w:t>20</w:t>
      </w:r>
      <w:r>
        <w:rPr>
          <w:rFonts w:hint="eastAsia" w:ascii="方正小标宋简体" w:eastAsia="方正小标宋简体"/>
          <w:sz w:val="44"/>
          <w:szCs w:val="44"/>
          <w:lang w:val="en-US" w:eastAsia="zh-CN"/>
        </w:rPr>
        <w:t>25</w:t>
      </w:r>
      <w:r>
        <w:rPr>
          <w:rFonts w:ascii="方正小标宋简体" w:eastAsia="方正小标宋简体"/>
          <w:sz w:val="44"/>
          <w:szCs w:val="4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21"/>
        <w:gridCol w:w="1085"/>
        <w:gridCol w:w="1085"/>
        <w:gridCol w:w="1722"/>
        <w:gridCol w:w="648"/>
        <w:gridCol w:w="1140"/>
        <w:gridCol w:w="832"/>
        <w:gridCol w:w="877"/>
        <w:gridCol w:w="114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项目支</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出名称</w:t>
            </w:r>
          </w:p>
        </w:tc>
        <w:tc>
          <w:tcPr>
            <w:tcW w:w="8535" w:type="dxa"/>
            <w:gridSpan w:val="8"/>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sz w:val="20"/>
                <w:szCs w:val="20"/>
                <w:lang w:val="en-US" w:eastAsia="zh-CN"/>
              </w:rPr>
              <w:t>　2025年执法办案经费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主管部门</w:t>
            </w:r>
          </w:p>
        </w:tc>
        <w:tc>
          <w:tcPr>
            <w:tcW w:w="4540" w:type="dxa"/>
            <w:gridSpan w:val="4"/>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永州市公安局</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实施单位</w:t>
            </w:r>
          </w:p>
        </w:tc>
        <w:tc>
          <w:tcPr>
            <w:tcW w:w="2855" w:type="dxa"/>
            <w:gridSpan w:val="3"/>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永州市公安局金洞分局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51" w:hRule="atLeast"/>
          <w:jc w:val="center"/>
        </w:trPr>
        <w:tc>
          <w:tcPr>
            <w:tcW w:w="921" w:type="dxa"/>
            <w:vMerge w:val="restart"/>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项目资金</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（万元）</w:t>
            </w:r>
          </w:p>
        </w:tc>
        <w:tc>
          <w:tcPr>
            <w:tcW w:w="2170" w:type="dxa"/>
            <w:gridSpan w:val="2"/>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年初</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预算数</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全年</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预算数</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sz w:val="20"/>
                <w:szCs w:val="20"/>
              </w:rPr>
            </w:pPr>
            <w:r>
              <w:rPr>
                <w:rFonts w:eastAsia="仿宋_GB2312"/>
                <w:sz w:val="20"/>
                <w:szCs w:val="20"/>
              </w:rPr>
              <w:t>全年</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sz w:val="20"/>
                <w:szCs w:val="20"/>
              </w:rPr>
            </w:pPr>
            <w:r>
              <w:rPr>
                <w:rFonts w:eastAsia="仿宋_GB2312"/>
                <w:sz w:val="20"/>
                <w:szCs w:val="20"/>
              </w:rPr>
              <w:t>执行数</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sz w:val="20"/>
                <w:szCs w:val="20"/>
              </w:rPr>
            </w:pPr>
            <w:r>
              <w:rPr>
                <w:rFonts w:eastAsia="仿宋_GB2312"/>
                <w:sz w:val="20"/>
                <w:szCs w:val="20"/>
              </w:rPr>
              <w:t>分值</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sz w:val="20"/>
                <w:szCs w:val="20"/>
              </w:rPr>
            </w:pPr>
            <w:r>
              <w:rPr>
                <w:rFonts w:eastAsia="仿宋_GB2312"/>
                <w:sz w:val="20"/>
                <w:szCs w:val="20"/>
              </w:rPr>
              <w:t>执行率</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sz w:val="20"/>
                <w:szCs w:val="20"/>
              </w:rPr>
            </w:pPr>
            <w:r>
              <w:rPr>
                <w:rFonts w:eastAsia="仿宋_GB2312"/>
                <w:sz w:val="20"/>
                <w:szCs w:val="20"/>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37"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年度资金总额　</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eastAsia="仿宋_GB2312"/>
                <w:color w:val="000000"/>
                <w:sz w:val="20"/>
                <w:szCs w:val="20"/>
                <w:lang w:val="en-US" w:eastAsia="zh-CN"/>
              </w:rPr>
            </w:pPr>
            <w:r>
              <w:rPr>
                <w:rFonts w:hint="eastAsia" w:eastAsia="仿宋_GB2312"/>
                <w:color w:val="000000"/>
                <w:sz w:val="20"/>
                <w:szCs w:val="20"/>
                <w:lang w:val="en-US" w:eastAsia="zh-CN"/>
              </w:rPr>
              <w:t>8</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7</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7</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10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51"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其中：当年财政拨款　</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51"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ind w:firstLine="600" w:firstLineChars="300"/>
              <w:jc w:val="left"/>
              <w:textAlignment w:val="auto"/>
              <w:rPr>
                <w:rFonts w:eastAsia="仿宋_GB2312"/>
                <w:color w:val="000000"/>
                <w:sz w:val="20"/>
                <w:szCs w:val="20"/>
              </w:rPr>
            </w:pPr>
            <w:r>
              <w:rPr>
                <w:rFonts w:eastAsia="仿宋_GB2312"/>
                <w:color w:val="000000"/>
                <w:sz w:val="20"/>
                <w:szCs w:val="20"/>
              </w:rPr>
              <w:t>上年结转资金　</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ind w:firstLine="600" w:firstLineChars="300"/>
              <w:jc w:val="left"/>
              <w:textAlignment w:val="auto"/>
              <w:rPr>
                <w:rFonts w:eastAsia="仿宋_GB2312"/>
                <w:color w:val="000000"/>
                <w:sz w:val="20"/>
                <w:szCs w:val="20"/>
              </w:rPr>
            </w:pPr>
            <w:r>
              <w:rPr>
                <w:rFonts w:eastAsia="仿宋_GB2312"/>
                <w:color w:val="000000"/>
                <w:sz w:val="20"/>
                <w:szCs w:val="20"/>
              </w:rPr>
              <w:t>其他资金</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年度总体目标</w:t>
            </w:r>
          </w:p>
        </w:tc>
        <w:tc>
          <w:tcPr>
            <w:tcW w:w="4540" w:type="dxa"/>
            <w:gridSpan w:val="4"/>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预期目标</w:t>
            </w:r>
          </w:p>
        </w:tc>
        <w:tc>
          <w:tcPr>
            <w:tcW w:w="3995" w:type="dxa"/>
            <w:gridSpan w:val="4"/>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37"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p>
        </w:tc>
        <w:tc>
          <w:tcPr>
            <w:tcW w:w="4540" w:type="dxa"/>
            <w:gridSpan w:val="4"/>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hint="eastAsia" w:eastAsia="仿宋_GB2312"/>
                <w:color w:val="000000"/>
                <w:sz w:val="20"/>
                <w:szCs w:val="20"/>
              </w:rPr>
              <w:t>合理规范使用</w:t>
            </w:r>
            <w:r>
              <w:rPr>
                <w:rFonts w:hint="eastAsia" w:eastAsia="仿宋_GB2312"/>
                <w:color w:val="000000"/>
                <w:sz w:val="20"/>
                <w:szCs w:val="20"/>
                <w:lang w:val="en-US" w:eastAsia="zh-CN"/>
              </w:rPr>
              <w:t>8</w:t>
            </w:r>
            <w:r>
              <w:rPr>
                <w:rFonts w:hint="eastAsia" w:eastAsia="仿宋_GB2312"/>
                <w:color w:val="000000"/>
                <w:sz w:val="20"/>
                <w:szCs w:val="20"/>
              </w:rPr>
              <w:t>万元执法办案专项经费，重点保障案件办理、调查取证、执法装备运维及办案业务开展等必要支出，严格执行财经纪律，确保专款专用、支出规范。通过经费精准保障，进一步提升执法办案质效与规范化水平，有力支撑各类案件依法高效办理，切实维护执法权威与司法公正，为有效打击违法犯罪、维护辖区社会治安稳定提供坚实经费保障。</w:t>
            </w:r>
          </w:p>
        </w:tc>
        <w:tc>
          <w:tcPr>
            <w:tcW w:w="3995" w:type="dxa"/>
            <w:gridSpan w:val="4"/>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hint="eastAsia" w:eastAsia="仿宋_GB2312"/>
                <w:color w:val="000000"/>
                <w:sz w:val="20"/>
                <w:szCs w:val="20"/>
                <w:lang w:val="en-US" w:eastAsia="zh-CN"/>
              </w:rPr>
              <w:t>2025年以来，我局扎实推进专案及各类案件办理，辖区破获刑事案件19起、行政案件29起，严打盗抢骗、电诈、涉林等违法犯罪，抓获逃犯及各类涉案人员；全力开展森林防火、禁毒宣传，筑牢林区防火与禁毒防线；稳步推进公安办公、办案及信息化装备配备相关工作；同步抓实安全生产、交通整治、安保维稳、群防群治及为民服务工作，辖区社会治安平稳、群众满意度提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绩</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效</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指</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标</w:t>
            </w: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一级指标</w:t>
            </w: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二级指标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三级指标</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年度</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指标值</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实际</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完成值</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分值</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得分</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偏差原因</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分析及</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成本指标</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20"/>
                <w:szCs w:val="20"/>
                <w:lang w:val="en"/>
              </w:rPr>
            </w:pPr>
            <w:r>
              <w:rPr>
                <w:rFonts w:hint="eastAsia" w:ascii="仿宋_GB2312" w:hAnsi="仿宋_GB2312" w:eastAsia="仿宋_GB2312" w:cs="仿宋_GB2312"/>
                <w:color w:val="000000"/>
                <w:kern w:val="0"/>
                <w:sz w:val="20"/>
                <w:szCs w:val="20"/>
                <w:lang w:val="en"/>
              </w:rPr>
              <w:t>（</w:t>
            </w:r>
            <w:r>
              <w:rPr>
                <w:rFonts w:hint="eastAsia" w:ascii="仿宋_GB2312" w:hAnsi="仿宋_GB2312" w:eastAsia="仿宋_GB2312" w:cs="仿宋_GB2312"/>
                <w:color w:val="000000"/>
                <w:kern w:val="0"/>
                <w:sz w:val="20"/>
                <w:szCs w:val="20"/>
              </w:rPr>
              <w:t>20分</w:t>
            </w:r>
            <w:r>
              <w:rPr>
                <w:rFonts w:hint="eastAsia" w:ascii="仿宋_GB2312" w:hAnsi="仿宋_GB2312" w:eastAsia="仿宋_GB2312" w:cs="仿宋_GB2312"/>
                <w:color w:val="000000"/>
                <w:kern w:val="0"/>
                <w:sz w:val="20"/>
                <w:szCs w:val="20"/>
                <w:lang w:val="en"/>
              </w:rPr>
              <w:t>）</w:t>
            </w: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经济成</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本指标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lang w:val="en-US" w:eastAsia="zh-CN"/>
              </w:rPr>
              <w:t>用于</w:t>
            </w:r>
            <w:r>
              <w:rPr>
                <w:rFonts w:hint="eastAsia" w:eastAsia="仿宋_GB2312"/>
                <w:color w:val="000000"/>
                <w:sz w:val="20"/>
                <w:szCs w:val="20"/>
              </w:rPr>
              <w:t>执法办案支出</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lang w:val="en-US" w:eastAsia="zh-CN"/>
              </w:rPr>
              <w:t>7</w:t>
            </w:r>
            <w:r>
              <w:rPr>
                <w:rFonts w:hint="eastAsia" w:eastAsia="仿宋_GB2312"/>
                <w:color w:val="000000"/>
                <w:sz w:val="20"/>
                <w:szCs w:val="20"/>
              </w:rPr>
              <w:t>万元</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lang w:val="en-US" w:eastAsia="zh-CN"/>
              </w:rPr>
              <w:t>7</w:t>
            </w:r>
            <w:r>
              <w:rPr>
                <w:rFonts w:hint="eastAsia" w:eastAsia="仿宋_GB2312"/>
                <w:color w:val="000000"/>
                <w:sz w:val="20"/>
                <w:szCs w:val="20"/>
              </w:rPr>
              <w:t>万元</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20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20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c>
          <w:tcPr>
            <w:tcW w:w="1085" w:type="dxa"/>
            <w:vMerge w:val="restart"/>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产出指标</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（40分）</w:t>
            </w: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数量指标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打击违法犯罪行为数量</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50起</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lang w:val="en-US" w:eastAsia="zh-CN"/>
              </w:rPr>
              <w:t>64</w:t>
            </w:r>
            <w:r>
              <w:rPr>
                <w:rFonts w:hint="eastAsia" w:eastAsia="仿宋_GB2312"/>
                <w:color w:val="000000"/>
                <w:sz w:val="20"/>
                <w:szCs w:val="20"/>
              </w:rPr>
              <w:t>起</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5</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20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76"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c>
          <w:tcPr>
            <w:tcW w:w="1085"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sz w:val="20"/>
                <w:szCs w:val="20"/>
              </w:rPr>
            </w:pP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质量指标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案件侦办质量考评合格率</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100%</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100%</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26"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c>
          <w:tcPr>
            <w:tcW w:w="1085"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hint="eastAsia" w:ascii="仿宋_GB2312" w:hAnsi="仿宋_GB2312" w:eastAsia="仿宋_GB2312" w:cs="仿宋_GB2312"/>
                <w:color w:val="000000"/>
                <w:sz w:val="20"/>
                <w:szCs w:val="20"/>
              </w:rPr>
            </w:pP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时效指标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预计完成全部任务量时间</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202</w:t>
            </w:r>
            <w:r>
              <w:rPr>
                <w:rFonts w:hint="eastAsia" w:eastAsia="仿宋_GB2312"/>
                <w:color w:val="000000"/>
                <w:sz w:val="20"/>
                <w:szCs w:val="20"/>
                <w:lang w:val="en-US" w:eastAsia="zh-CN"/>
              </w:rPr>
              <w:t>4</w:t>
            </w:r>
            <w:r>
              <w:rPr>
                <w:rFonts w:hint="eastAsia" w:eastAsia="仿宋_GB2312"/>
                <w:color w:val="000000"/>
                <w:sz w:val="20"/>
                <w:szCs w:val="20"/>
              </w:rPr>
              <w:t>年12月底前完成</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202</w:t>
            </w:r>
            <w:r>
              <w:rPr>
                <w:rFonts w:hint="eastAsia" w:eastAsia="仿宋_GB2312"/>
                <w:color w:val="000000"/>
                <w:sz w:val="20"/>
                <w:szCs w:val="20"/>
                <w:lang w:val="en-US" w:eastAsia="zh-CN"/>
              </w:rPr>
              <w:t>4</w:t>
            </w:r>
            <w:r>
              <w:rPr>
                <w:rFonts w:hint="eastAsia" w:eastAsia="仿宋_GB2312"/>
                <w:color w:val="000000"/>
                <w:sz w:val="20"/>
                <w:szCs w:val="20"/>
              </w:rPr>
              <w:t>年12月底前已完成</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26"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c>
          <w:tcPr>
            <w:tcW w:w="1085" w:type="dxa"/>
            <w:vMerge w:val="restart"/>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效益指标</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（20分）</w:t>
            </w: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经济效</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益指标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挽回人民群众经济损失情况</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上当受骗率大大降低</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降低5%</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c>
          <w:tcPr>
            <w:tcW w:w="1085"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hint="eastAsia" w:ascii="仿宋_GB2312" w:hAnsi="仿宋_GB2312" w:eastAsia="仿宋_GB2312" w:cs="仿宋_GB2312"/>
                <w:color w:val="000000"/>
                <w:sz w:val="20"/>
                <w:szCs w:val="20"/>
              </w:rPr>
            </w:pP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社会效</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益指标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违法犯罪率降低</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3%</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3%</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87" w:hRule="atLeast"/>
          <w:jc w:val="center"/>
        </w:trPr>
        <w:tc>
          <w:tcPr>
            <w:tcW w:w="921" w:type="dxa"/>
            <w:vMerge w:val="continue"/>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满意度</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指标</w:t>
            </w:r>
          </w:p>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（10分）</w:t>
            </w:r>
          </w:p>
        </w:tc>
        <w:tc>
          <w:tcPr>
            <w:tcW w:w="1085"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服务对象满意度指标</w:t>
            </w:r>
          </w:p>
        </w:tc>
        <w:tc>
          <w:tcPr>
            <w:tcW w:w="172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辖区内人民群众满意度</w:t>
            </w:r>
          </w:p>
        </w:tc>
        <w:tc>
          <w:tcPr>
            <w:tcW w:w="648"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≥90%</w:t>
            </w:r>
          </w:p>
        </w:tc>
        <w:tc>
          <w:tcPr>
            <w:tcW w:w="1140"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rPr>
              <w:t>99%</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总分</w:t>
            </w:r>
          </w:p>
        </w:tc>
        <w:tc>
          <w:tcPr>
            <w:tcW w:w="832"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eastAsia="仿宋_GB2312"/>
                <w:color w:val="000000"/>
                <w:sz w:val="20"/>
                <w:szCs w:val="20"/>
              </w:rPr>
            </w:pPr>
            <w:r>
              <w:rPr>
                <w:rFonts w:eastAsia="仿宋_GB2312"/>
                <w:color w:val="000000"/>
                <w:sz w:val="20"/>
                <w:szCs w:val="20"/>
              </w:rPr>
              <w:t>100</w:t>
            </w:r>
          </w:p>
        </w:tc>
        <w:tc>
          <w:tcPr>
            <w:tcW w:w="877"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95.94</w:t>
            </w:r>
          </w:p>
        </w:tc>
        <w:tc>
          <w:tcPr>
            <w:tcW w:w="1146" w:type="dxa"/>
            <w:noWrap w:val="0"/>
            <w:vAlign w:val="center"/>
          </w:tcPr>
          <w:p>
            <w:pPr>
              <w:keepNext w:val="0"/>
              <w:keepLines w:val="0"/>
              <w:pageBreakBefore w:val="0"/>
              <w:widowControl w:val="0"/>
              <w:kinsoku w:val="0"/>
              <w:wordWrap/>
              <w:overflowPunct w:val="0"/>
              <w:topLinePunct w:val="0"/>
              <w:autoSpaceDE w:val="0"/>
              <w:autoSpaceDN w:val="0"/>
              <w:bidi w:val="0"/>
              <w:adjustRightInd/>
              <w:snapToGrid/>
              <w:spacing w:line="260" w:lineRule="exact"/>
              <w:jc w:val="left"/>
              <w:textAlignment w:val="auto"/>
              <w:rPr>
                <w:rFonts w:eastAsia="仿宋_GB2312"/>
                <w:color w:val="000000"/>
                <w:sz w:val="20"/>
                <w:szCs w:val="20"/>
              </w:rPr>
            </w:pPr>
            <w:r>
              <w:rPr>
                <w:rFonts w:eastAsia="仿宋_GB2312"/>
                <w:color w:val="000000"/>
                <w:sz w:val="20"/>
                <w:szCs w:val="20"/>
              </w:rPr>
              <w:t>　</w:t>
            </w:r>
          </w:p>
        </w:tc>
      </w:tr>
    </w:tbl>
    <w:p>
      <w:pPr>
        <w:keepNext w:val="0"/>
        <w:keepLines w:val="0"/>
        <w:pageBreakBefore w:val="0"/>
        <w:widowControl w:val="0"/>
        <w:kinsoku w:val="0"/>
        <w:wordWrap/>
        <w:overflowPunct w:val="0"/>
        <w:topLinePunct w:val="0"/>
        <w:autoSpaceDE w:val="0"/>
        <w:autoSpaceDN w:val="0"/>
        <w:bidi w:val="0"/>
        <w:adjustRightInd/>
        <w:snapToGrid/>
        <w:spacing w:line="260" w:lineRule="exact"/>
        <w:textAlignment w:val="auto"/>
        <w:rPr>
          <w:rFonts w:hint="eastAsia" w:ascii="黑体" w:hAnsi="黑体" w:eastAsia="黑体" w:cs="黑体"/>
          <w:color w:val="000000"/>
          <w:sz w:val="32"/>
          <w:szCs w:val="32"/>
        </w:rPr>
      </w:pPr>
      <w:r>
        <w:rPr>
          <w:rFonts w:eastAsia="仿宋_GB2312"/>
          <w:sz w:val="22"/>
          <w:szCs w:val="22"/>
        </w:rPr>
        <w:t>填表人：</w:t>
      </w:r>
      <w:r>
        <w:rPr>
          <w:rFonts w:hint="eastAsia" w:eastAsia="仿宋_GB2312"/>
          <w:sz w:val="22"/>
          <w:szCs w:val="22"/>
          <w:lang w:val="en-US" w:eastAsia="zh-CN"/>
        </w:rPr>
        <w:t>郭馨月</w:t>
      </w:r>
      <w:r>
        <w:rPr>
          <w:rFonts w:eastAsia="仿宋_GB2312"/>
          <w:sz w:val="22"/>
          <w:szCs w:val="22"/>
        </w:rPr>
        <w:t xml:space="preserve">  填报日期：</w:t>
      </w:r>
      <w:r>
        <w:rPr>
          <w:rFonts w:hint="eastAsia" w:eastAsia="仿宋_GB2312"/>
          <w:sz w:val="22"/>
          <w:szCs w:val="22"/>
          <w:lang w:val="en-US" w:eastAsia="zh-CN"/>
        </w:rPr>
        <w:t xml:space="preserve">2026.9.23 </w:t>
      </w:r>
      <w:r>
        <w:rPr>
          <w:rFonts w:eastAsia="仿宋_GB2312"/>
          <w:sz w:val="22"/>
          <w:szCs w:val="22"/>
        </w:rPr>
        <w:t>联系电话：</w:t>
      </w:r>
      <w:r>
        <w:rPr>
          <w:rFonts w:hint="eastAsia" w:eastAsia="仿宋_GB2312"/>
          <w:sz w:val="22"/>
          <w:szCs w:val="22"/>
          <w:lang w:val="en-US" w:eastAsia="zh-CN"/>
        </w:rPr>
        <w:t xml:space="preserve">18673558556   </w:t>
      </w:r>
      <w:r>
        <w:rPr>
          <w:rFonts w:eastAsia="仿宋_GB2312"/>
          <w:sz w:val="22"/>
          <w:szCs w:val="22"/>
        </w:rPr>
        <w:t>单位负责人：</w:t>
      </w:r>
      <w:r>
        <w:rPr>
          <w:rFonts w:hint="eastAsia" w:eastAsia="仿宋_GB2312"/>
          <w:sz w:val="22"/>
          <w:szCs w:val="22"/>
          <w:lang w:val="en-US" w:eastAsia="zh-CN"/>
        </w:rPr>
        <w:t>唐慧云</w:t>
      </w:r>
    </w:p>
    <w:p>
      <w:pPr>
        <w:spacing w:after="240" w:afterLines="100" w:line="600" w:lineRule="exact"/>
        <w:jc w:val="left"/>
        <w:rPr>
          <w:rFonts w:hint="eastAsia" w:eastAsia="黑体"/>
          <w:bCs/>
          <w:sz w:val="32"/>
          <w:szCs w:val="32"/>
          <w:lang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4</w:t>
      </w:r>
    </w:p>
    <w:p>
      <w:pPr>
        <w:spacing w:after="120" w:afterLines="50" w:line="600" w:lineRule="exact"/>
        <w:jc w:val="center"/>
        <w:outlineLvl w:val="1"/>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lang w:val="en-US" w:eastAsia="zh-CN"/>
        </w:rPr>
        <w:t>5</w:t>
      </w:r>
      <w:r>
        <w:rPr>
          <w:rFonts w:ascii="方正小标宋简体" w:eastAsia="方正小标宋简体"/>
          <w:sz w:val="44"/>
          <w:szCs w:val="44"/>
        </w:rPr>
        <w:t>年度项目支出绩效自评报告</w:t>
      </w:r>
    </w:p>
    <w:tbl>
      <w:tblPr>
        <w:tblStyle w:val="9"/>
        <w:tblpPr w:leftFromText="180" w:rightFromText="180" w:vertAnchor="text" w:horzAnchor="margin" w:tblpXSpec="center" w:tblpY="189"/>
        <w:tblW w:w="91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972"/>
        <w:gridCol w:w="563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pPr>
              <w:spacing w:line="240" w:lineRule="auto"/>
              <w:jc w:val="center"/>
              <w:rPr>
                <w:rFonts w:eastAsia="仿宋_GB2312"/>
                <w:sz w:val="20"/>
                <w:szCs w:val="20"/>
              </w:rPr>
            </w:pPr>
            <w:r>
              <w:rPr>
                <w:rFonts w:eastAsia="仿宋_GB2312"/>
                <w:sz w:val="20"/>
                <w:szCs w:val="20"/>
              </w:rPr>
              <w:t>部门概况</w:t>
            </w:r>
          </w:p>
        </w:tc>
        <w:tc>
          <w:tcPr>
            <w:tcW w:w="1972" w:type="dxa"/>
            <w:noWrap w:val="0"/>
            <w:vAlign w:val="center"/>
          </w:tcPr>
          <w:p>
            <w:pPr>
              <w:spacing w:line="240" w:lineRule="auto"/>
              <w:jc w:val="center"/>
              <w:rPr>
                <w:rFonts w:eastAsia="仿宋_GB2312"/>
                <w:sz w:val="20"/>
                <w:szCs w:val="20"/>
              </w:rPr>
            </w:pPr>
            <w:r>
              <w:rPr>
                <w:rFonts w:eastAsia="仿宋_GB2312"/>
                <w:sz w:val="20"/>
                <w:szCs w:val="20"/>
              </w:rPr>
              <w:t>专项名称</w:t>
            </w:r>
          </w:p>
        </w:tc>
        <w:tc>
          <w:tcPr>
            <w:tcW w:w="5633" w:type="dxa"/>
            <w:noWrap w:val="0"/>
            <w:vAlign w:val="center"/>
          </w:tcPr>
          <w:p>
            <w:pPr>
              <w:spacing w:line="240" w:lineRule="auto"/>
              <w:ind w:right="0" w:rightChars="0"/>
              <w:jc w:val="center"/>
              <w:rPr>
                <w:sz w:val="22"/>
                <w:szCs w:val="22"/>
              </w:rPr>
            </w:pPr>
            <w:r>
              <w:rPr>
                <w:rFonts w:hint="eastAsia"/>
                <w:sz w:val="22"/>
                <w:szCs w:val="22"/>
              </w:rPr>
              <w:t>2025年执法办案经费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年度预算金额</w:t>
            </w:r>
          </w:p>
        </w:tc>
        <w:tc>
          <w:tcPr>
            <w:tcW w:w="5633" w:type="dxa"/>
            <w:noWrap w:val="0"/>
            <w:vAlign w:val="center"/>
          </w:tcPr>
          <w:p>
            <w:pPr>
              <w:spacing w:line="240" w:lineRule="auto"/>
              <w:ind w:right="0" w:rightChars="0"/>
              <w:jc w:val="center"/>
              <w:rPr>
                <w:rFonts w:hint="eastAsia" w:eastAsia="宋体"/>
                <w:sz w:val="22"/>
                <w:szCs w:val="22"/>
                <w:lang w:eastAsia="zh-CN"/>
              </w:rPr>
            </w:pPr>
            <w:r>
              <w:rPr>
                <w:rFonts w:hint="eastAsia"/>
                <w:sz w:val="22"/>
                <w:szCs w:val="22"/>
                <w:lang w:val="en-US" w:eastAsia="zh-CN"/>
              </w:rPr>
              <w:t>8</w:t>
            </w:r>
            <w:r>
              <w:rPr>
                <w:rFonts w:hint="eastAsia"/>
                <w:sz w:val="22"/>
                <w:szCs w:val="22"/>
                <w:lang w:eastAsia="zh-CN"/>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项目主管部门</w:t>
            </w:r>
          </w:p>
        </w:tc>
        <w:tc>
          <w:tcPr>
            <w:tcW w:w="5633" w:type="dxa"/>
            <w:noWrap w:val="0"/>
            <w:vAlign w:val="center"/>
          </w:tcPr>
          <w:p>
            <w:pPr>
              <w:spacing w:line="240" w:lineRule="auto"/>
              <w:ind w:right="0" w:rightChars="0"/>
              <w:jc w:val="center"/>
              <w:rPr>
                <w:sz w:val="22"/>
                <w:szCs w:val="22"/>
              </w:rPr>
            </w:pPr>
            <w:r>
              <w:rPr>
                <w:rFonts w:hint="eastAsia"/>
                <w:sz w:val="22"/>
                <w:szCs w:val="22"/>
              </w:rPr>
              <w:t>永州市公安局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项目立项目的</w:t>
            </w:r>
          </w:p>
        </w:tc>
        <w:tc>
          <w:tcPr>
            <w:tcW w:w="5633" w:type="dxa"/>
            <w:noWrap w:val="0"/>
            <w:vAlign w:val="center"/>
          </w:tcPr>
          <w:p>
            <w:pPr>
              <w:spacing w:line="240" w:lineRule="auto"/>
              <w:ind w:right="0" w:rightChars="0"/>
              <w:jc w:val="left"/>
              <w:rPr>
                <w:sz w:val="22"/>
                <w:szCs w:val="22"/>
              </w:rPr>
            </w:pPr>
            <w:r>
              <w:rPr>
                <w:rFonts w:hint="eastAsia"/>
                <w:sz w:val="22"/>
                <w:szCs w:val="22"/>
              </w:rPr>
              <w:t>保障执法办案业务正常开展、维护公共安全，强化经费合规与绩效管控，为平安建设提供坚实支撑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1" w:hRule="atLeast"/>
        </w:trPr>
        <w:tc>
          <w:tcPr>
            <w:tcW w:w="1557" w:type="dxa"/>
            <w:vMerge w:val="restart"/>
            <w:noWrap w:val="0"/>
            <w:vAlign w:val="center"/>
          </w:tcPr>
          <w:p>
            <w:pPr>
              <w:spacing w:line="240" w:lineRule="auto"/>
              <w:jc w:val="center"/>
              <w:rPr>
                <w:rFonts w:eastAsia="仿宋_GB2312"/>
                <w:sz w:val="20"/>
                <w:szCs w:val="20"/>
              </w:rPr>
            </w:pPr>
            <w:r>
              <w:rPr>
                <w:rFonts w:eastAsia="仿宋_GB2312"/>
                <w:sz w:val="20"/>
                <w:szCs w:val="20"/>
              </w:rPr>
              <w:t>绩效情况</w:t>
            </w: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项目支出管理和使用基本情况</w:t>
            </w:r>
          </w:p>
        </w:tc>
        <w:tc>
          <w:tcPr>
            <w:tcW w:w="5633" w:type="dxa"/>
            <w:noWrap w:val="0"/>
            <w:vAlign w:val="center"/>
          </w:tcPr>
          <w:p>
            <w:pPr>
              <w:spacing w:line="240" w:lineRule="auto"/>
              <w:ind w:right="0" w:rightChars="0"/>
              <w:jc w:val="left"/>
              <w:rPr>
                <w:sz w:val="22"/>
                <w:szCs w:val="22"/>
              </w:rPr>
            </w:pPr>
            <w:r>
              <w:rPr>
                <w:rFonts w:hint="eastAsia"/>
                <w:sz w:val="22"/>
                <w:szCs w:val="22"/>
              </w:rPr>
              <w:t>2025年度执法办案经费专项预算金额8</w:t>
            </w:r>
            <w:r>
              <w:rPr>
                <w:rFonts w:hint="eastAsia"/>
                <w:sz w:val="22"/>
                <w:szCs w:val="22"/>
                <w:lang w:eastAsia="zh-CN"/>
              </w:rPr>
              <w:t>万</w:t>
            </w:r>
            <w:r>
              <w:rPr>
                <w:rFonts w:hint="eastAsia"/>
                <w:sz w:val="22"/>
                <w:szCs w:val="22"/>
              </w:rPr>
              <w:t>元，实际</w:t>
            </w:r>
            <w:r>
              <w:rPr>
                <w:rFonts w:hint="eastAsia"/>
                <w:sz w:val="22"/>
                <w:szCs w:val="22"/>
                <w:lang w:val="en-US" w:eastAsia="zh-CN"/>
              </w:rPr>
              <w:t>下达金额7万元，</w:t>
            </w:r>
            <w:r>
              <w:rPr>
                <w:rFonts w:hint="eastAsia"/>
                <w:sz w:val="22"/>
                <w:szCs w:val="22"/>
              </w:rPr>
              <w:t>支付金额7</w:t>
            </w:r>
            <w:r>
              <w:rPr>
                <w:rFonts w:hint="eastAsia"/>
                <w:sz w:val="22"/>
                <w:szCs w:val="22"/>
                <w:lang w:eastAsia="zh-CN"/>
              </w:rPr>
              <w:t>万</w:t>
            </w:r>
            <w:r>
              <w:rPr>
                <w:rFonts w:hint="eastAsia"/>
                <w:sz w:val="22"/>
                <w:szCs w:val="22"/>
              </w:rPr>
              <w:t>元。项目经费严格按照财经制度及执法办案工作需求规范管理、专款专用，重点用于保障执法办案业务开展相关支出，资金使用合规有序、支出真实规范，有效保障了执法办案工作正常运转，切实提升执法工作质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19"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项目绩效目标完成情况</w:t>
            </w:r>
          </w:p>
        </w:tc>
        <w:tc>
          <w:tcPr>
            <w:tcW w:w="5633" w:type="dxa"/>
            <w:noWrap w:val="0"/>
            <w:vAlign w:val="center"/>
          </w:tcPr>
          <w:p>
            <w:pPr>
              <w:spacing w:line="240" w:lineRule="auto"/>
              <w:ind w:right="0" w:rightChars="0"/>
              <w:jc w:val="both"/>
              <w:rPr>
                <w:sz w:val="22"/>
                <w:szCs w:val="22"/>
              </w:rPr>
            </w:pPr>
            <w:r>
              <w:rPr>
                <w:rFonts w:hint="eastAsia"/>
                <w:sz w:val="22"/>
                <w:szCs w:val="22"/>
              </w:rPr>
              <w:t>本年度以维护国家政治大局稳定为主线，紧紧围绕保障全区社会治安稳定及群众生命财产安全的总体目标，严格规范使用执法办案经费，有力支撑各类案件依法办理、治安防控及执法勤务开展，有效维护了辖区治安秩序稳定，切实保障了群众合法权益与财产安全，圆满完成年度执法办案及平安建设相关工作任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1557" w:type="dxa"/>
            <w:vMerge w:val="restart"/>
            <w:noWrap w:val="0"/>
            <w:vAlign w:val="center"/>
          </w:tcPr>
          <w:p>
            <w:pPr>
              <w:spacing w:line="240" w:lineRule="auto"/>
              <w:jc w:val="center"/>
              <w:rPr>
                <w:rFonts w:eastAsia="仿宋_GB2312"/>
                <w:sz w:val="20"/>
                <w:szCs w:val="20"/>
              </w:rPr>
            </w:pPr>
            <w:r>
              <w:rPr>
                <w:rFonts w:eastAsia="仿宋_GB2312"/>
                <w:sz w:val="20"/>
                <w:szCs w:val="20"/>
              </w:rPr>
              <w:t>存在的问题分析及改进措施</w:t>
            </w:r>
          </w:p>
        </w:tc>
        <w:tc>
          <w:tcPr>
            <w:tcW w:w="1972" w:type="dxa"/>
            <w:noWrap w:val="0"/>
            <w:vAlign w:val="center"/>
          </w:tcPr>
          <w:p>
            <w:pPr>
              <w:spacing w:line="240" w:lineRule="auto"/>
              <w:jc w:val="center"/>
              <w:rPr>
                <w:rFonts w:eastAsia="仿宋_GB2312"/>
                <w:sz w:val="20"/>
                <w:szCs w:val="20"/>
              </w:rPr>
            </w:pPr>
            <w:r>
              <w:rPr>
                <w:rFonts w:eastAsia="仿宋_GB2312"/>
                <w:sz w:val="20"/>
                <w:szCs w:val="20"/>
              </w:rPr>
              <w:t>存在的问题</w:t>
            </w:r>
          </w:p>
        </w:tc>
        <w:tc>
          <w:tcPr>
            <w:tcW w:w="5633" w:type="dxa"/>
            <w:noWrap w:val="0"/>
            <w:vAlign w:val="center"/>
          </w:tcPr>
          <w:p>
            <w:pPr>
              <w:spacing w:line="240" w:lineRule="auto"/>
              <w:ind w:right="0" w:rightChars="0"/>
              <w:jc w:val="center"/>
              <w:rPr>
                <w:sz w:val="22"/>
                <w:szCs w:val="22"/>
              </w:rPr>
            </w:pPr>
          </w:p>
          <w:p>
            <w:pPr>
              <w:spacing w:line="240" w:lineRule="auto"/>
              <w:ind w:right="0" w:rightChars="0"/>
              <w:jc w:val="center"/>
              <w:rPr>
                <w:sz w:val="22"/>
                <w:szCs w:val="22"/>
              </w:rPr>
            </w:pPr>
            <w:r>
              <w:rPr>
                <w:rFonts w:hint="eastAsia"/>
                <w:sz w:val="22"/>
                <w:szCs w:val="22"/>
              </w:rPr>
              <w:t>无</w:t>
            </w:r>
          </w:p>
          <w:p>
            <w:pPr>
              <w:spacing w:line="240" w:lineRule="auto"/>
              <w:ind w:right="0" w:rightChars="0"/>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8"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改进措施</w:t>
            </w:r>
          </w:p>
        </w:tc>
        <w:tc>
          <w:tcPr>
            <w:tcW w:w="5633" w:type="dxa"/>
            <w:noWrap w:val="0"/>
            <w:vAlign w:val="center"/>
          </w:tcPr>
          <w:p>
            <w:pPr>
              <w:spacing w:line="240" w:lineRule="auto"/>
              <w:ind w:right="0" w:rightChars="0"/>
              <w:jc w:val="center"/>
              <w:rPr>
                <w:sz w:val="22"/>
                <w:szCs w:val="22"/>
              </w:rPr>
            </w:pPr>
            <w:r>
              <w:rPr>
                <w:rFonts w:hint="eastAsia"/>
                <w:sz w:val="22"/>
                <w:szCs w:val="22"/>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125"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其他需要说明问题</w:t>
            </w:r>
          </w:p>
        </w:tc>
        <w:tc>
          <w:tcPr>
            <w:tcW w:w="5633" w:type="dxa"/>
            <w:noWrap w:val="0"/>
            <w:vAlign w:val="center"/>
          </w:tcPr>
          <w:p>
            <w:pPr>
              <w:spacing w:line="240" w:lineRule="auto"/>
              <w:ind w:right="0" w:rightChars="0"/>
              <w:jc w:val="center"/>
              <w:rPr>
                <w:rFonts w:hint="eastAsia"/>
                <w:sz w:val="22"/>
                <w:szCs w:val="22"/>
              </w:rPr>
            </w:pPr>
          </w:p>
          <w:p>
            <w:pPr>
              <w:spacing w:line="240" w:lineRule="auto"/>
              <w:ind w:right="0" w:rightChars="0"/>
              <w:jc w:val="center"/>
              <w:rPr>
                <w:sz w:val="22"/>
                <w:szCs w:val="22"/>
              </w:rPr>
            </w:pPr>
            <w:r>
              <w:rPr>
                <w:rFonts w:hint="eastAsia"/>
                <w:sz w:val="22"/>
                <w:szCs w:val="22"/>
              </w:rPr>
              <w:t>无</w:t>
            </w:r>
          </w:p>
          <w:p>
            <w:pPr>
              <w:spacing w:line="240" w:lineRule="auto"/>
              <w:ind w:right="0" w:rightChars="0"/>
              <w:rPr>
                <w:sz w:val="22"/>
                <w:szCs w:val="22"/>
              </w:rPr>
            </w:pPr>
          </w:p>
        </w:tc>
      </w:tr>
    </w:tbl>
    <w:p>
      <w:pPr>
        <w:bidi w:val="0"/>
      </w:pPr>
    </w:p>
    <w:p>
      <w:pPr>
        <w:rPr>
          <w:rFonts w:hint="eastAsia" w:eastAsia="仿宋_GB2312"/>
          <w:sz w:val="22"/>
          <w:szCs w:val="22"/>
          <w:lang w:val="en-US" w:eastAsia="zh-CN"/>
        </w:rPr>
      </w:pPr>
      <w:r>
        <w:rPr>
          <w:rFonts w:eastAsia="仿宋_GB2312"/>
          <w:sz w:val="22"/>
          <w:szCs w:val="22"/>
        </w:rPr>
        <w:t>填表人：</w:t>
      </w:r>
      <w:r>
        <w:rPr>
          <w:rFonts w:hint="eastAsia" w:eastAsia="仿宋_GB2312"/>
          <w:sz w:val="22"/>
          <w:szCs w:val="22"/>
          <w:lang w:val="en-US" w:eastAsia="zh-CN"/>
        </w:rPr>
        <w:t>郭馨月</w:t>
      </w:r>
      <w:r>
        <w:rPr>
          <w:rFonts w:eastAsia="仿宋_GB2312"/>
          <w:sz w:val="22"/>
          <w:szCs w:val="22"/>
        </w:rPr>
        <w:t xml:space="preserve">   </w:t>
      </w:r>
      <w:r>
        <w:rPr>
          <w:rFonts w:hint="eastAsia" w:eastAsia="仿宋_GB2312"/>
          <w:sz w:val="22"/>
          <w:szCs w:val="22"/>
          <w:lang w:val="en-US" w:eastAsia="zh-CN"/>
        </w:rPr>
        <w:t xml:space="preserve"> </w:t>
      </w:r>
      <w:r>
        <w:rPr>
          <w:rFonts w:eastAsia="仿宋_GB2312"/>
          <w:sz w:val="22"/>
          <w:szCs w:val="22"/>
        </w:rPr>
        <w:t>填报日期：</w:t>
      </w:r>
      <w:r>
        <w:rPr>
          <w:rFonts w:hint="eastAsia" w:eastAsia="仿宋_GB2312"/>
          <w:sz w:val="22"/>
          <w:szCs w:val="22"/>
          <w:lang w:val="en-US" w:eastAsia="zh-CN"/>
        </w:rPr>
        <w:t>2026.9.23</w:t>
      </w:r>
      <w:r>
        <w:rPr>
          <w:rFonts w:eastAsia="仿宋_GB2312"/>
          <w:sz w:val="22"/>
          <w:szCs w:val="22"/>
        </w:rPr>
        <w:t xml:space="preserve"> </w:t>
      </w:r>
      <w:r>
        <w:rPr>
          <w:rFonts w:hint="eastAsia" w:eastAsia="仿宋_GB2312"/>
          <w:sz w:val="22"/>
          <w:szCs w:val="22"/>
          <w:lang w:val="en-US" w:eastAsia="zh-CN"/>
        </w:rPr>
        <w:t xml:space="preserve"> </w:t>
      </w:r>
      <w:r>
        <w:rPr>
          <w:rFonts w:eastAsia="仿宋_GB2312"/>
          <w:sz w:val="22"/>
          <w:szCs w:val="22"/>
        </w:rPr>
        <w:t>联系电话：</w:t>
      </w:r>
      <w:r>
        <w:rPr>
          <w:rFonts w:hint="eastAsia" w:eastAsia="仿宋_GB2312"/>
          <w:sz w:val="22"/>
          <w:szCs w:val="22"/>
          <w:lang w:val="en-US" w:eastAsia="zh-CN"/>
        </w:rPr>
        <w:t xml:space="preserve">18673558556  </w:t>
      </w:r>
      <w:r>
        <w:rPr>
          <w:rFonts w:eastAsia="仿宋_GB2312"/>
          <w:sz w:val="22"/>
          <w:szCs w:val="22"/>
        </w:rPr>
        <w:t>单位负责人：</w:t>
      </w:r>
      <w:r>
        <w:rPr>
          <w:rFonts w:hint="eastAsia" w:eastAsia="仿宋_GB2312"/>
          <w:sz w:val="22"/>
          <w:szCs w:val="22"/>
          <w:lang w:val="en-US" w:eastAsia="zh-CN"/>
        </w:rPr>
        <w:t>唐慧云</w:t>
      </w:r>
    </w:p>
    <w:p>
      <w:pPr>
        <w:ind w:firstLine="630" w:firstLineChars="300"/>
        <w:jc w:val="left"/>
      </w:pPr>
    </w:p>
    <w:p>
      <w:pPr>
        <w:rPr>
          <w:rFonts w:hint="eastAsia" w:eastAsia="仿宋_GB2312"/>
          <w:sz w:val="22"/>
          <w:szCs w:val="22"/>
          <w:lang w:val="en-US" w:eastAsia="zh-CN"/>
        </w:rPr>
      </w:pPr>
    </w:p>
    <w:p>
      <w:pPr>
        <w:ind w:firstLine="440" w:firstLineChars="200"/>
        <w:rPr>
          <w:rFonts w:hint="eastAsia" w:eastAsia="仿宋_GB2312"/>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after="120" w:afterLines="50" w:line="440" w:lineRule="exact"/>
        <w:ind w:firstLine="640" w:firstLineChars="200"/>
        <w:jc w:val="left"/>
        <w:textAlignment w:val="auto"/>
        <w:outlineLvl w:val="1"/>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after="120" w:afterLines="50" w:line="440" w:lineRule="exact"/>
        <w:jc w:val="center"/>
        <w:textAlignment w:val="auto"/>
        <w:outlineLvl w:val="1"/>
        <w:rPr>
          <w:rFonts w:ascii="方正小标宋简体" w:eastAsia="方正小标宋简体"/>
          <w:sz w:val="44"/>
          <w:szCs w:val="44"/>
        </w:rPr>
      </w:pPr>
      <w:r>
        <w:rPr>
          <w:rFonts w:ascii="方正小标宋简体" w:eastAsia="方正小标宋简体"/>
          <w:sz w:val="44"/>
          <w:szCs w:val="44"/>
        </w:rPr>
        <w:t>20</w:t>
      </w:r>
      <w:r>
        <w:rPr>
          <w:rFonts w:hint="eastAsia" w:ascii="方正小标宋简体" w:eastAsia="方正小标宋简体"/>
          <w:sz w:val="44"/>
          <w:szCs w:val="44"/>
          <w:lang w:val="en-US" w:eastAsia="zh-CN"/>
        </w:rPr>
        <w:t>25</w:t>
      </w:r>
      <w:r>
        <w:rPr>
          <w:rFonts w:ascii="方正小标宋简体" w:eastAsia="方正小标宋简体"/>
          <w:sz w:val="44"/>
          <w:szCs w:val="4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21"/>
        <w:gridCol w:w="1085"/>
        <w:gridCol w:w="1085"/>
        <w:gridCol w:w="1230"/>
        <w:gridCol w:w="1140"/>
        <w:gridCol w:w="1140"/>
        <w:gridCol w:w="832"/>
        <w:gridCol w:w="877"/>
        <w:gridCol w:w="114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项目支</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出名称</w:t>
            </w:r>
          </w:p>
        </w:tc>
        <w:tc>
          <w:tcPr>
            <w:tcW w:w="8535"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　</w:t>
            </w:r>
            <w:r>
              <w:rPr>
                <w:rFonts w:hint="eastAsia" w:eastAsia="仿宋_GB2312"/>
                <w:color w:val="000000"/>
                <w:sz w:val="20"/>
                <w:szCs w:val="20"/>
              </w:rPr>
              <w:t>提前下达的一般性转移支付资金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主管部门</w:t>
            </w:r>
          </w:p>
        </w:tc>
        <w:tc>
          <w:tcPr>
            <w:tcW w:w="454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永州市公安局</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实施单位</w:t>
            </w:r>
          </w:p>
        </w:tc>
        <w:tc>
          <w:tcPr>
            <w:tcW w:w="285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永州市公安局金洞分局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项目资金</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（万元）</w:t>
            </w:r>
          </w:p>
        </w:tc>
        <w:tc>
          <w:tcPr>
            <w:tcW w:w="21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年初</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预算数</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全年</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预算数</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sz w:val="20"/>
                <w:szCs w:val="20"/>
              </w:rPr>
            </w:pPr>
            <w:r>
              <w:rPr>
                <w:rFonts w:eastAsia="仿宋_GB2312"/>
                <w:sz w:val="20"/>
                <w:szCs w:val="20"/>
              </w:rPr>
              <w:t>全年</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sz w:val="20"/>
                <w:szCs w:val="20"/>
              </w:rPr>
            </w:pPr>
            <w:r>
              <w:rPr>
                <w:rFonts w:eastAsia="仿宋_GB2312"/>
                <w:sz w:val="20"/>
                <w:szCs w:val="20"/>
              </w:rPr>
              <w:t>执行数</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sz w:val="20"/>
                <w:szCs w:val="20"/>
              </w:rPr>
            </w:pPr>
            <w:r>
              <w:rPr>
                <w:rFonts w:eastAsia="仿宋_GB2312"/>
                <w:sz w:val="20"/>
                <w:szCs w:val="20"/>
              </w:rPr>
              <w:t>分值</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sz w:val="20"/>
                <w:szCs w:val="20"/>
              </w:rPr>
            </w:pPr>
            <w:r>
              <w:rPr>
                <w:rFonts w:eastAsia="仿宋_GB2312"/>
                <w:sz w:val="20"/>
                <w:szCs w:val="20"/>
              </w:rPr>
              <w:t>执行率</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sz w:val="20"/>
                <w:szCs w:val="20"/>
              </w:rPr>
            </w:pPr>
            <w:r>
              <w:rPr>
                <w:rFonts w:eastAsia="仿宋_GB2312"/>
                <w:sz w:val="20"/>
                <w:szCs w:val="20"/>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7"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年度资金总额　</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196</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186</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185.97</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10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99.98%</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eastAsia="仿宋_GB2312"/>
                <w:color w:val="000000"/>
                <w:sz w:val="20"/>
                <w:szCs w:val="20"/>
                <w:lang w:val="en-US" w:eastAsia="zh-CN"/>
              </w:rPr>
            </w:pPr>
            <w:r>
              <w:rPr>
                <w:rFonts w:eastAsia="仿宋_GB2312"/>
                <w:color w:val="000000"/>
                <w:sz w:val="20"/>
                <w:szCs w:val="20"/>
              </w:rPr>
              <w:t>　</w:t>
            </w:r>
            <w:r>
              <w:rPr>
                <w:rFonts w:hint="eastAsia" w:eastAsia="仿宋_GB2312"/>
                <w:color w:val="000000"/>
                <w:sz w:val="20"/>
                <w:szCs w:val="20"/>
                <w:lang w:val="en-US" w:eastAsia="zh-CN"/>
              </w:rPr>
              <w:t>9.9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其中：当年财政拨款　</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600" w:firstLineChars="300"/>
              <w:jc w:val="left"/>
              <w:textAlignment w:val="auto"/>
              <w:rPr>
                <w:rFonts w:eastAsia="仿宋_GB2312"/>
                <w:color w:val="000000"/>
                <w:sz w:val="20"/>
                <w:szCs w:val="20"/>
              </w:rPr>
            </w:pPr>
            <w:r>
              <w:rPr>
                <w:rFonts w:eastAsia="仿宋_GB2312"/>
                <w:color w:val="000000"/>
                <w:sz w:val="20"/>
                <w:szCs w:val="20"/>
              </w:rPr>
              <w:t>上年结转资金　</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p>
        </w:tc>
        <w:tc>
          <w:tcPr>
            <w:tcW w:w="21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600" w:firstLineChars="300"/>
              <w:jc w:val="left"/>
              <w:textAlignment w:val="auto"/>
              <w:rPr>
                <w:rFonts w:eastAsia="仿宋_GB2312"/>
                <w:color w:val="000000"/>
                <w:sz w:val="20"/>
                <w:szCs w:val="20"/>
              </w:rPr>
            </w:pPr>
            <w:r>
              <w:rPr>
                <w:rFonts w:eastAsia="仿宋_GB2312"/>
                <w:color w:val="000000"/>
                <w:sz w:val="20"/>
                <w:szCs w:val="20"/>
              </w:rPr>
              <w:t>其他资金</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年度总体目标</w:t>
            </w:r>
          </w:p>
        </w:tc>
        <w:tc>
          <w:tcPr>
            <w:tcW w:w="454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预期目标</w:t>
            </w:r>
          </w:p>
        </w:tc>
        <w:tc>
          <w:tcPr>
            <w:tcW w:w="399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37"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p>
        </w:tc>
        <w:tc>
          <w:tcPr>
            <w:tcW w:w="454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eastAsia="仿宋_GB2312"/>
                <w:color w:val="000000"/>
                <w:sz w:val="20"/>
                <w:szCs w:val="20"/>
              </w:rPr>
            </w:pPr>
            <w:r>
              <w:rPr>
                <w:rFonts w:hint="eastAsia" w:eastAsia="仿宋_GB2312"/>
                <w:color w:val="000000"/>
                <w:sz w:val="20"/>
                <w:szCs w:val="20"/>
              </w:rPr>
              <w:t>统筹使用中央转移支付办案及装备款，足额保障2025年度公安办案支出，规范配备公安装备，资金使用合规高效。</w:t>
            </w:r>
            <w:r>
              <w:rPr>
                <w:rFonts w:eastAsia="仿宋_GB2312"/>
                <w:color w:val="000000"/>
                <w:sz w:val="20"/>
                <w:szCs w:val="20"/>
              </w:rPr>
              <w:t>　</w:t>
            </w:r>
          </w:p>
        </w:tc>
        <w:tc>
          <w:tcPr>
            <w:tcW w:w="399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hint="eastAsia" w:eastAsia="仿宋_GB2312"/>
                <w:color w:val="000000"/>
                <w:sz w:val="20"/>
                <w:szCs w:val="20"/>
                <w:lang w:val="en-US" w:eastAsia="zh-CN"/>
              </w:rPr>
              <w:t>2025年，各项经费均严格按规定执行：中央转移支付办案经费下达113.4万元，支出113.39万元，执行率99.99%，结余0.01万元；中央转移支付森林公安经费下达6万元，支出5.98万元，执行率99.67%，结余0.02万元；中央转移支付装备经费下达66.6万元，支出66.6万元，执行率100%。所有经费专款专用、管理规范，有力保障公安业务开展、装备建设及基层所队提质升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绩</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效</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指</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标</w:t>
            </w: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一级指标</w:t>
            </w: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二级指标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三级指标</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年度</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指标值</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实际</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完成值</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分值</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得分</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偏差原因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分析及</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成本指标</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
              </w:rPr>
            </w:pPr>
            <w:r>
              <w:rPr>
                <w:rFonts w:hint="eastAsia" w:ascii="仿宋_GB2312" w:hAnsi="仿宋_GB2312" w:eastAsia="仿宋_GB2312" w:cs="仿宋_GB2312"/>
                <w:color w:val="000000"/>
                <w:kern w:val="0"/>
                <w:sz w:val="20"/>
                <w:szCs w:val="20"/>
                <w:lang w:val="en"/>
              </w:rPr>
              <w:t>（</w:t>
            </w:r>
            <w:r>
              <w:rPr>
                <w:rFonts w:hint="eastAsia" w:ascii="仿宋_GB2312" w:hAnsi="仿宋_GB2312" w:eastAsia="仿宋_GB2312" w:cs="仿宋_GB2312"/>
                <w:color w:val="000000"/>
                <w:kern w:val="0"/>
                <w:sz w:val="20"/>
                <w:szCs w:val="20"/>
              </w:rPr>
              <w:t>20分</w:t>
            </w:r>
            <w:r>
              <w:rPr>
                <w:rFonts w:hint="eastAsia" w:ascii="仿宋_GB2312" w:hAnsi="仿宋_GB2312" w:eastAsia="仿宋_GB2312" w:cs="仿宋_GB2312"/>
                <w:color w:val="000000"/>
                <w:kern w:val="0"/>
                <w:sz w:val="20"/>
                <w:szCs w:val="20"/>
                <w:lang w:val="en"/>
              </w:rPr>
              <w:t>）</w:t>
            </w: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经济成</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本指标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用于</w:t>
            </w:r>
            <w:r>
              <w:rPr>
                <w:rFonts w:hint="eastAsia" w:eastAsia="仿宋_GB2312"/>
                <w:color w:val="000000"/>
                <w:sz w:val="20"/>
                <w:szCs w:val="20"/>
              </w:rPr>
              <w:t>执法办案支出</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186</w:t>
            </w:r>
            <w:r>
              <w:rPr>
                <w:rFonts w:hint="eastAsia" w:eastAsia="仿宋_GB2312"/>
                <w:color w:val="000000"/>
                <w:sz w:val="20"/>
                <w:szCs w:val="20"/>
              </w:rPr>
              <w:t>万元</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185.97</w:t>
            </w:r>
            <w:r>
              <w:rPr>
                <w:rFonts w:hint="eastAsia" w:eastAsia="仿宋_GB2312"/>
                <w:color w:val="000000"/>
                <w:sz w:val="20"/>
                <w:szCs w:val="20"/>
              </w:rPr>
              <w:t>万元</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20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20</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c>
          <w:tcPr>
            <w:tcW w:w="108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产出指标</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（40分）</w:t>
            </w: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数量指标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打击违法犯罪行为数量</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50起</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64</w:t>
            </w:r>
            <w:r>
              <w:rPr>
                <w:rFonts w:hint="eastAsia" w:eastAsia="仿宋_GB2312"/>
                <w:color w:val="000000"/>
                <w:sz w:val="20"/>
                <w:szCs w:val="20"/>
              </w:rPr>
              <w:t>起</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20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20</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c>
          <w:tcPr>
            <w:tcW w:w="108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rPr>
            </w:pP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质量指标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案件侦办质量考评合格率</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98</w:t>
            </w:r>
            <w:r>
              <w:rPr>
                <w:rFonts w:hint="eastAsia" w:eastAsia="仿宋_GB2312"/>
                <w:color w:val="000000"/>
                <w:sz w:val="20"/>
                <w:szCs w:val="20"/>
              </w:rPr>
              <w:t>%</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100%</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c>
          <w:tcPr>
            <w:tcW w:w="108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rPr>
            </w:pP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时效指标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预计完成全部任务量时间</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202</w:t>
            </w:r>
            <w:r>
              <w:rPr>
                <w:rFonts w:hint="eastAsia" w:eastAsia="仿宋_GB2312"/>
                <w:color w:val="000000"/>
                <w:sz w:val="20"/>
                <w:szCs w:val="20"/>
                <w:lang w:val="en-US" w:eastAsia="zh-CN"/>
              </w:rPr>
              <w:t>5</w:t>
            </w:r>
            <w:r>
              <w:rPr>
                <w:rFonts w:hint="eastAsia" w:eastAsia="仿宋_GB2312"/>
                <w:color w:val="000000"/>
                <w:sz w:val="20"/>
                <w:szCs w:val="20"/>
              </w:rPr>
              <w:t>年12月底前完成</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202</w:t>
            </w:r>
            <w:r>
              <w:rPr>
                <w:rFonts w:hint="eastAsia" w:eastAsia="仿宋_GB2312"/>
                <w:color w:val="000000"/>
                <w:sz w:val="20"/>
                <w:szCs w:val="20"/>
                <w:lang w:val="en-US" w:eastAsia="zh-CN"/>
              </w:rPr>
              <w:t>5</w:t>
            </w:r>
            <w:r>
              <w:rPr>
                <w:rFonts w:hint="eastAsia" w:eastAsia="仿宋_GB2312"/>
                <w:color w:val="000000"/>
                <w:sz w:val="20"/>
                <w:szCs w:val="20"/>
              </w:rPr>
              <w:t>年12月底前已完成</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c>
          <w:tcPr>
            <w:tcW w:w="108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效益指标</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（20分）</w:t>
            </w: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经济效</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益指标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挽回人民群众经济损失情况</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eastAsia="仿宋_GB2312"/>
                <w:color w:val="000000"/>
                <w:sz w:val="20"/>
                <w:szCs w:val="20"/>
                <w:lang w:eastAsia="zh-CN"/>
              </w:rPr>
            </w:pPr>
            <w:r>
              <w:rPr>
                <w:rFonts w:hint="eastAsia" w:eastAsia="仿宋_GB2312"/>
                <w:color w:val="000000"/>
                <w:sz w:val="20"/>
                <w:szCs w:val="20"/>
                <w:lang w:val="en-US" w:eastAsia="zh-CN"/>
              </w:rPr>
              <w:t>5</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10</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c>
          <w:tcPr>
            <w:tcW w:w="108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rPr>
            </w:pP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社会效</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18"/>
                <w:szCs w:val="18"/>
              </w:rPr>
              <w:t>益指标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违法犯罪率降低</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3%</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5</w:t>
            </w:r>
            <w:r>
              <w:rPr>
                <w:rFonts w:hint="eastAsia" w:eastAsia="仿宋_GB2312"/>
                <w:color w:val="000000"/>
                <w:sz w:val="20"/>
                <w:szCs w:val="20"/>
              </w:rPr>
              <w:t>%</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满意度</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指标</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（10分）</w:t>
            </w:r>
          </w:p>
        </w:tc>
        <w:tc>
          <w:tcPr>
            <w:tcW w:w="1085"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服务对象满意度指标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辖区内人民群众满意度</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rPr>
              <w:t>≥9</w:t>
            </w:r>
            <w:r>
              <w:rPr>
                <w:rFonts w:hint="eastAsia" w:eastAsia="仿宋_GB2312"/>
                <w:color w:val="000000"/>
                <w:sz w:val="20"/>
                <w:szCs w:val="20"/>
                <w:lang w:val="en-US" w:eastAsia="zh-CN"/>
              </w:rPr>
              <w:t>5</w:t>
            </w:r>
            <w:r>
              <w:rPr>
                <w:rFonts w:hint="eastAsia" w:eastAsia="仿宋_GB2312"/>
                <w:color w:val="000000"/>
                <w:sz w:val="20"/>
                <w:szCs w:val="20"/>
              </w:rPr>
              <w:t>%</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98</w:t>
            </w:r>
            <w:r>
              <w:rPr>
                <w:rFonts w:hint="eastAsia" w:eastAsia="仿宋_GB2312"/>
                <w:color w:val="000000"/>
                <w:sz w:val="20"/>
                <w:szCs w:val="20"/>
              </w:rPr>
              <w:t>%</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10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hint="eastAsia" w:eastAsia="仿宋_GB2312"/>
                <w:color w:val="000000"/>
                <w:sz w:val="20"/>
                <w:szCs w:val="20"/>
                <w:lang w:val="en-US" w:eastAsia="zh-CN"/>
              </w:rPr>
              <w:t>10</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总分</w:t>
            </w:r>
          </w:p>
        </w:tc>
        <w:tc>
          <w:tcPr>
            <w:tcW w:w="83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color w:val="000000"/>
                <w:sz w:val="20"/>
                <w:szCs w:val="20"/>
              </w:rPr>
            </w:pPr>
            <w:r>
              <w:rPr>
                <w:rFonts w:eastAsia="仿宋_GB2312"/>
                <w:color w:val="000000"/>
                <w:sz w:val="20"/>
                <w:szCs w:val="20"/>
              </w:rPr>
              <w:t>100</w:t>
            </w:r>
          </w:p>
        </w:tc>
        <w:tc>
          <w:tcPr>
            <w:tcW w:w="877"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仿宋_GB2312"/>
                <w:color w:val="000000"/>
                <w:sz w:val="20"/>
                <w:szCs w:val="20"/>
                <w:lang w:val="en-US" w:eastAsia="zh-CN"/>
              </w:rPr>
            </w:pPr>
            <w:r>
              <w:rPr>
                <w:rFonts w:hint="eastAsia" w:eastAsia="仿宋_GB2312"/>
                <w:color w:val="000000"/>
                <w:sz w:val="20"/>
                <w:szCs w:val="20"/>
                <w:lang w:val="en-US" w:eastAsia="zh-CN"/>
              </w:rPr>
              <w:t>99.9</w:t>
            </w:r>
          </w:p>
        </w:tc>
        <w:tc>
          <w:tcPr>
            <w:tcW w:w="11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_GB2312"/>
                <w:color w:val="000000"/>
                <w:sz w:val="20"/>
                <w:szCs w:val="20"/>
              </w:rPr>
            </w:pPr>
            <w:r>
              <w:rPr>
                <w:rFonts w:eastAsia="仿宋_GB2312"/>
                <w:color w:val="000000"/>
                <w:sz w:val="20"/>
                <w:szCs w:val="20"/>
              </w:rPr>
              <w:t>　</w:t>
            </w:r>
          </w:p>
        </w:tc>
      </w:tr>
    </w:tbl>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eastAsia="仿宋_GB2312"/>
          <w:sz w:val="22"/>
          <w:szCs w:val="22"/>
          <w:lang w:val="en-US" w:eastAsia="zh-CN"/>
        </w:rPr>
      </w:pPr>
      <w:r>
        <w:rPr>
          <w:rFonts w:eastAsia="仿宋_GB2312"/>
          <w:sz w:val="22"/>
          <w:szCs w:val="22"/>
        </w:rPr>
        <w:t>填表人：</w:t>
      </w:r>
      <w:r>
        <w:rPr>
          <w:rFonts w:hint="eastAsia" w:eastAsia="仿宋_GB2312"/>
          <w:sz w:val="22"/>
          <w:szCs w:val="22"/>
          <w:lang w:val="en-US" w:eastAsia="zh-CN"/>
        </w:rPr>
        <w:t>郭馨月</w:t>
      </w:r>
      <w:r>
        <w:rPr>
          <w:rFonts w:eastAsia="仿宋_GB2312"/>
          <w:sz w:val="22"/>
          <w:szCs w:val="22"/>
        </w:rPr>
        <w:t xml:space="preserve">  填报日期：</w:t>
      </w:r>
      <w:r>
        <w:rPr>
          <w:rFonts w:hint="eastAsia" w:eastAsia="仿宋_GB2312"/>
          <w:sz w:val="22"/>
          <w:szCs w:val="22"/>
          <w:lang w:val="en-US" w:eastAsia="zh-CN"/>
        </w:rPr>
        <w:t>2026.9.23</w:t>
      </w:r>
      <w:r>
        <w:rPr>
          <w:rFonts w:eastAsia="仿宋_GB2312"/>
          <w:sz w:val="22"/>
          <w:szCs w:val="22"/>
        </w:rPr>
        <w:t xml:space="preserve"> 联系电话：</w:t>
      </w:r>
      <w:r>
        <w:rPr>
          <w:rFonts w:hint="eastAsia" w:eastAsia="仿宋_GB2312"/>
          <w:sz w:val="22"/>
          <w:szCs w:val="22"/>
          <w:lang w:val="en-US" w:eastAsia="zh-CN"/>
        </w:rPr>
        <w:t xml:space="preserve">18673558556   </w:t>
      </w:r>
      <w:r>
        <w:rPr>
          <w:rFonts w:eastAsia="仿宋_GB2312"/>
          <w:sz w:val="22"/>
          <w:szCs w:val="22"/>
        </w:rPr>
        <w:t>单位负责人：</w:t>
      </w:r>
      <w:r>
        <w:rPr>
          <w:rFonts w:hint="eastAsia" w:eastAsia="仿宋_GB2312"/>
          <w:sz w:val="22"/>
          <w:szCs w:val="22"/>
          <w:lang w:val="en-US" w:eastAsia="zh-CN"/>
        </w:rPr>
        <w:t>唐慧云</w:t>
      </w:r>
    </w:p>
    <w:p>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黑体" w:hAnsi="黑体" w:eastAsia="黑体" w:cs="黑体"/>
          <w:color w:val="000000"/>
          <w:sz w:val="32"/>
          <w:szCs w:val="32"/>
        </w:rPr>
      </w:pPr>
      <w:r>
        <w:rPr>
          <w:rFonts w:hint="eastAsia" w:eastAsia="仿宋_GB2312"/>
          <w:sz w:val="22"/>
          <w:szCs w:val="22"/>
          <w:lang w:val="en-US" w:eastAsia="zh-CN"/>
        </w:rPr>
        <w:t xml:space="preserve"> </w:t>
      </w:r>
    </w:p>
    <w:p>
      <w:pPr>
        <w:spacing w:after="240" w:afterLines="100" w:line="600" w:lineRule="exact"/>
        <w:jc w:val="left"/>
        <w:rPr>
          <w:rFonts w:hint="eastAsia" w:eastAsia="黑体"/>
          <w:bCs/>
          <w:sz w:val="32"/>
          <w:szCs w:val="32"/>
          <w:lang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6</w:t>
      </w:r>
      <w:bookmarkStart w:id="3" w:name="_GoBack"/>
      <w:bookmarkEnd w:id="3"/>
    </w:p>
    <w:p>
      <w:pPr>
        <w:spacing w:after="120" w:afterLines="50" w:line="600" w:lineRule="exact"/>
        <w:jc w:val="center"/>
        <w:outlineLvl w:val="1"/>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lang w:val="en-US" w:eastAsia="zh-CN"/>
        </w:rPr>
        <w:t>5</w:t>
      </w:r>
      <w:r>
        <w:rPr>
          <w:rFonts w:ascii="方正小标宋简体" w:eastAsia="方正小标宋简体"/>
          <w:sz w:val="44"/>
          <w:szCs w:val="44"/>
        </w:rPr>
        <w:t>年度项目支出绩效自评报告</w:t>
      </w:r>
    </w:p>
    <w:tbl>
      <w:tblPr>
        <w:tblStyle w:val="9"/>
        <w:tblpPr w:leftFromText="180" w:rightFromText="180" w:vertAnchor="text" w:horzAnchor="margin" w:tblpXSpec="center" w:tblpY="189"/>
        <w:tblW w:w="91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7"/>
        <w:gridCol w:w="1972"/>
        <w:gridCol w:w="563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restart"/>
            <w:noWrap w:val="0"/>
            <w:vAlign w:val="center"/>
          </w:tcPr>
          <w:p>
            <w:pPr>
              <w:spacing w:line="240" w:lineRule="auto"/>
              <w:jc w:val="center"/>
              <w:rPr>
                <w:rFonts w:eastAsia="仿宋_GB2312"/>
                <w:sz w:val="20"/>
                <w:szCs w:val="20"/>
              </w:rPr>
            </w:pPr>
            <w:r>
              <w:rPr>
                <w:rFonts w:eastAsia="仿宋_GB2312"/>
                <w:sz w:val="20"/>
                <w:szCs w:val="20"/>
              </w:rPr>
              <w:t>部门概况</w:t>
            </w:r>
          </w:p>
        </w:tc>
        <w:tc>
          <w:tcPr>
            <w:tcW w:w="1972" w:type="dxa"/>
            <w:noWrap w:val="0"/>
            <w:vAlign w:val="center"/>
          </w:tcPr>
          <w:p>
            <w:pPr>
              <w:spacing w:line="240" w:lineRule="auto"/>
              <w:jc w:val="center"/>
              <w:rPr>
                <w:rFonts w:eastAsia="仿宋_GB2312"/>
                <w:sz w:val="20"/>
                <w:szCs w:val="20"/>
              </w:rPr>
            </w:pPr>
            <w:r>
              <w:rPr>
                <w:rFonts w:eastAsia="仿宋_GB2312"/>
                <w:sz w:val="20"/>
                <w:szCs w:val="20"/>
              </w:rPr>
              <w:t>专项名称</w:t>
            </w:r>
          </w:p>
        </w:tc>
        <w:tc>
          <w:tcPr>
            <w:tcW w:w="5633" w:type="dxa"/>
            <w:noWrap w:val="0"/>
            <w:vAlign w:val="center"/>
          </w:tcPr>
          <w:p>
            <w:pPr>
              <w:spacing w:line="240" w:lineRule="auto"/>
              <w:ind w:right="0" w:rightChars="0"/>
              <w:jc w:val="center"/>
              <w:rPr>
                <w:sz w:val="22"/>
                <w:szCs w:val="22"/>
              </w:rPr>
            </w:pPr>
            <w:r>
              <w:rPr>
                <w:rFonts w:eastAsia="仿宋_GB2312"/>
                <w:color w:val="000000"/>
                <w:sz w:val="20"/>
                <w:szCs w:val="20"/>
              </w:rPr>
              <w:t>　</w:t>
            </w:r>
            <w:r>
              <w:rPr>
                <w:rFonts w:hint="eastAsia" w:eastAsia="仿宋_GB2312"/>
                <w:color w:val="000000"/>
                <w:sz w:val="20"/>
                <w:szCs w:val="20"/>
              </w:rPr>
              <w:t>提前下达的一般性转移支付资金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年度预算金额</w:t>
            </w:r>
          </w:p>
        </w:tc>
        <w:tc>
          <w:tcPr>
            <w:tcW w:w="5633" w:type="dxa"/>
            <w:noWrap w:val="0"/>
            <w:vAlign w:val="center"/>
          </w:tcPr>
          <w:p>
            <w:pPr>
              <w:spacing w:line="240" w:lineRule="auto"/>
              <w:ind w:right="0" w:rightChars="0"/>
              <w:jc w:val="center"/>
              <w:rPr>
                <w:rFonts w:hint="eastAsia" w:eastAsia="宋体"/>
                <w:sz w:val="22"/>
                <w:szCs w:val="22"/>
                <w:lang w:eastAsia="zh-CN"/>
              </w:rPr>
            </w:pPr>
            <w:r>
              <w:rPr>
                <w:rFonts w:hint="eastAsia"/>
                <w:sz w:val="22"/>
                <w:szCs w:val="22"/>
                <w:lang w:val="en-US" w:eastAsia="zh-CN"/>
              </w:rPr>
              <w:t>196</w:t>
            </w:r>
            <w:r>
              <w:rPr>
                <w:rFonts w:hint="eastAsia"/>
                <w:sz w:val="22"/>
                <w:szCs w:val="22"/>
                <w:lang w:eastAsia="zh-CN"/>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项目主管部门</w:t>
            </w:r>
          </w:p>
        </w:tc>
        <w:tc>
          <w:tcPr>
            <w:tcW w:w="5633" w:type="dxa"/>
            <w:noWrap w:val="0"/>
            <w:vAlign w:val="center"/>
          </w:tcPr>
          <w:p>
            <w:pPr>
              <w:spacing w:line="240" w:lineRule="auto"/>
              <w:ind w:right="0" w:rightChars="0"/>
              <w:jc w:val="center"/>
              <w:rPr>
                <w:sz w:val="22"/>
                <w:szCs w:val="22"/>
              </w:rPr>
            </w:pPr>
            <w:r>
              <w:rPr>
                <w:rFonts w:hint="eastAsia"/>
                <w:sz w:val="22"/>
                <w:szCs w:val="22"/>
              </w:rPr>
              <w:t>永州市公安局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项目立项目的</w:t>
            </w:r>
          </w:p>
        </w:tc>
        <w:tc>
          <w:tcPr>
            <w:tcW w:w="5633" w:type="dxa"/>
            <w:noWrap w:val="0"/>
            <w:vAlign w:val="center"/>
          </w:tcPr>
          <w:p>
            <w:pPr>
              <w:spacing w:line="240" w:lineRule="auto"/>
              <w:ind w:right="0" w:rightChars="0"/>
              <w:jc w:val="left"/>
              <w:rPr>
                <w:sz w:val="22"/>
                <w:szCs w:val="22"/>
              </w:rPr>
            </w:pPr>
            <w:r>
              <w:rPr>
                <w:rFonts w:hint="eastAsia"/>
                <w:sz w:val="22"/>
                <w:szCs w:val="22"/>
              </w:rPr>
              <w:t>统筹使用中央转移支付办案及装备款，足额保障2025年度公安办案支出，规范配备公安装备，资金使用合规高效。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1" w:hRule="atLeast"/>
        </w:trPr>
        <w:tc>
          <w:tcPr>
            <w:tcW w:w="1557" w:type="dxa"/>
            <w:vMerge w:val="restart"/>
            <w:noWrap w:val="0"/>
            <w:vAlign w:val="center"/>
          </w:tcPr>
          <w:p>
            <w:pPr>
              <w:spacing w:line="240" w:lineRule="auto"/>
              <w:jc w:val="center"/>
              <w:rPr>
                <w:rFonts w:eastAsia="仿宋_GB2312"/>
                <w:sz w:val="20"/>
                <w:szCs w:val="20"/>
              </w:rPr>
            </w:pPr>
            <w:r>
              <w:rPr>
                <w:rFonts w:eastAsia="仿宋_GB2312"/>
                <w:sz w:val="20"/>
                <w:szCs w:val="20"/>
              </w:rPr>
              <w:t>绩效情况</w:t>
            </w: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项目支出管理和使用基本情况</w:t>
            </w:r>
          </w:p>
        </w:tc>
        <w:tc>
          <w:tcPr>
            <w:tcW w:w="5633" w:type="dxa"/>
            <w:noWrap w:val="0"/>
            <w:vAlign w:val="center"/>
          </w:tcPr>
          <w:p>
            <w:pPr>
              <w:spacing w:line="240" w:lineRule="auto"/>
              <w:ind w:right="0" w:rightChars="0"/>
              <w:jc w:val="left"/>
              <w:rPr>
                <w:sz w:val="22"/>
                <w:szCs w:val="22"/>
              </w:rPr>
            </w:pPr>
            <w:r>
              <w:rPr>
                <w:rFonts w:hint="eastAsia"/>
                <w:sz w:val="22"/>
                <w:szCs w:val="22"/>
                <w:lang w:val="en-US" w:eastAsia="zh-CN"/>
              </w:rPr>
              <w:t>2025年，各项经费均严格按规定执行：中央转移支付办案经费下达113.4万元，支出113.39万元，执行率99.99%，结余0.01万元；中央转移支付森林公安经费下达6万元，支出5.98万元，执行率99.67%，结余0.02万元；中央转移支付装备经费下达66.6万元，支出66.6万元，执行率100%。所有经费专款专用、管理规范，有力保障公安业务开展、装备建设及基层所队提质升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19"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项目绩效目标完成情况</w:t>
            </w:r>
          </w:p>
        </w:tc>
        <w:tc>
          <w:tcPr>
            <w:tcW w:w="5633" w:type="dxa"/>
            <w:noWrap w:val="0"/>
            <w:vAlign w:val="center"/>
          </w:tcPr>
          <w:p>
            <w:pPr>
              <w:spacing w:line="240" w:lineRule="auto"/>
              <w:ind w:right="0" w:rightChars="0"/>
              <w:jc w:val="both"/>
              <w:rPr>
                <w:sz w:val="22"/>
                <w:szCs w:val="22"/>
              </w:rPr>
            </w:pPr>
            <w:r>
              <w:rPr>
                <w:rFonts w:hint="eastAsia"/>
                <w:sz w:val="22"/>
                <w:szCs w:val="22"/>
              </w:rPr>
              <w:t>本年度以维护国家政治大局稳定为主线，紧紧围绕保障全区社会治安稳定及群众生命财产安全的总体目标，严格规范使用执法办案经费，有力支撑各类案件依法办理、治安防控及执法勤务开展，有效维护了辖区治安秩序稳定，切实保障了群众合法权益与财产安全，圆满完成年度执法办案及平安建设相关工作任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1557" w:type="dxa"/>
            <w:vMerge w:val="restart"/>
            <w:noWrap w:val="0"/>
            <w:vAlign w:val="center"/>
          </w:tcPr>
          <w:p>
            <w:pPr>
              <w:spacing w:line="240" w:lineRule="auto"/>
              <w:jc w:val="center"/>
              <w:rPr>
                <w:rFonts w:eastAsia="仿宋_GB2312"/>
                <w:sz w:val="20"/>
                <w:szCs w:val="20"/>
              </w:rPr>
            </w:pPr>
            <w:r>
              <w:rPr>
                <w:rFonts w:eastAsia="仿宋_GB2312"/>
                <w:sz w:val="20"/>
                <w:szCs w:val="20"/>
              </w:rPr>
              <w:t>存在的问题分析及改进措施</w:t>
            </w:r>
          </w:p>
        </w:tc>
        <w:tc>
          <w:tcPr>
            <w:tcW w:w="1972" w:type="dxa"/>
            <w:noWrap w:val="0"/>
            <w:vAlign w:val="center"/>
          </w:tcPr>
          <w:p>
            <w:pPr>
              <w:spacing w:line="240" w:lineRule="auto"/>
              <w:jc w:val="center"/>
              <w:rPr>
                <w:rFonts w:eastAsia="仿宋_GB2312"/>
                <w:sz w:val="20"/>
                <w:szCs w:val="20"/>
              </w:rPr>
            </w:pPr>
            <w:r>
              <w:rPr>
                <w:rFonts w:eastAsia="仿宋_GB2312"/>
                <w:sz w:val="20"/>
                <w:szCs w:val="20"/>
              </w:rPr>
              <w:t>存在的问题</w:t>
            </w:r>
          </w:p>
        </w:tc>
        <w:tc>
          <w:tcPr>
            <w:tcW w:w="5633" w:type="dxa"/>
            <w:noWrap w:val="0"/>
            <w:vAlign w:val="center"/>
          </w:tcPr>
          <w:p>
            <w:pPr>
              <w:spacing w:line="240" w:lineRule="auto"/>
              <w:ind w:right="0" w:rightChars="0"/>
              <w:jc w:val="center"/>
              <w:rPr>
                <w:sz w:val="22"/>
                <w:szCs w:val="22"/>
              </w:rPr>
            </w:pPr>
          </w:p>
          <w:p>
            <w:pPr>
              <w:spacing w:line="240" w:lineRule="auto"/>
              <w:ind w:right="0" w:rightChars="0"/>
              <w:jc w:val="center"/>
              <w:rPr>
                <w:sz w:val="22"/>
                <w:szCs w:val="22"/>
              </w:rPr>
            </w:pPr>
            <w:r>
              <w:rPr>
                <w:rFonts w:hint="eastAsia"/>
                <w:sz w:val="22"/>
                <w:szCs w:val="22"/>
              </w:rPr>
              <w:t>无</w:t>
            </w:r>
          </w:p>
          <w:p>
            <w:pPr>
              <w:spacing w:line="240" w:lineRule="auto"/>
              <w:ind w:right="0" w:rightChars="0"/>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8"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改进措施</w:t>
            </w:r>
          </w:p>
        </w:tc>
        <w:tc>
          <w:tcPr>
            <w:tcW w:w="5633" w:type="dxa"/>
            <w:noWrap w:val="0"/>
            <w:vAlign w:val="center"/>
          </w:tcPr>
          <w:p>
            <w:pPr>
              <w:spacing w:line="240" w:lineRule="auto"/>
              <w:ind w:right="0" w:rightChars="0"/>
              <w:jc w:val="center"/>
              <w:rPr>
                <w:sz w:val="22"/>
                <w:szCs w:val="22"/>
              </w:rPr>
            </w:pPr>
            <w:r>
              <w:rPr>
                <w:rFonts w:hint="eastAsia"/>
                <w:sz w:val="22"/>
                <w:szCs w:val="22"/>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5" w:hRule="atLeast"/>
        </w:trPr>
        <w:tc>
          <w:tcPr>
            <w:tcW w:w="1557" w:type="dxa"/>
            <w:vMerge w:val="continue"/>
            <w:noWrap w:val="0"/>
            <w:vAlign w:val="top"/>
          </w:tcPr>
          <w:p>
            <w:pPr>
              <w:rPr>
                <w:rFonts w:eastAsia="仿宋_GB2312"/>
                <w:sz w:val="20"/>
                <w:szCs w:val="20"/>
              </w:rPr>
            </w:pPr>
          </w:p>
        </w:tc>
        <w:tc>
          <w:tcPr>
            <w:tcW w:w="1972" w:type="dxa"/>
            <w:noWrap w:val="0"/>
            <w:vAlign w:val="center"/>
          </w:tcPr>
          <w:p>
            <w:pPr>
              <w:spacing w:line="240" w:lineRule="auto"/>
              <w:jc w:val="center"/>
              <w:rPr>
                <w:rFonts w:eastAsia="仿宋_GB2312"/>
                <w:sz w:val="20"/>
                <w:szCs w:val="20"/>
              </w:rPr>
            </w:pPr>
            <w:r>
              <w:rPr>
                <w:rFonts w:eastAsia="仿宋_GB2312"/>
                <w:sz w:val="20"/>
                <w:szCs w:val="20"/>
              </w:rPr>
              <w:t>其他需要说明问题</w:t>
            </w:r>
          </w:p>
        </w:tc>
        <w:tc>
          <w:tcPr>
            <w:tcW w:w="5633" w:type="dxa"/>
            <w:noWrap w:val="0"/>
            <w:vAlign w:val="center"/>
          </w:tcPr>
          <w:p>
            <w:pPr>
              <w:spacing w:line="240" w:lineRule="auto"/>
              <w:ind w:right="0" w:rightChars="0"/>
              <w:jc w:val="center"/>
              <w:rPr>
                <w:rFonts w:hint="eastAsia"/>
                <w:sz w:val="22"/>
                <w:szCs w:val="22"/>
              </w:rPr>
            </w:pPr>
          </w:p>
          <w:p>
            <w:pPr>
              <w:spacing w:line="240" w:lineRule="auto"/>
              <w:ind w:right="0" w:rightChars="0"/>
              <w:jc w:val="center"/>
              <w:rPr>
                <w:sz w:val="22"/>
                <w:szCs w:val="22"/>
              </w:rPr>
            </w:pPr>
            <w:r>
              <w:rPr>
                <w:rFonts w:hint="eastAsia"/>
                <w:sz w:val="22"/>
                <w:szCs w:val="22"/>
              </w:rPr>
              <w:t>无</w:t>
            </w:r>
          </w:p>
          <w:p>
            <w:pPr>
              <w:spacing w:line="240" w:lineRule="auto"/>
              <w:ind w:right="0" w:rightChars="0"/>
              <w:rPr>
                <w:sz w:val="22"/>
                <w:szCs w:val="22"/>
              </w:rPr>
            </w:pPr>
          </w:p>
        </w:tc>
      </w:tr>
    </w:tbl>
    <w:p>
      <w:pPr>
        <w:rPr>
          <w:rFonts w:ascii="Times New Roman" w:hAnsi="Times New Roman" w:cs="Times New Roman"/>
          <w:color w:val="000000"/>
          <w:kern w:val="0"/>
          <w:sz w:val="32"/>
          <w:szCs w:val="32"/>
        </w:rPr>
      </w:pPr>
      <w:r>
        <w:rPr>
          <w:rFonts w:eastAsia="仿宋_GB2312"/>
          <w:sz w:val="22"/>
          <w:szCs w:val="22"/>
        </w:rPr>
        <w:t>填表人：</w:t>
      </w:r>
      <w:r>
        <w:rPr>
          <w:rFonts w:hint="eastAsia" w:eastAsia="仿宋_GB2312"/>
          <w:sz w:val="22"/>
          <w:szCs w:val="22"/>
          <w:lang w:val="en-US" w:eastAsia="zh-CN"/>
        </w:rPr>
        <w:t>郭馨月</w:t>
      </w:r>
      <w:r>
        <w:rPr>
          <w:rFonts w:eastAsia="仿宋_GB2312"/>
          <w:sz w:val="22"/>
          <w:szCs w:val="22"/>
        </w:rPr>
        <w:t xml:space="preserve"> 填报日期：</w:t>
      </w:r>
      <w:r>
        <w:rPr>
          <w:rFonts w:hint="eastAsia" w:eastAsia="仿宋_GB2312"/>
          <w:sz w:val="22"/>
          <w:szCs w:val="22"/>
          <w:lang w:val="en-US" w:eastAsia="zh-CN"/>
        </w:rPr>
        <w:t>2026.9.23</w:t>
      </w:r>
      <w:r>
        <w:rPr>
          <w:rFonts w:eastAsia="仿宋_GB2312"/>
          <w:sz w:val="22"/>
          <w:szCs w:val="22"/>
        </w:rPr>
        <w:t xml:space="preserve"> </w:t>
      </w:r>
      <w:r>
        <w:rPr>
          <w:rFonts w:hint="eastAsia" w:eastAsia="仿宋_GB2312"/>
          <w:sz w:val="22"/>
          <w:szCs w:val="22"/>
          <w:lang w:val="en-US" w:eastAsia="zh-CN"/>
        </w:rPr>
        <w:t xml:space="preserve"> </w:t>
      </w:r>
      <w:r>
        <w:rPr>
          <w:rFonts w:eastAsia="仿宋_GB2312"/>
          <w:sz w:val="22"/>
          <w:szCs w:val="22"/>
        </w:rPr>
        <w:t xml:space="preserve"> 联系电话：</w:t>
      </w:r>
      <w:r>
        <w:rPr>
          <w:rFonts w:hint="eastAsia" w:eastAsia="仿宋_GB2312"/>
          <w:sz w:val="22"/>
          <w:szCs w:val="22"/>
          <w:lang w:val="en-US" w:eastAsia="zh-CN"/>
        </w:rPr>
        <w:t xml:space="preserve">18673558556  </w:t>
      </w:r>
      <w:r>
        <w:rPr>
          <w:rFonts w:eastAsia="仿宋_GB2312"/>
          <w:sz w:val="22"/>
          <w:szCs w:val="22"/>
        </w:rPr>
        <w:t>单位负责人：</w:t>
      </w:r>
      <w:r>
        <w:rPr>
          <w:rFonts w:hint="eastAsia" w:eastAsia="仿宋_GB2312"/>
          <w:sz w:val="22"/>
          <w:szCs w:val="22"/>
          <w:lang w:val="en-US" w:eastAsia="zh-CN"/>
        </w:rPr>
        <w:t>唐慧云</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E3DA24"/>
    <w:multiLevelType w:val="singleLevel"/>
    <w:tmpl w:val="D9E3DA24"/>
    <w:lvl w:ilvl="0" w:tentative="0">
      <w:start w:val="1"/>
      <w:numFmt w:val="chineseCounting"/>
      <w:suff w:val="nothing"/>
      <w:lvlText w:val="%1、"/>
      <w:lvlJc w:val="left"/>
      <w:rPr>
        <w:rFonts w:hint="eastAsia"/>
      </w:rPr>
    </w:lvl>
  </w:abstractNum>
  <w:abstractNum w:abstractNumId="1">
    <w:nsid w:val="F2ABD25B"/>
    <w:multiLevelType w:val="singleLevel"/>
    <w:tmpl w:val="F2ABD25B"/>
    <w:lvl w:ilvl="0" w:tentative="0">
      <w:start w:val="8"/>
      <w:numFmt w:val="chineseCounting"/>
      <w:suff w:val="nothing"/>
      <w:lvlText w:val="%1、"/>
      <w:lvlJc w:val="left"/>
      <w:rPr>
        <w:rFonts w:hint="eastAsia"/>
      </w:rPr>
    </w:lvl>
  </w:abstractNum>
  <w:abstractNum w:abstractNumId="2">
    <w:nsid w:val="F47D56FC"/>
    <w:multiLevelType w:val="singleLevel"/>
    <w:tmpl w:val="F47D56FC"/>
    <w:lvl w:ilvl="0" w:tentative="0">
      <w:start w:val="5"/>
      <w:numFmt w:val="chineseCounting"/>
      <w:suff w:val="nothing"/>
      <w:lvlText w:val="%1、"/>
      <w:lvlJc w:val="left"/>
      <w:rPr>
        <w:rFonts w:hint="eastAsia"/>
      </w:rPr>
    </w:lvl>
  </w:abstractNum>
  <w:abstractNum w:abstractNumId="3">
    <w:nsid w:val="57EB91F6"/>
    <w:multiLevelType w:val="singleLevel"/>
    <w:tmpl w:val="57EB91F6"/>
    <w:lvl w:ilvl="0" w:tentative="0">
      <w:start w:val="1"/>
      <w:numFmt w:val="chineseCounting"/>
      <w:suff w:val="nothing"/>
      <w:lvlText w:val="%1、"/>
      <w:lvlJc w:val="left"/>
      <w:pPr>
        <w:ind w:left="640" w:firstLine="0"/>
      </w:pPr>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891EBE"/>
    <w:rsid w:val="0DFC18CE"/>
    <w:rsid w:val="0F014A8A"/>
    <w:rsid w:val="0F242063"/>
    <w:rsid w:val="0F8B17AB"/>
    <w:rsid w:val="12B65143"/>
    <w:rsid w:val="130866EA"/>
    <w:rsid w:val="13F44DB2"/>
    <w:rsid w:val="1416559C"/>
    <w:rsid w:val="15C81668"/>
    <w:rsid w:val="18697B91"/>
    <w:rsid w:val="18F5267A"/>
    <w:rsid w:val="1A122BBB"/>
    <w:rsid w:val="1D2775D9"/>
    <w:rsid w:val="1D97DEFF"/>
    <w:rsid w:val="1DA8325E"/>
    <w:rsid w:val="1DBF0DD0"/>
    <w:rsid w:val="1DFF72E5"/>
    <w:rsid w:val="1EFC6F07"/>
    <w:rsid w:val="233730B8"/>
    <w:rsid w:val="25037D3A"/>
    <w:rsid w:val="2A840779"/>
    <w:rsid w:val="2B5869C9"/>
    <w:rsid w:val="2C233D23"/>
    <w:rsid w:val="2ED10E9E"/>
    <w:rsid w:val="2FDF85B8"/>
    <w:rsid w:val="2FFFEE04"/>
    <w:rsid w:val="305359F7"/>
    <w:rsid w:val="3476575D"/>
    <w:rsid w:val="34DF85B0"/>
    <w:rsid w:val="34FE47A1"/>
    <w:rsid w:val="37E0236A"/>
    <w:rsid w:val="3B8F36BC"/>
    <w:rsid w:val="3C60131B"/>
    <w:rsid w:val="3CC66907"/>
    <w:rsid w:val="4135678C"/>
    <w:rsid w:val="44022AC4"/>
    <w:rsid w:val="47633BF5"/>
    <w:rsid w:val="491FF225"/>
    <w:rsid w:val="4EA92AA3"/>
    <w:rsid w:val="4FFD214C"/>
    <w:rsid w:val="5209347A"/>
    <w:rsid w:val="53152DC2"/>
    <w:rsid w:val="53AD479A"/>
    <w:rsid w:val="555B0C88"/>
    <w:rsid w:val="55F11CA6"/>
    <w:rsid w:val="5777D4F5"/>
    <w:rsid w:val="59DD8326"/>
    <w:rsid w:val="5A815260"/>
    <w:rsid w:val="5C53382F"/>
    <w:rsid w:val="5D1E200E"/>
    <w:rsid w:val="5DEF592A"/>
    <w:rsid w:val="5FC6BB1E"/>
    <w:rsid w:val="5FF720F1"/>
    <w:rsid w:val="659230F9"/>
    <w:rsid w:val="67FF5C0B"/>
    <w:rsid w:val="691C0490"/>
    <w:rsid w:val="6A216B05"/>
    <w:rsid w:val="6D65683E"/>
    <w:rsid w:val="6E774831"/>
    <w:rsid w:val="6EFC0924"/>
    <w:rsid w:val="6FA0300D"/>
    <w:rsid w:val="6FB74722"/>
    <w:rsid w:val="6FEF8B7E"/>
    <w:rsid w:val="709C4E3F"/>
    <w:rsid w:val="71313BDB"/>
    <w:rsid w:val="71A6591B"/>
    <w:rsid w:val="72680E50"/>
    <w:rsid w:val="72CB21EC"/>
    <w:rsid w:val="737D59BA"/>
    <w:rsid w:val="742D0BD5"/>
    <w:rsid w:val="76235AB3"/>
    <w:rsid w:val="76EA2955"/>
    <w:rsid w:val="776918EB"/>
    <w:rsid w:val="77C37683"/>
    <w:rsid w:val="79D19834"/>
    <w:rsid w:val="79FF515B"/>
    <w:rsid w:val="7B0A11DE"/>
    <w:rsid w:val="7BF549BF"/>
    <w:rsid w:val="7C0273B1"/>
    <w:rsid w:val="7C6A2A6C"/>
    <w:rsid w:val="7CE33567"/>
    <w:rsid w:val="7E9E1962"/>
    <w:rsid w:val="7E9F11B4"/>
    <w:rsid w:val="7F37EC1E"/>
    <w:rsid w:val="7F7DCD9D"/>
    <w:rsid w:val="7F970A6F"/>
    <w:rsid w:val="7FBD5522"/>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样式 文字 + 首行缩进:  2 字符3"/>
    <w:basedOn w:val="1"/>
    <w:qFormat/>
    <w:uiPriority w:val="0"/>
    <w:pPr>
      <w:spacing w:line="360" w:lineRule="auto"/>
      <w:jc w:val="left"/>
    </w:pPr>
    <w:rPr>
      <w:sz w:val="28"/>
      <w:szCs w:val="28"/>
    </w:rPr>
  </w:style>
  <w:style w:type="paragraph" w:customStyle="1" w:styleId="20">
    <w:name w:val="正文-公1"/>
    <w:basedOn w:val="21"/>
    <w:next w:val="1"/>
    <w:qFormat/>
    <w:uiPriority w:val="0"/>
    <w:pPr>
      <w:ind w:firstLine="200" w:firstLineChars="200"/>
    </w:pPr>
  </w:style>
  <w:style w:type="paragraph" w:customStyle="1" w:styleId="2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0"/>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1736</Words>
  <Characters>1986</Characters>
  <Lines>69</Lines>
  <Paragraphs>19</Paragraphs>
  <TotalTime>14</TotalTime>
  <ScaleCrop>false</ScaleCrop>
  <LinksUpToDate>false</LinksUpToDate>
  <CharactersWithSpaces>2145</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2026-09-23T11:16:48Z</cp:lastPrinted>
  <dcterms:modified xsi:type="dcterms:W3CDTF">2026-09-23T11:18:22Z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y fmtid="{D5CDD505-2E9C-101B-9397-08002B2CF9AE}" pid="3" name="ICV">
    <vt:lpwstr>6B40C062B8F54C30A0FFB529E2464EAF_13</vt:lpwstr>
  </property>
  <property fmtid="{D5CDD505-2E9C-101B-9397-08002B2CF9AE}" pid="4" name="KSOTemplateDocerSaveRecord">
    <vt:lpwstr>eyJoZGlkIjoiMmVlMGFjNWZiZjIyMmM1MzExNjkzODE2NDM5NGU0NzgiLCJ1c2VySWQiOiIzODkyMjU0MTMifQ==</vt:lpwstr>
  </property>
</Properties>
</file>