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DF559">
      <w:pPr>
        <w:pStyle w:val="14"/>
        <w:jc w:val="center"/>
        <w:rPr>
          <w:rFonts w:ascii="Times New Roman" w:hAnsi="Times New Roman" w:cs="Times New Roman"/>
          <w:sz w:val="56"/>
          <w:szCs w:val="56"/>
        </w:rPr>
      </w:pPr>
    </w:p>
    <w:p w14:paraId="710D104F">
      <w:pPr>
        <w:pStyle w:val="14"/>
        <w:jc w:val="center"/>
        <w:rPr>
          <w:rFonts w:ascii="Times New Roman" w:hAnsi="Times New Roman" w:cs="Times New Roman"/>
          <w:sz w:val="84"/>
          <w:szCs w:val="84"/>
        </w:rPr>
      </w:pPr>
    </w:p>
    <w:p w14:paraId="72362356">
      <w:pPr>
        <w:pStyle w:val="14"/>
        <w:jc w:val="center"/>
        <w:rPr>
          <w:rFonts w:ascii="Times New Roman" w:hAnsi="Times New Roman" w:cs="Times New Roman"/>
          <w:sz w:val="84"/>
          <w:szCs w:val="84"/>
        </w:rPr>
      </w:pPr>
    </w:p>
    <w:p w14:paraId="41DA0F1A">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rPr>
        <w:t>5</w:t>
      </w:r>
      <w:r>
        <w:rPr>
          <w:rFonts w:ascii="Times New Roman" w:hAnsi="Times New Roman" w:eastAsia="方正小标宋简体" w:cs="Times New Roman"/>
          <w:sz w:val="72"/>
          <w:szCs w:val="72"/>
        </w:rPr>
        <w:t>年度</w:t>
      </w:r>
    </w:p>
    <w:p w14:paraId="02521DC1">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永州市药品检验所</w:t>
      </w:r>
      <w:r>
        <w:rPr>
          <w:rFonts w:ascii="Times New Roman" w:hAnsi="Times New Roman" w:eastAsia="方正小标宋简体" w:cs="Times New Roman"/>
          <w:sz w:val="72"/>
          <w:szCs w:val="72"/>
        </w:rPr>
        <w:t>部门决算</w:t>
      </w:r>
    </w:p>
    <w:p w14:paraId="12A04504">
      <w:pPr>
        <w:pStyle w:val="14"/>
        <w:jc w:val="both"/>
        <w:rPr>
          <w:rFonts w:ascii="Times New Roman" w:hAnsi="Times New Roman" w:cs="Times New Roman"/>
          <w:sz w:val="56"/>
          <w:szCs w:val="56"/>
        </w:rPr>
      </w:pPr>
    </w:p>
    <w:p w14:paraId="6795F17D">
      <w:pPr>
        <w:pStyle w:val="14"/>
        <w:rPr>
          <w:rFonts w:ascii="Times New Roman" w:hAnsi="Times New Roman" w:cs="Times New Roman"/>
          <w:sz w:val="56"/>
          <w:szCs w:val="56"/>
        </w:rPr>
      </w:pPr>
    </w:p>
    <w:p w14:paraId="29A9DE62">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8CA1B65">
      <w:pPr>
        <w:pStyle w:val="14"/>
        <w:spacing w:line="600" w:lineRule="exact"/>
        <w:jc w:val="both"/>
        <w:rPr>
          <w:rFonts w:ascii="Times New Roman" w:hAnsi="Times New Roman" w:cs="Times New Roman"/>
          <w:b/>
          <w:sz w:val="36"/>
          <w:szCs w:val="28"/>
        </w:rPr>
      </w:pPr>
    </w:p>
    <w:p w14:paraId="0324C0C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2968735">
      <w:pPr>
        <w:pStyle w:val="14"/>
        <w:spacing w:line="600" w:lineRule="exact"/>
        <w:jc w:val="center"/>
        <w:rPr>
          <w:rFonts w:ascii="Times New Roman" w:hAnsi="Times New Roman" w:cs="Times New Roman"/>
          <w:b/>
          <w:sz w:val="36"/>
          <w:szCs w:val="28"/>
        </w:rPr>
      </w:pPr>
    </w:p>
    <w:p w14:paraId="7B620BAC">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永州市药品检验所</w:t>
      </w:r>
      <w:r>
        <w:rPr>
          <w:rFonts w:ascii="Times New Roman" w:hAnsi="Times New Roman" w:cs="Times New Roman"/>
          <w:bCs/>
          <w:sz w:val="32"/>
          <w:szCs w:val="32"/>
        </w:rPr>
        <w:t>概况</w:t>
      </w:r>
    </w:p>
    <w:p w14:paraId="7419A0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076B11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F8DC24E">
      <w:pPr>
        <w:pStyle w:val="14"/>
        <w:spacing w:before="156" w:beforeLines="50" w:after="156" w:afterLines="50" w:line="600" w:lineRule="exact"/>
        <w:rPr>
          <w:rFonts w:hint="eastAsia" w:ascii="Times New Roman" w:hAnsi="Times New Roman" w:eastAsia="黑体" w:cs="Times New Roman"/>
          <w:b w:val="0"/>
          <w:bCs/>
          <w:color w:val="FF0000"/>
          <w:sz w:val="24"/>
          <w:szCs w:val="24"/>
          <w:lang w:eastAsia="zh-CN"/>
        </w:rPr>
      </w:pPr>
      <w:r>
        <w:rPr>
          <w:rFonts w:ascii="Times New Roman" w:hAnsi="Times New Roman" w:cs="Times New Roman"/>
          <w:bCs/>
          <w:sz w:val="32"/>
          <w:szCs w:val="32"/>
        </w:rPr>
        <w:t>第二部分 部门决算表</w:t>
      </w:r>
    </w:p>
    <w:p w14:paraId="55896B4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0E6D90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D4F1C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B3946F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C000E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9AC68C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351719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DF85A3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175947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A8BC5A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240F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C36D1D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28909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C395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C6F14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E4990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A3B13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B757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FEBDB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F099C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FB375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E7E9F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A1AD60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4D4680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年度预算绩效管理情况的说明</w:t>
      </w:r>
    </w:p>
    <w:p w14:paraId="44D1F32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7921E0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1926F98">
      <w:pPr>
        <w:pStyle w:val="14"/>
        <w:spacing w:line="600" w:lineRule="exact"/>
        <w:rPr>
          <w:rFonts w:ascii="Times New Roman" w:hAnsi="Times New Roman" w:cs="Times New Roman"/>
          <w:bCs/>
          <w:sz w:val="28"/>
          <w:szCs w:val="28"/>
        </w:rPr>
      </w:pPr>
    </w:p>
    <w:p w14:paraId="0E1BB970">
      <w:pPr>
        <w:jc w:val="center"/>
        <w:rPr>
          <w:rFonts w:ascii="Times New Roman" w:hAnsi="Times New Roman" w:cs="Times New Roman"/>
          <w:sz w:val="72"/>
          <w:szCs w:val="72"/>
        </w:rPr>
      </w:pPr>
    </w:p>
    <w:p w14:paraId="5D89F710">
      <w:pPr>
        <w:jc w:val="center"/>
        <w:rPr>
          <w:rFonts w:ascii="Times New Roman" w:hAnsi="Times New Roman" w:cs="Times New Roman"/>
          <w:sz w:val="72"/>
          <w:szCs w:val="72"/>
        </w:rPr>
      </w:pPr>
    </w:p>
    <w:p w14:paraId="28F030E5">
      <w:pPr>
        <w:jc w:val="center"/>
        <w:rPr>
          <w:rFonts w:ascii="Times New Roman" w:hAnsi="Times New Roman" w:cs="Times New Roman"/>
          <w:sz w:val="72"/>
          <w:szCs w:val="72"/>
        </w:rPr>
      </w:pPr>
    </w:p>
    <w:p w14:paraId="7698C9C9">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C424103">
      <w:pPr>
        <w:rPr>
          <w:rFonts w:ascii="Times New Roman" w:hAnsi="Times New Roman" w:eastAsia="方正小标宋_GBK" w:cs="Times New Roman"/>
          <w:sz w:val="72"/>
          <w:szCs w:val="72"/>
        </w:rPr>
      </w:pPr>
    </w:p>
    <w:p w14:paraId="08286F6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B17EF5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永州市药品检验所</w:t>
      </w:r>
      <w:r>
        <w:rPr>
          <w:rFonts w:ascii="Times New Roman" w:hAnsi="Times New Roman" w:eastAsia="方正小标宋_GBK" w:cs="Times New Roman"/>
          <w:sz w:val="52"/>
          <w:szCs w:val="52"/>
        </w:rPr>
        <w:t>概况</w:t>
      </w:r>
    </w:p>
    <w:p w14:paraId="51479A15">
      <w:pPr>
        <w:pStyle w:val="5"/>
        <w:ind w:left="0" w:leftChars="0" w:firstLine="0" w:firstLineChars="0"/>
        <w:rPr>
          <w:rFonts w:ascii="Times New Roman" w:hAnsi="Times New Roman" w:cs="Times New Roman"/>
        </w:rPr>
      </w:pPr>
    </w:p>
    <w:p w14:paraId="5B31E31E">
      <w:pPr>
        <w:pStyle w:val="15"/>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318B5B53">
      <w:pPr>
        <w:pStyle w:val="20"/>
        <w:rPr>
          <w:rFonts w:hint="eastAsia"/>
        </w:rPr>
      </w:pPr>
      <w:r>
        <w:rPr>
          <w:rFonts w:hint="eastAsia" w:ascii="Times New Roman" w:hAnsi="Times New Roman" w:eastAsia="仿宋_GB2312" w:cs="黑体"/>
          <w:color w:val="000000"/>
          <w:kern w:val="0"/>
          <w:sz w:val="32"/>
          <w:szCs w:val="32"/>
          <w:lang w:val="en-US" w:eastAsia="zh-CN" w:bidi="ar-SA"/>
        </w:rPr>
        <w:t>根据永编办发[2012]106号文件规定，我所主要工作职责为：负责对全市药品和化妆品安全进行抽验，为药品监管行政执法提供技术支撑，为确保全市人民用药安全提供技术服务等工作。</w:t>
      </w:r>
    </w:p>
    <w:p w14:paraId="32A98D3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31935">
      <w:pPr>
        <w:numPr>
          <w:ilvl w:val="0"/>
          <w:numId w:val="0"/>
        </w:numPr>
        <w:snapToGrid w:val="0"/>
        <w:spacing w:line="520" w:lineRule="exact"/>
        <w:ind w:leftChars="200" w:firstLine="320" w:firstLineChars="100"/>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永州市药品检验所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黑体"/>
          <w:color w:val="000000"/>
          <w:kern w:val="0"/>
          <w:sz w:val="32"/>
          <w:szCs w:val="32"/>
          <w:lang w:val="en-US" w:eastAsia="zh-CN" w:bidi="ar-SA"/>
        </w:rPr>
        <w:t>我所为副处级全额拨款事业单位，下设综合部、业务部、质量控制部、中药检验部、化学药品检验部、生化药理部、化妆品检验部7个科室。</w:t>
      </w:r>
    </w:p>
    <w:p w14:paraId="49F6FCE2">
      <w:pPr>
        <w:numPr>
          <w:ilvl w:val="0"/>
          <w:numId w:val="0"/>
        </w:numPr>
        <w:snapToGrid w:val="0"/>
        <w:spacing w:line="520" w:lineRule="exact"/>
        <w:ind w:leftChars="200" w:firstLine="320" w:firstLineChars="100"/>
        <w:rPr>
          <w:rFonts w:hint="eastAsia" w:ascii="仿宋_GB2312" w:hAnsi="仿宋" w:eastAsia="仿宋_GB2312"/>
          <w:sz w:val="32"/>
          <w:szCs w:val="32"/>
        </w:rPr>
      </w:pPr>
      <w:r>
        <w:rPr>
          <w:rFonts w:hint="eastAsia" w:ascii="Times New Roman" w:hAnsi="Times New Roman" w:eastAsia="仿宋_GB2312" w:cs="黑体"/>
          <w:color w:val="000000"/>
          <w:kern w:val="0"/>
          <w:sz w:val="32"/>
          <w:szCs w:val="32"/>
          <w:lang w:val="en-US" w:eastAsia="zh-CN" w:bidi="ar-SA"/>
        </w:rPr>
        <w:t>（二）</w:t>
      </w:r>
      <w:r>
        <w:rPr>
          <w:rFonts w:hint="eastAsia" w:ascii="仿宋_GB2312" w:hAnsi="仿宋" w:eastAsia="仿宋_GB2312"/>
          <w:sz w:val="32"/>
          <w:szCs w:val="32"/>
          <w:highlight w:val="none"/>
        </w:rPr>
        <w:t>人员情况</w:t>
      </w:r>
      <w:r>
        <w:rPr>
          <w:rFonts w:hint="eastAsia" w:ascii="仿宋_GB2312" w:hAnsi="仿宋" w:eastAsia="仿宋_GB2312"/>
          <w:sz w:val="32"/>
          <w:szCs w:val="32"/>
          <w:highlight w:val="none"/>
          <w:lang w:eastAsia="zh-CN"/>
        </w:rPr>
        <w:t>：</w:t>
      </w:r>
      <w:r>
        <w:rPr>
          <w:rFonts w:hint="eastAsia" w:ascii="Times New Roman" w:hAnsi="Times New Roman" w:eastAsia="仿宋_GB2312" w:cs="黑体"/>
          <w:color w:val="000000"/>
          <w:kern w:val="0"/>
          <w:sz w:val="32"/>
          <w:szCs w:val="32"/>
          <w:lang w:val="en-US" w:eastAsia="zh-CN" w:bidi="ar-SA"/>
        </w:rPr>
        <w:t>我所2025年现有在职职工30人，2025年退休1名，新进人员1名。</w:t>
      </w:r>
    </w:p>
    <w:p w14:paraId="43021FA3">
      <w:pPr>
        <w:numPr>
          <w:ilvl w:val="0"/>
          <w:numId w:val="0"/>
        </w:numPr>
        <w:snapToGrid w:val="0"/>
        <w:spacing w:line="520" w:lineRule="exact"/>
        <w:ind w:leftChars="200" w:firstLine="320" w:firstLineChars="1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（三）决算单位构成。永州市药品检验所202</w:t>
      </w:r>
      <w:r>
        <w:rPr>
          <w:rFonts w:hint="default" w:ascii="Times New Roman" w:hAnsi="Times New Roman" w:eastAsia="仿宋_GB2312" w:cs="黑体"/>
          <w:color w:val="000000"/>
          <w:kern w:val="0"/>
          <w:sz w:val="32"/>
          <w:szCs w:val="32"/>
          <w:lang w:val="en-US" w:eastAsia="zh-CN" w:bidi="ar-SA"/>
        </w:rPr>
        <w:t>5</w:t>
      </w:r>
      <w:r>
        <w:rPr>
          <w:rFonts w:hint="eastAsia" w:ascii="Times New Roman" w:hAnsi="Times New Roman" w:eastAsia="仿宋_GB2312" w:cs="黑体"/>
          <w:color w:val="000000"/>
          <w:kern w:val="0"/>
          <w:sz w:val="32"/>
          <w:szCs w:val="32"/>
          <w:lang w:val="en-US" w:eastAsia="zh-CN" w:bidi="ar-SA"/>
        </w:rPr>
        <w:t>年部门决算汇总公开单位构成包括：永州市药品检验所本级。</w:t>
      </w:r>
    </w:p>
    <w:p w14:paraId="02844BD9">
      <w:pPr>
        <w:jc w:val="left"/>
        <w:rPr>
          <w:rFonts w:ascii="Times New Roman" w:hAnsi="Times New Roman" w:eastAsia="仿宋_GB2312" w:cs="Times New Roman"/>
          <w:sz w:val="28"/>
          <w:szCs w:val="32"/>
        </w:rPr>
      </w:pPr>
    </w:p>
    <w:p w14:paraId="76EE2F11">
      <w:pPr>
        <w:jc w:val="center"/>
        <w:rPr>
          <w:rFonts w:ascii="Times New Roman" w:hAnsi="Times New Roman" w:eastAsia="黑体" w:cs="Times New Roman"/>
          <w:sz w:val="28"/>
          <w:szCs w:val="28"/>
        </w:rPr>
      </w:pPr>
    </w:p>
    <w:p w14:paraId="720A391D">
      <w:pPr>
        <w:jc w:val="center"/>
        <w:rPr>
          <w:rFonts w:ascii="Times New Roman" w:hAnsi="Times New Roman" w:eastAsia="黑体" w:cs="Times New Roman"/>
          <w:sz w:val="28"/>
          <w:szCs w:val="28"/>
        </w:rPr>
      </w:pPr>
    </w:p>
    <w:p w14:paraId="734B0289">
      <w:pPr>
        <w:pStyle w:val="3"/>
        <w:rPr>
          <w:rFonts w:ascii="Times New Roman" w:hAnsi="Times New Roman" w:eastAsia="黑体" w:cs="Times New Roman"/>
          <w:sz w:val="28"/>
          <w:szCs w:val="28"/>
        </w:rPr>
      </w:pPr>
    </w:p>
    <w:p w14:paraId="22701445">
      <w:pPr>
        <w:pStyle w:val="14"/>
        <w:numPr>
          <w:ilvl w:val="0"/>
          <w:numId w:val="0"/>
        </w:numPr>
        <w:jc w:val="center"/>
        <w:rPr>
          <w:rFonts w:ascii="Times New Roman" w:hAnsi="Times New Roman" w:eastAsia="方正小标宋_GBK" w:cs="Times New Roman"/>
          <w:sz w:val="52"/>
          <w:szCs w:val="52"/>
        </w:rPr>
      </w:pPr>
    </w:p>
    <w:p w14:paraId="405E4210">
      <w:pPr>
        <w:pStyle w:val="14"/>
        <w:numPr>
          <w:ilvl w:val="0"/>
          <w:numId w:val="2"/>
        </w:numPr>
        <w:jc w:val="center"/>
        <w:rPr>
          <w:rFonts w:ascii="Times New Roman" w:hAnsi="Times New Roman" w:eastAsia="方正小标宋_GBK" w:cs="Times New Roman"/>
          <w:sz w:val="52"/>
          <w:szCs w:val="52"/>
        </w:rPr>
      </w:pPr>
    </w:p>
    <w:p w14:paraId="5C518531">
      <w:pPr>
        <w:pStyle w:val="14"/>
        <w:numPr>
          <w:ilvl w:val="0"/>
          <w:numId w:val="0"/>
        </w:numPr>
        <w:ind w:firstLine="2860" w:firstLineChars="55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25C109AD">
      <w:pPr>
        <w:pStyle w:val="14"/>
        <w:numPr>
          <w:ilvl w:val="0"/>
          <w:numId w:val="0"/>
        </w:numPr>
        <w:ind w:firstLine="2860" w:firstLineChars="550"/>
        <w:jc w:val="both"/>
        <w:rPr>
          <w:rFonts w:ascii="Times New Roman" w:hAnsi="Times New Roman" w:eastAsia="方正小标宋_GBK" w:cs="Times New Roman"/>
          <w:sz w:val="52"/>
          <w:szCs w:val="52"/>
        </w:rPr>
      </w:pPr>
    </w:p>
    <w:p w14:paraId="0E125145">
      <w:pPr>
        <w:widowControl/>
        <w:spacing w:line="600" w:lineRule="exact"/>
        <w:rPr>
          <w:rFonts w:ascii="Times New Roman" w:hAnsi="Times New Roman" w:eastAsia="方正小标宋_GBK" w:cs="Times New Roman"/>
          <w:sz w:val="70"/>
          <w:szCs w:val="70"/>
        </w:rPr>
      </w:pPr>
      <w:r>
        <w:rPr>
          <w:rFonts w:hint="eastAsia" w:ascii="Times New Roman" w:hAnsi="Times New Roman" w:eastAsia="黑体" w:cs="Times New Roman"/>
          <w:bCs/>
          <w:kern w:val="0"/>
          <w:sz w:val="44"/>
          <w:szCs w:val="44"/>
          <w:lang w:val="en-US" w:eastAsia="zh-CN"/>
        </w:rPr>
        <w:t>详见《附件1：202</w:t>
      </w:r>
      <w:r>
        <w:rPr>
          <w:rFonts w:hint="default" w:ascii="Times New Roman" w:hAnsi="Times New Roman" w:eastAsia="黑体" w:cs="Times New Roman"/>
          <w:bCs/>
          <w:kern w:val="0"/>
          <w:sz w:val="44"/>
          <w:szCs w:val="44"/>
          <w:lang w:val="en-US" w:eastAsia="zh-CN"/>
        </w:rPr>
        <w:t>5</w:t>
      </w:r>
      <w:r>
        <w:rPr>
          <w:rFonts w:hint="eastAsia" w:ascii="Times New Roman" w:hAnsi="Times New Roman" w:eastAsia="黑体" w:cs="Times New Roman"/>
          <w:bCs/>
          <w:kern w:val="0"/>
          <w:sz w:val="44"/>
          <w:szCs w:val="44"/>
          <w:lang w:val="en-US" w:eastAsia="zh-CN"/>
        </w:rPr>
        <w:t>年度部门决算公开表》</w:t>
      </w:r>
    </w:p>
    <w:p w14:paraId="20D4F46A">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78D46B55">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46EE5F14">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5F27CD73">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4A870A7D">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111BACAD">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10A57B95">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31FED551">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7256D18E">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275448B9">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34DC58CB">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0B652163">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6C22FD5F">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5F859081">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1AADF83F">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198BDE0C">
      <w:pPr>
        <w:pStyle w:val="14"/>
        <w:overflowPunct w:val="0"/>
        <w:autoSpaceDE/>
        <w:autoSpaceDN/>
        <w:spacing w:line="600" w:lineRule="exact"/>
        <w:jc w:val="both"/>
        <w:rPr>
          <w:rFonts w:hint="default" w:ascii="Times New Roman" w:hAnsi="Times New Roman" w:eastAsia="仿宋_GB2312" w:cs="Times New Roman"/>
          <w:color w:val="FF0000"/>
          <w:sz w:val="32"/>
          <w:szCs w:val="32"/>
          <w:lang w:val="en-US" w:eastAsia="zh-CN"/>
        </w:rPr>
      </w:pPr>
    </w:p>
    <w:p w14:paraId="47D6D594">
      <w:pPr>
        <w:jc w:val="center"/>
        <w:rPr>
          <w:rFonts w:ascii="Times New Roman" w:hAnsi="Times New Roman" w:eastAsia="黑体" w:cs="Times New Roman"/>
          <w:sz w:val="28"/>
          <w:szCs w:val="28"/>
        </w:rPr>
      </w:pPr>
    </w:p>
    <w:p w14:paraId="731054D7">
      <w:pPr>
        <w:pStyle w:val="14"/>
        <w:jc w:val="both"/>
        <w:rPr>
          <w:rFonts w:ascii="Times New Roman" w:hAnsi="Times New Roman" w:eastAsia="方正小标宋_GBK" w:cs="Times New Roman"/>
          <w:sz w:val="72"/>
          <w:szCs w:val="72"/>
        </w:rPr>
      </w:pPr>
    </w:p>
    <w:p w14:paraId="3831D02C">
      <w:pPr>
        <w:pStyle w:val="14"/>
        <w:spacing w:line="360" w:lineRule="auto"/>
        <w:jc w:val="center"/>
        <w:rPr>
          <w:rFonts w:ascii="Times New Roman" w:hAnsi="Times New Roman" w:eastAsia="方正小标宋_GBK" w:cs="Times New Roman"/>
          <w:sz w:val="52"/>
          <w:szCs w:val="52"/>
        </w:rPr>
      </w:pPr>
    </w:p>
    <w:p w14:paraId="5A69ECB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5567F3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default" w:ascii="Times New Roman" w:hAnsi="Times New Roman" w:eastAsia="方正小标宋_GBK" w:cs="Times New Roman"/>
          <w:sz w:val="52"/>
          <w:szCs w:val="52"/>
          <w:lang w:val="en-US"/>
        </w:rPr>
        <w:t>5</w:t>
      </w:r>
      <w:r>
        <w:rPr>
          <w:rFonts w:ascii="Times New Roman" w:hAnsi="Times New Roman" w:eastAsia="方正小标宋_GBK" w:cs="Times New Roman"/>
          <w:sz w:val="52"/>
          <w:szCs w:val="52"/>
        </w:rPr>
        <w:t>年度部门决算情况说明</w:t>
      </w:r>
    </w:p>
    <w:p w14:paraId="02EDE17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28488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795803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去年专项资金减少。</w:t>
      </w:r>
    </w:p>
    <w:p w14:paraId="5843989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去年专项资金减少。</w:t>
      </w:r>
    </w:p>
    <w:p w14:paraId="0A9EFFA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CFF473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55E377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6BC152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607.67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66.43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DB90CE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60A89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收入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万元，与上年相比，增减少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去年专项资金减少。</w:t>
      </w:r>
    </w:p>
    <w:p w14:paraId="25A8A99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万元，与上年相比，增减少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去年专项资金减少。</w:t>
      </w:r>
    </w:p>
    <w:p w14:paraId="5BECEF35">
      <w:pPr>
        <w:pStyle w:val="14"/>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一般公共预算财政拨款支出决算情况说明</w:t>
      </w:r>
    </w:p>
    <w:p w14:paraId="01534684">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8AAE4E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35.61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去年专项资金减少。</w:t>
      </w:r>
    </w:p>
    <w:p w14:paraId="0EAA0EBE">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26B324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528.02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21.84万元，占3.2%；住房保障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43.04万元，占6.4%。</w:t>
      </w:r>
    </w:p>
    <w:p w14:paraId="0E0C2AD9">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846A37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542.64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674.1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124.23</w:t>
      </w:r>
      <w:r>
        <w:rPr>
          <w:rFonts w:ascii="Times New Roman" w:hAnsi="Times New Roman" w:eastAsia="仿宋_GB2312" w:cs="Times New Roman"/>
          <w:sz w:val="32"/>
          <w:szCs w:val="32"/>
        </w:rPr>
        <w:t>%，其中：</w:t>
      </w:r>
    </w:p>
    <w:p w14:paraId="6277F2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rPr>
        <w:t>市场监督管理事务</w:t>
      </w:r>
      <w:r>
        <w:rPr>
          <w:rFonts w:ascii="Times New Roman" w:hAnsi="Times New Roman" w:eastAsia="仿宋_GB2312" w:cs="Times New Roman"/>
          <w:sz w:val="32"/>
          <w:szCs w:val="32"/>
        </w:rPr>
        <w:t>（款）</w:t>
      </w:r>
      <w:r>
        <w:rPr>
          <w:rFonts w:hint="eastAsia" w:ascii="Times New Roman" w:hAnsi="Times New Roman" w:eastAsia="仿宋_GB2312"/>
          <w:sz w:val="32"/>
          <w:szCs w:val="32"/>
        </w:rPr>
        <w:t>药品事务</w:t>
      </w:r>
      <w:r>
        <w:rPr>
          <w:rFonts w:ascii="Times New Roman" w:hAnsi="Times New Roman" w:eastAsia="仿宋_GB2312" w:cs="Times New Roman"/>
          <w:sz w:val="32"/>
          <w:szCs w:val="32"/>
        </w:rPr>
        <w:t>（项）。</w:t>
      </w:r>
    </w:p>
    <w:p w14:paraId="7EDE99F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66.43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专项资金没有预算数。</w:t>
      </w:r>
    </w:p>
    <w:p w14:paraId="49ED96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rPr>
        <w:t>市场监督管理事务</w:t>
      </w:r>
      <w:r>
        <w:rPr>
          <w:rFonts w:ascii="Times New Roman" w:hAnsi="Times New Roman" w:eastAsia="仿宋_GB2312" w:cs="Times New Roman"/>
          <w:sz w:val="32"/>
          <w:szCs w:val="32"/>
        </w:rPr>
        <w:t>（款）</w:t>
      </w:r>
      <w:r>
        <w:rPr>
          <w:rFonts w:hint="eastAsia" w:ascii="Times New Roman" w:hAnsi="Times New Roman" w:eastAsia="仿宋_GB2312"/>
          <w:sz w:val="32"/>
          <w:szCs w:val="32"/>
        </w:rPr>
        <w:t>事业运行</w:t>
      </w:r>
      <w:r>
        <w:rPr>
          <w:rFonts w:ascii="Times New Roman" w:hAnsi="Times New Roman" w:eastAsia="仿宋_GB2312" w:cs="Times New Roman"/>
          <w:sz w:val="32"/>
          <w:szCs w:val="32"/>
        </w:rPr>
        <w:t>（项）。</w:t>
      </w:r>
    </w:p>
    <w:p w14:paraId="4B11DD2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426.3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461.58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108.28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1、当年新进人员一名。2、工资普调。</w:t>
      </w:r>
    </w:p>
    <w:p w14:paraId="2E5DCB33">
      <w:pPr>
        <w:pStyle w:val="14"/>
        <w:numPr>
          <w:ilvl w:val="0"/>
          <w:numId w:val="4"/>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sz w:val="32"/>
          <w:szCs w:val="32"/>
        </w:rPr>
        <w:t>机关事业单位基本养老</w:t>
      </w:r>
      <w:r>
        <w:rPr>
          <w:rFonts w:hint="eastAsia" w:ascii="Times New Roman" w:hAnsi="Times New Roman" w:eastAsia="仿宋_GB2312"/>
          <w:sz w:val="32"/>
          <w:szCs w:val="32"/>
          <w:lang w:eastAsia="zh-CN"/>
        </w:rPr>
        <w:t>保险缴费支出</w:t>
      </w:r>
      <w:r>
        <w:rPr>
          <w:rFonts w:ascii="Times New Roman" w:hAnsi="Times New Roman" w:eastAsia="仿宋_GB2312" w:cs="Times New Roman"/>
          <w:sz w:val="32"/>
          <w:szCs w:val="32"/>
        </w:rPr>
        <w:t>（项）。</w:t>
      </w:r>
    </w:p>
    <w:p w14:paraId="47B54334">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98.56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当年退休人员一名。</w:t>
      </w:r>
    </w:p>
    <w:p w14:paraId="56CE98D8">
      <w:pPr>
        <w:pStyle w:val="14"/>
        <w:numPr>
          <w:ilvl w:val="0"/>
          <w:numId w:val="4"/>
        </w:numPr>
        <w:overflowPunct w:val="0"/>
        <w:autoSpaceDE/>
        <w:autoSpaceDN/>
        <w:spacing w:line="600" w:lineRule="exact"/>
        <w:ind w:left="0" w:leftChars="0"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其他行政事业单位养老支出</w:t>
      </w:r>
      <w:r>
        <w:rPr>
          <w:rFonts w:ascii="Times New Roman" w:hAnsi="Times New Roman" w:eastAsia="仿宋_GB2312" w:cs="Times New Roman"/>
          <w:sz w:val="32"/>
          <w:szCs w:val="32"/>
        </w:rPr>
        <w:t>（项）。</w:t>
      </w:r>
    </w:p>
    <w:p w14:paraId="13F12D58">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30.41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当年退休人员一名，且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年初预算未安排。</w:t>
      </w:r>
    </w:p>
    <w:p w14:paraId="18CF0149">
      <w:pPr>
        <w:pStyle w:val="14"/>
        <w:numPr>
          <w:ilvl w:val="0"/>
          <w:numId w:val="4"/>
        </w:numPr>
        <w:overflowPunct w:val="0"/>
        <w:autoSpaceDE/>
        <w:autoSpaceDN/>
        <w:spacing w:line="600" w:lineRule="exact"/>
        <w:ind w:left="0" w:leftChars="0"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事业单位医疗</w:t>
      </w:r>
      <w:r>
        <w:rPr>
          <w:rFonts w:ascii="Times New Roman" w:hAnsi="Times New Roman" w:eastAsia="仿宋_GB2312" w:cs="Times New Roman"/>
          <w:sz w:val="32"/>
          <w:szCs w:val="32"/>
        </w:rPr>
        <w:t>（项）。</w:t>
      </w:r>
    </w:p>
    <w:p w14:paraId="07461A19">
      <w:pPr>
        <w:pStyle w:val="14"/>
        <w:numPr>
          <w:ilvl w:val="0"/>
          <w:numId w:val="0"/>
        </w:numPr>
        <w:overflowPunct w:val="0"/>
        <w:autoSpaceDE/>
        <w:autoSpaceDN/>
        <w:spacing w:line="600" w:lineRule="exact"/>
        <w:ind w:leftChars="200" w:firstLine="320" w:firstLineChars="1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388F87FF">
      <w:pPr>
        <w:pStyle w:val="14"/>
        <w:numPr>
          <w:ilvl w:val="0"/>
          <w:numId w:val="4"/>
        </w:numPr>
        <w:overflowPunct w:val="0"/>
        <w:autoSpaceDE/>
        <w:autoSpaceDN/>
        <w:spacing w:line="600" w:lineRule="exact"/>
        <w:ind w:left="0" w:leftChars="0"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住房公积金</w:t>
      </w:r>
      <w:r>
        <w:rPr>
          <w:rFonts w:ascii="Times New Roman" w:hAnsi="Times New Roman" w:eastAsia="仿宋_GB2312" w:cs="Times New Roman"/>
          <w:sz w:val="32"/>
          <w:szCs w:val="32"/>
        </w:rPr>
        <w:t>（项）。</w:t>
      </w:r>
    </w:p>
    <w:p w14:paraId="31D2A197">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42.97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当年新进人员一名。</w:t>
      </w:r>
    </w:p>
    <w:p w14:paraId="779F4CE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5A119B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607.67</w:t>
      </w:r>
      <w:r>
        <w:rPr>
          <w:rFonts w:ascii="Times New Roman" w:hAnsi="Times New Roman" w:eastAsia="仿宋_GB2312" w:cs="Times New Roman"/>
          <w:sz w:val="32"/>
          <w:szCs w:val="32"/>
        </w:rPr>
        <w:t>万元，其中：</w:t>
      </w:r>
    </w:p>
    <w:p w14:paraId="7A506DDF">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552.29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90.8</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eastAsia="zh-CN"/>
        </w:rPr>
        <w:t>绩效工资、 机关事业单位基本养老保险缴费、</w:t>
      </w:r>
      <w:r>
        <w:rPr>
          <w:rFonts w:ascii="Times New Roman" w:hAnsi="Times New Roman" w:eastAsia="仿宋_GB2312" w:cs="Times New Roman"/>
          <w:sz w:val="32"/>
          <w:szCs w:val="32"/>
        </w:rPr>
        <w:t>津贴补贴、奖金</w:t>
      </w:r>
      <w:r>
        <w:rPr>
          <w:rFonts w:hint="eastAsia" w:ascii="Times New Roman" w:hAnsi="Times New Roman" w:eastAsia="仿宋_GB2312" w:cs="Times New Roman"/>
          <w:sz w:val="32"/>
          <w:szCs w:val="32"/>
          <w:lang w:eastAsia="zh-CN"/>
        </w:rPr>
        <w:t>、 住房公积金等。</w:t>
      </w:r>
    </w:p>
    <w:p w14:paraId="1BAF12A0">
      <w:pPr>
        <w:pStyle w:val="14"/>
        <w:overflowPunct w:val="0"/>
        <w:autoSpaceDE/>
        <w:autoSpaceDN/>
        <w:spacing w:line="600" w:lineRule="exact"/>
        <w:ind w:firstLine="643" w:firstLineChars="200"/>
        <w:jc w:val="both"/>
        <w:rPr>
          <w:rFonts w:hint="default" w:ascii="Times New Roman" w:hAnsi="Times New Roman" w:eastAsia="仿宋_GB2312" w:cs="Times New Roman"/>
          <w:color w:val="FF0000"/>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55.38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差旅费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培训费等</w:t>
      </w:r>
      <w:r>
        <w:rPr>
          <w:rFonts w:ascii="Times New Roman" w:hAnsi="Times New Roman" w:eastAsia="仿宋_GB2312" w:cs="Times New Roman"/>
          <w:sz w:val="32"/>
          <w:szCs w:val="32"/>
        </w:rPr>
        <w:t>。</w:t>
      </w:r>
    </w:p>
    <w:p w14:paraId="14F83083">
      <w:pPr>
        <w:pStyle w:val="14"/>
        <w:numPr>
          <w:ilvl w:val="0"/>
          <w:numId w:val="0"/>
        </w:numPr>
        <w:overflowPunct w:val="0"/>
        <w:autoSpaceDE/>
        <w:autoSpaceDN/>
        <w:spacing w:line="600" w:lineRule="exact"/>
        <w:ind w:leftChars="200" w:firstLine="320" w:firstLineChars="1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七、</w:t>
      </w:r>
      <w:r>
        <w:rPr>
          <w:rFonts w:ascii="Times New Roman" w:hAnsi="Times New Roman" w:cs="Times New Roman"/>
          <w:bCs/>
          <w:sz w:val="32"/>
          <w:szCs w:val="32"/>
        </w:rPr>
        <w:t>财政拨款“三公”经费支出决算情况说明</w:t>
      </w:r>
    </w:p>
    <w:p w14:paraId="378B1101">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956281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预算数。决算数大于上年数的主要原因是</w:t>
      </w:r>
      <w:r>
        <w:rPr>
          <w:rFonts w:hint="eastAsia" w:ascii="Times New Roman" w:hAnsi="Times New Roman" w:eastAsia="仿宋_GB2312" w:cs="Times New Roman"/>
          <w:sz w:val="32"/>
          <w:szCs w:val="32"/>
          <w:lang w:eastAsia="zh-CN"/>
        </w:rPr>
        <w:t>我所车辆老旧，维修维护次数增多，公务车运行维护费增加</w:t>
      </w:r>
      <w:r>
        <w:rPr>
          <w:rFonts w:ascii="Times New Roman" w:hAnsi="Times New Roman" w:eastAsia="仿宋_GB2312" w:cs="Times New Roman"/>
          <w:sz w:val="32"/>
          <w:szCs w:val="32"/>
        </w:rPr>
        <w:t>。</w:t>
      </w:r>
    </w:p>
    <w:p w14:paraId="45191227">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1E132BB">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年度我单位未开展因公出国（境）活动。</w:t>
      </w:r>
    </w:p>
    <w:p w14:paraId="00E8EF8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%。其中：</w:t>
      </w:r>
    </w:p>
    <w:p w14:paraId="2C2C5BFB">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本单位无更新公务用车。</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公务车运行维护费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预算数。决算数大于上年数的主要原因是</w:t>
      </w:r>
      <w:r>
        <w:rPr>
          <w:rFonts w:hint="eastAsia" w:ascii="Times New Roman" w:hAnsi="Times New Roman" w:eastAsia="仿宋_GB2312" w:cs="Times New Roman"/>
          <w:sz w:val="32"/>
          <w:szCs w:val="32"/>
          <w:lang w:eastAsia="zh-CN"/>
        </w:rPr>
        <w:t>我所车辆老旧，维修维护次数增多，公务车运行维护费增加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003E4AAE">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sz w:val="32"/>
          <w:szCs w:val="32"/>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年度本单位无公务接待费。</w:t>
      </w:r>
    </w:p>
    <w:p w14:paraId="240AB20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5AB99D2">
      <w:pPr>
        <w:pStyle w:val="14"/>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年度本单位无政府性基金收支。</w:t>
      </w:r>
    </w:p>
    <w:p w14:paraId="253ABC0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57864C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我单位无</w:t>
      </w:r>
      <w:r>
        <w:rPr>
          <w:rFonts w:ascii="Times New Roman" w:hAnsi="Times New Roman" w:eastAsia="仿宋_GB2312" w:cs="Times New Roman"/>
          <w:sz w:val="32"/>
          <w:szCs w:val="32"/>
        </w:rPr>
        <w:t>机关运行经费支出。</w:t>
      </w:r>
    </w:p>
    <w:p w14:paraId="7728C0B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F4E8C60">
      <w:pPr>
        <w:pStyle w:val="14"/>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永州市药品检验所</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没有</w:t>
      </w:r>
      <w:r>
        <w:rPr>
          <w:rFonts w:ascii="Times New Roman" w:hAnsi="Times New Roman" w:eastAsia="仿宋_GB2312" w:cs="Times New Roman"/>
          <w:sz w:val="32"/>
          <w:szCs w:val="32"/>
        </w:rPr>
        <w:t>举办节庆、晚会、论坛、赛事活动。</w:t>
      </w:r>
    </w:p>
    <w:p w14:paraId="2DBCD553">
      <w:pPr>
        <w:pStyle w:val="14"/>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十一、关于政府采购支出说明</w:t>
      </w:r>
    </w:p>
    <w:p w14:paraId="5DDB26D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4A63767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E807FD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eastAsia="zh-CN"/>
        </w:rPr>
        <w:t>永州市药品检验所</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一般公务用车</w:t>
      </w:r>
      <w:r>
        <w:rPr>
          <w:rFonts w:ascii="Times New Roman" w:hAnsi="Times New Roman" w:eastAsia="仿宋_GB2312" w:cs="Times New Roman"/>
          <w:color w:val="auto"/>
          <w:sz w:val="32"/>
          <w:szCs w:val="32"/>
        </w:rPr>
        <w:t>；单位价值100万元以上设备</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台。</w:t>
      </w:r>
    </w:p>
    <w:p w14:paraId="46AA96D4">
      <w:pPr>
        <w:pStyle w:val="14"/>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eastAsia="zh-CN"/>
        </w:rPr>
      </w:pPr>
    </w:p>
    <w:p w14:paraId="673B2F3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rPr>
        <w:t>5</w:t>
      </w:r>
      <w:r>
        <w:rPr>
          <w:rFonts w:ascii="Times New Roman" w:hAnsi="Times New Roman" w:cs="Times New Roman"/>
          <w:bCs/>
          <w:color w:val="auto"/>
          <w:sz w:val="32"/>
          <w:szCs w:val="32"/>
        </w:rPr>
        <w:t>年度预算绩效情况的说明</w:t>
      </w:r>
    </w:p>
    <w:p w14:paraId="0F85E2F7">
      <w:pPr>
        <w:keepNext w:val="0"/>
        <w:keepLines w:val="0"/>
        <w:pageBreakBefore w:val="0"/>
        <w:widowControl w:val="0"/>
        <w:kinsoku/>
        <w:wordWrap/>
        <w:overflowPunct w:val="0"/>
        <w:topLinePunct w:val="0"/>
        <w:autoSpaceDE/>
        <w:autoSpaceDN/>
        <w:bidi w:val="0"/>
        <w:adjustRightInd/>
        <w:snapToGrid/>
        <w:spacing w:line="600" w:lineRule="exact"/>
        <w:ind w:left="0" w:leftChars="0" w:firstLine="643" w:firstLineChars="200"/>
        <w:textAlignment w:val="auto"/>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color w:val="auto"/>
          <w:kern w:val="0"/>
          <w:sz w:val="32"/>
          <w:szCs w:val="32"/>
          <w:lang w:val="en-US" w:eastAsia="zh-CN" w:bidi="ar-SA"/>
        </w:rPr>
        <w:t>组织对202</w:t>
      </w:r>
      <w:r>
        <w:rPr>
          <w:rFonts w:hint="default" w:ascii="Times New Roman" w:hAnsi="Times New Roman" w:eastAsia="仿宋_GB2312" w:cs="Times New Roman"/>
          <w:color w:val="auto"/>
          <w:kern w:val="0"/>
          <w:sz w:val="32"/>
          <w:szCs w:val="32"/>
          <w:lang w:val="en-US" w:eastAsia="zh-CN" w:bidi="ar-SA"/>
        </w:rPr>
        <w:t>5</w:t>
      </w:r>
      <w:r>
        <w:rPr>
          <w:rFonts w:ascii="Times New Roman" w:hAnsi="Times New Roman" w:eastAsia="仿宋_GB2312" w:cs="Times New Roman"/>
          <w:color w:val="auto"/>
          <w:kern w:val="0"/>
          <w:sz w:val="32"/>
          <w:szCs w:val="32"/>
          <w:lang w:val="en-US" w:eastAsia="zh-CN" w:bidi="ar-SA"/>
        </w:rPr>
        <w:t>年度</w:t>
      </w:r>
      <w:r>
        <w:rPr>
          <w:rFonts w:hint="eastAsia" w:ascii="Times New Roman" w:hAnsi="Times New Roman" w:eastAsia="仿宋_GB2312" w:cs="Times New Roman"/>
          <w:color w:val="auto"/>
          <w:kern w:val="0"/>
          <w:sz w:val="32"/>
          <w:szCs w:val="32"/>
          <w:lang w:val="en-US" w:eastAsia="zh-CN" w:bidi="ar-SA"/>
        </w:rPr>
        <w:t>永州市药品检验所</w:t>
      </w:r>
      <w:r>
        <w:rPr>
          <w:rFonts w:ascii="Times New Roman" w:hAnsi="Times New Roman" w:eastAsia="仿宋_GB2312" w:cs="Times New Roman"/>
          <w:color w:val="auto"/>
          <w:kern w:val="0"/>
          <w:sz w:val="32"/>
          <w:szCs w:val="32"/>
          <w:lang w:val="en-US" w:eastAsia="zh-CN" w:bidi="ar-SA"/>
        </w:rPr>
        <w:t>整体支出开展绩效自评，涉及项目</w:t>
      </w:r>
      <w:r>
        <w:rPr>
          <w:rFonts w:hint="eastAsia" w:ascii="Times New Roman" w:hAnsi="Times New Roman" w:eastAsia="仿宋_GB2312" w:cs="Times New Roman"/>
          <w:color w:val="auto"/>
          <w:kern w:val="0"/>
          <w:sz w:val="32"/>
          <w:szCs w:val="32"/>
          <w:lang w:val="en-US" w:eastAsia="zh-CN" w:bidi="ar-SA"/>
        </w:rPr>
        <w:t>1</w:t>
      </w:r>
      <w:r>
        <w:rPr>
          <w:rFonts w:ascii="Times New Roman" w:hAnsi="Times New Roman" w:eastAsia="仿宋_GB2312" w:cs="Times New Roman"/>
          <w:color w:val="auto"/>
          <w:kern w:val="0"/>
          <w:sz w:val="32"/>
          <w:szCs w:val="32"/>
          <w:lang w:val="en-US" w:eastAsia="zh-CN" w:bidi="ar-SA"/>
        </w:rPr>
        <w:t xml:space="preserve"> 个，共涉及资金</w:t>
      </w:r>
      <w:r>
        <w:rPr>
          <w:rFonts w:hint="eastAsia" w:ascii="Times New Roman" w:hAnsi="Times New Roman" w:eastAsia="仿宋_GB2312" w:cs="Times New Roman"/>
          <w:color w:val="auto"/>
          <w:kern w:val="0"/>
          <w:sz w:val="32"/>
          <w:szCs w:val="32"/>
          <w:lang w:val="en-US" w:eastAsia="zh-CN" w:bidi="ar-SA"/>
        </w:rPr>
        <w:t>542.64</w:t>
      </w:r>
      <w:r>
        <w:rPr>
          <w:rFonts w:ascii="Times New Roman" w:hAnsi="Times New Roman" w:eastAsia="仿宋_GB2312" w:cs="Times New Roman"/>
          <w:color w:val="auto"/>
          <w:kern w:val="0"/>
          <w:sz w:val="32"/>
          <w:szCs w:val="32"/>
          <w:lang w:val="en-US" w:eastAsia="zh-CN" w:bidi="ar-SA"/>
        </w:rPr>
        <w:t>万元。其中，一般公共预算项目</w:t>
      </w:r>
      <w:r>
        <w:rPr>
          <w:rFonts w:hint="eastAsia" w:ascii="Times New Roman" w:hAnsi="Times New Roman" w:eastAsia="仿宋_GB2312" w:cs="Times New Roman"/>
          <w:color w:val="auto"/>
          <w:kern w:val="0"/>
          <w:sz w:val="32"/>
          <w:szCs w:val="32"/>
          <w:lang w:val="en-US" w:eastAsia="zh-CN" w:bidi="ar-SA"/>
        </w:rPr>
        <w:t>1</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542.64</w:t>
      </w:r>
      <w:r>
        <w:rPr>
          <w:rFonts w:ascii="Times New Roman" w:hAnsi="Times New Roman" w:eastAsia="仿宋_GB2312" w:cs="Times New Roman"/>
          <w:color w:val="auto"/>
          <w:kern w:val="0"/>
          <w:sz w:val="32"/>
          <w:szCs w:val="32"/>
          <w:lang w:val="en-US" w:eastAsia="zh-CN" w:bidi="ar-SA"/>
        </w:rPr>
        <w:t xml:space="preserve"> 万元，占一般公共预算支出总额的</w:t>
      </w:r>
      <w:r>
        <w:rPr>
          <w:rFonts w:hint="eastAsia" w:ascii="Times New Roman" w:hAnsi="Times New Roman" w:eastAsia="仿宋_GB2312" w:cs="Times New Roman"/>
          <w:color w:val="auto"/>
          <w:kern w:val="0"/>
          <w:sz w:val="32"/>
          <w:szCs w:val="32"/>
          <w:lang w:val="en-US" w:eastAsia="zh-CN" w:bidi="ar-SA"/>
        </w:rPr>
        <w:t>100</w:t>
      </w:r>
      <w:r>
        <w:rPr>
          <w:rFonts w:ascii="Times New Roman" w:hAnsi="Times New Roman" w:eastAsia="仿宋_GB2312" w:cs="Times New Roman"/>
          <w:color w:val="auto"/>
          <w:kern w:val="0"/>
          <w:sz w:val="32"/>
          <w:szCs w:val="32"/>
          <w:lang w:val="en-US" w:eastAsia="zh-CN" w:bidi="ar-SA"/>
        </w:rPr>
        <w:t>%；政府性基金预算项目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万元，占政府性基金预算支出总额的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%；国有资本经营预算项目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万元，占国有资本经营预算支出总额的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%；社会保险基金预算项目</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个</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万元，占社会保险基金预算支出总额的</w:t>
      </w:r>
      <w:r>
        <w:rPr>
          <w:rFonts w:hint="eastAsia" w:ascii="Times New Roman" w:hAnsi="Times New Roman" w:eastAsia="仿宋_GB2312" w:cs="Times New Roman"/>
          <w:color w:val="auto"/>
          <w:kern w:val="0"/>
          <w:sz w:val="32"/>
          <w:szCs w:val="32"/>
          <w:lang w:val="en-US" w:eastAsia="zh-CN" w:bidi="ar-SA"/>
        </w:rPr>
        <w:t>0</w:t>
      </w:r>
      <w:r>
        <w:rPr>
          <w:rFonts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永州市药品检验所</w:t>
      </w:r>
      <w:r>
        <w:rPr>
          <w:rFonts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湖南省中药材标准修订</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药械化抽检专项经费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28.27</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CDD0D03">
      <w:pPr>
        <w:keepNext w:val="0"/>
        <w:keepLines w:val="0"/>
        <w:pageBreakBefore w:val="0"/>
        <w:kinsoku w:val="0"/>
        <w:wordWrap/>
        <w:overflowPunct/>
        <w:topLinePunct w:val="0"/>
        <w:autoSpaceDE w:val="0"/>
        <w:autoSpaceDN w:val="0"/>
        <w:bidi w:val="0"/>
        <w:adjustRightInd w:val="0"/>
        <w:spacing w:line="600" w:lineRule="exact"/>
        <w:ind w:left="19" w:firstLine="619"/>
        <w:textAlignment w:val="baseline"/>
        <w:outlineLvl w:val="9"/>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永州市药品检验所</w:t>
      </w:r>
      <w:r>
        <w:rPr>
          <w:rFonts w:ascii="Times New Roman" w:hAnsi="Times New Roman" w:eastAsia="仿宋_GB2312" w:cs="Times New Roman"/>
          <w:kern w:val="0"/>
          <w:sz w:val="32"/>
          <w:szCs w:val="32"/>
        </w:rPr>
        <w:t>整体支出全年预算数</w:t>
      </w:r>
      <w:r>
        <w:rPr>
          <w:rFonts w:hint="eastAsia" w:ascii="Times New Roman" w:hAnsi="Times New Roman" w:eastAsia="仿宋_GB2312" w:cs="Times New Roman"/>
          <w:kern w:val="0"/>
          <w:sz w:val="32"/>
          <w:szCs w:val="32"/>
          <w:lang w:val="en-US" w:eastAsia="zh-CN"/>
        </w:rPr>
        <w:t>542.64</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lang w:val="en-US" w:eastAsia="zh-CN"/>
        </w:rPr>
        <w:t>674.1</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124.2</w:t>
      </w:r>
      <w:r>
        <w:rPr>
          <w:rFonts w:hint="eastAsia" w:ascii="Times New Roman" w:hAnsi="Times New Roman" w:eastAsia="仿宋_GB2312" w:cs="Times New Roman"/>
          <w:kern w:val="0"/>
          <w:sz w:val="32"/>
          <w:szCs w:val="32"/>
          <w:lang w:eastAsia="zh-CN"/>
        </w:rPr>
        <w:t>%，绩效自评得分</w:t>
      </w:r>
      <w:r>
        <w:rPr>
          <w:rFonts w:hint="eastAsia" w:ascii="Times New Roman" w:hAnsi="Times New Roman" w:eastAsia="仿宋_GB2312" w:cs="Times New Roman"/>
          <w:kern w:val="0"/>
          <w:sz w:val="32"/>
          <w:szCs w:val="32"/>
          <w:lang w:val="en-US" w:eastAsia="zh-CN"/>
        </w:rPr>
        <w:t>90</w:t>
      </w:r>
      <w:r>
        <w:rPr>
          <w:rFonts w:hint="eastAsia" w:ascii="Times New Roman" w:hAnsi="Times New Roman" w:eastAsia="仿宋_GB2312" w:cs="Times New Roman"/>
          <w:kern w:val="0"/>
          <w:sz w:val="32"/>
          <w:szCs w:val="32"/>
          <w:lang w:eastAsia="zh-CN"/>
        </w:rPr>
        <w:t>分，评价等级为“合格”。绩效目标完成情况：一是通</w:t>
      </w:r>
      <w:r>
        <w:rPr>
          <w:rFonts w:hint="eastAsia" w:ascii="Times New Roman" w:hAnsi="Times New Roman" w:eastAsia="仿宋_GB2312" w:cs="Times New Roman"/>
          <w:kern w:val="0"/>
          <w:sz w:val="32"/>
          <w:szCs w:val="32"/>
          <w:lang w:val="en-US" w:eastAsia="zh-CN"/>
        </w:rPr>
        <w:t>过实施质量监督检验，对药品、化妆品产品质量实施有效监管,降低产品质量安全风险，确保全市人民使用药品、化妆品的安全，各项指标已经全部完成</w:t>
      </w:r>
      <w:r>
        <w:rPr>
          <w:rFonts w:hint="eastAsia" w:ascii="Times New Roman" w:hAnsi="Times New Roman" w:eastAsia="仿宋_GB2312" w:cs="Times New Roman"/>
          <w:kern w:val="0"/>
          <w:sz w:val="32"/>
          <w:szCs w:val="32"/>
          <w:lang w:eastAsia="zh-CN"/>
        </w:rPr>
        <w:t>；二是积极准备参加</w:t>
      </w:r>
      <w:bookmarkStart w:id="0" w:name="OLE_LINK2"/>
      <w:bookmarkStart w:id="1" w:name="OLE_LINK1"/>
      <w:r>
        <w:rPr>
          <w:rFonts w:hint="eastAsia" w:ascii="Times New Roman" w:hAnsi="Times New Roman" w:eastAsia="仿宋_GB2312" w:cs="Times New Roman"/>
          <w:kern w:val="0"/>
          <w:sz w:val="32"/>
          <w:szCs w:val="32"/>
          <w:lang w:eastAsia="zh-CN"/>
        </w:rPr>
        <w:t>中检院组织的实验</w:t>
      </w:r>
      <w:r>
        <w:rPr>
          <w:rFonts w:hint="eastAsia" w:ascii="Times New Roman" w:hAnsi="Times New Roman" w:eastAsia="仿宋_GB2312" w:cs="Times New Roman"/>
          <w:kern w:val="0"/>
          <w:sz w:val="32"/>
          <w:szCs w:val="32"/>
        </w:rPr>
        <w:t>室比对和能力验证项目</w:t>
      </w:r>
      <w:bookmarkEnd w:id="0"/>
      <w:bookmarkEnd w:id="1"/>
      <w:r>
        <w:rPr>
          <w:rFonts w:hint="eastAsia" w:ascii="Times New Roman" w:hAnsi="Times New Roman" w:eastAsia="仿宋_GB2312" w:cs="Times New Roman"/>
          <w:kern w:val="0"/>
          <w:sz w:val="32"/>
          <w:szCs w:val="32"/>
        </w:rPr>
        <w:t>4个，目前已完成4个中检院组织的实验室比对和能力验证项目</w:t>
      </w:r>
      <w:r>
        <w:rPr>
          <w:rFonts w:hint="eastAsia" w:ascii="Times New Roman" w:hAnsi="Times New Roman" w:eastAsia="仿宋_GB2312" w:cs="Times New Roman"/>
          <w:kern w:val="0"/>
          <w:sz w:val="32"/>
          <w:szCs w:val="32"/>
          <w:lang w:eastAsia="zh-CN"/>
        </w:rPr>
        <w:t>。发现的主要问题及原因：一是</w:t>
      </w:r>
      <w:r>
        <w:rPr>
          <w:rFonts w:hint="eastAsia" w:ascii="Times New Roman" w:hAnsi="Times New Roman" w:eastAsia="仿宋_GB2312" w:cs="Times New Roman"/>
          <w:kern w:val="0"/>
          <w:sz w:val="32"/>
          <w:szCs w:val="32"/>
          <w:lang w:val="en-US" w:eastAsia="zh-CN"/>
        </w:rPr>
        <w:t>继续保持</w:t>
      </w:r>
      <w:r>
        <w:rPr>
          <w:rFonts w:hint="eastAsia" w:ascii="Times New Roman" w:hAnsi="Times New Roman" w:eastAsia="仿宋_GB2312" w:cs="Times New Roman"/>
          <w:kern w:val="0"/>
          <w:sz w:val="32"/>
          <w:szCs w:val="32"/>
          <w:lang w:eastAsia="zh-CN"/>
        </w:rPr>
        <w:t>合理的控制</w:t>
      </w:r>
      <w:r>
        <w:rPr>
          <w:rFonts w:hint="eastAsia" w:ascii="Times New Roman" w:hAnsi="Times New Roman" w:eastAsia="仿宋_GB2312" w:cs="Times New Roman"/>
          <w:kern w:val="0"/>
          <w:sz w:val="32"/>
          <w:szCs w:val="32"/>
          <w:lang w:val="en-US" w:eastAsia="zh-CN"/>
        </w:rPr>
        <w:t>理念使用</w:t>
      </w:r>
      <w:r>
        <w:rPr>
          <w:rFonts w:hint="eastAsia" w:ascii="Times New Roman" w:hAnsi="Times New Roman" w:eastAsia="仿宋_GB2312" w:cs="Times New Roman"/>
          <w:kern w:val="0"/>
          <w:sz w:val="32"/>
          <w:szCs w:val="32"/>
          <w:lang w:eastAsia="zh-CN"/>
        </w:rPr>
        <w:t>专项资金</w:t>
      </w:r>
      <w:r>
        <w:rPr>
          <w:rFonts w:hint="eastAsia" w:ascii="Times New Roman" w:hAnsi="Times New Roman" w:eastAsia="仿宋_GB2312" w:cs="Times New Roman"/>
          <w:kern w:val="0"/>
          <w:sz w:val="32"/>
          <w:szCs w:val="32"/>
          <w:lang w:val="en-US" w:eastAsia="zh-CN"/>
        </w:rPr>
        <w:t>，增收节支，努力提高资金使用效率，力争少花钱，多办事；二是</w:t>
      </w:r>
      <w:r>
        <w:rPr>
          <w:rFonts w:hint="eastAsia" w:ascii="Times New Roman" w:hAnsi="Times New Roman" w:eastAsia="仿宋_GB2312" w:cs="Times New Roman"/>
          <w:kern w:val="0"/>
          <w:sz w:val="32"/>
          <w:szCs w:val="32"/>
          <w:lang w:eastAsia="zh-CN"/>
        </w:rPr>
        <w:t>进一步合理编制预算，严格执行预算，完善管理制度，加强内部管理。下一步改进措施：</w:t>
      </w:r>
      <w:r>
        <w:rPr>
          <w:rFonts w:hint="eastAsia" w:ascii="Times New Roman" w:hAnsi="Times New Roman" w:eastAsia="仿宋_GB2312" w:cs="Times New Roman"/>
          <w:kern w:val="0"/>
          <w:sz w:val="32"/>
          <w:szCs w:val="32"/>
          <w:lang w:val="en-US" w:eastAsia="zh-CN"/>
        </w:rPr>
        <w:t>建议增加检验经费，省抽样品偏离抽样计划，需要额外采购对照品、标准物质和试剂，标准物质国外的价格极高，有经费压力</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kern w:val="0"/>
          <w:sz w:val="32"/>
          <w:szCs w:val="32"/>
          <w:lang w:eastAsia="zh-CN"/>
        </w:rPr>
        <w:t>湖南省中药材标准修订</w:t>
      </w:r>
      <w:r>
        <w:rPr>
          <w:rFonts w:ascii="Times New Roman" w:hAnsi="Times New Roman" w:eastAsia="仿宋_GB2312" w:cs="Times New Roman"/>
          <w:kern w:val="0"/>
          <w:sz w:val="32"/>
          <w:szCs w:val="32"/>
        </w:rPr>
        <w:t>项目全年预算数</w:t>
      </w:r>
      <w:r>
        <w:rPr>
          <w:rFonts w:hint="eastAsia" w:ascii="Times New Roman" w:hAnsi="Times New Roman" w:eastAsia="仿宋_GB2312" w:cs="Times New Roman"/>
          <w:kern w:val="0"/>
          <w:sz w:val="32"/>
          <w:szCs w:val="32"/>
          <w:lang w:val="en-US" w:eastAsia="zh-CN"/>
        </w:rPr>
        <w:t>10.04</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lang w:val="en-US" w:eastAsia="zh-CN"/>
        </w:rPr>
        <w:t>10.04</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%，部门评价得分</w:t>
      </w:r>
      <w:r>
        <w:rPr>
          <w:rFonts w:hint="eastAsia" w:ascii="Times New Roman" w:hAnsi="Times New Roman" w:eastAsia="仿宋_GB2312" w:cs="Times New Roman"/>
          <w:kern w:val="0"/>
          <w:sz w:val="32"/>
          <w:szCs w:val="32"/>
          <w:lang w:val="en-US" w:eastAsia="zh-CN"/>
        </w:rPr>
        <w:t>90</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eastAsia="zh-CN"/>
        </w:rPr>
        <w:t>合格</w:t>
      </w:r>
      <w:r>
        <w:rPr>
          <w:rFonts w:ascii="Times New Roman" w:hAnsi="Times New Roman" w:eastAsia="仿宋_GB2312" w:cs="Times New Roman"/>
          <w:kern w:val="0"/>
          <w:sz w:val="32"/>
          <w:szCs w:val="32"/>
        </w:rPr>
        <w:t>”。发现的主要问题及原因：一是</w:t>
      </w:r>
      <w:r>
        <w:rPr>
          <w:rFonts w:hint="eastAsia" w:ascii="Times New Roman" w:hAnsi="Times New Roman" w:eastAsia="仿宋_GB2312" w:cs="Times New Roman"/>
          <w:kern w:val="0"/>
          <w:sz w:val="32"/>
          <w:szCs w:val="32"/>
        </w:rPr>
        <w:t>检验机构实验室比对和能力验证任务</w:t>
      </w:r>
      <w:r>
        <w:rPr>
          <w:rFonts w:hint="eastAsia" w:ascii="Times New Roman" w:hAnsi="Times New Roman" w:eastAsia="仿宋_GB2312" w:cs="Times New Roman"/>
          <w:kern w:val="0"/>
          <w:sz w:val="32"/>
          <w:szCs w:val="32"/>
          <w:lang w:eastAsia="zh-CN"/>
        </w:rPr>
        <w:t>建立有待提高</w:t>
      </w:r>
      <w:r>
        <w:rPr>
          <w:rFonts w:ascii="Times New Roman" w:hAnsi="Times New Roman" w:eastAsia="仿宋_GB2312" w:cs="Times New Roman"/>
          <w:kern w:val="0"/>
          <w:sz w:val="32"/>
          <w:szCs w:val="32"/>
        </w:rPr>
        <w:t>；二是</w:t>
      </w:r>
      <w:r>
        <w:rPr>
          <w:rFonts w:hint="eastAsia" w:ascii="Times New Roman" w:hAnsi="Times New Roman" w:eastAsia="仿宋_GB2312" w:cs="Times New Roman"/>
          <w:kern w:val="0"/>
          <w:sz w:val="32"/>
          <w:szCs w:val="32"/>
        </w:rPr>
        <w:t>瑶药标准的起草工作</w:t>
      </w:r>
      <w:r>
        <w:rPr>
          <w:rFonts w:hint="eastAsia" w:ascii="Times New Roman" w:hAnsi="Times New Roman" w:eastAsia="仿宋_GB2312" w:cs="Times New Roman"/>
          <w:kern w:val="0"/>
          <w:sz w:val="32"/>
          <w:szCs w:val="32"/>
          <w:lang w:eastAsia="zh-CN"/>
        </w:rPr>
        <w:t>工作人员需提高专业能力</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下一步改进措施：一是</w:t>
      </w:r>
      <w:r>
        <w:rPr>
          <w:rFonts w:hint="eastAsia" w:ascii="Times New Roman" w:hAnsi="Times New Roman" w:eastAsia="仿宋_GB2312" w:cs="Times New Roman"/>
          <w:kern w:val="0"/>
          <w:sz w:val="32"/>
          <w:szCs w:val="32"/>
          <w:lang w:eastAsia="zh-CN"/>
        </w:rPr>
        <w:t>建立设备完善且配套更标准的实验室</w:t>
      </w:r>
      <w:r>
        <w:rPr>
          <w:rFonts w:ascii="Times New Roman" w:hAnsi="Times New Roman" w:eastAsia="仿宋_GB2312" w:cs="Times New Roman"/>
          <w:kern w:val="0"/>
          <w:sz w:val="32"/>
          <w:szCs w:val="32"/>
        </w:rPr>
        <w:t>；二是</w:t>
      </w:r>
      <w:r>
        <w:rPr>
          <w:rFonts w:hint="eastAsia" w:ascii="Times New Roman" w:hAnsi="Times New Roman" w:eastAsia="仿宋_GB2312" w:cs="Times New Roman"/>
          <w:kern w:val="0"/>
          <w:sz w:val="32"/>
          <w:szCs w:val="32"/>
          <w:lang w:eastAsia="zh-CN"/>
        </w:rPr>
        <w:t>检验工作人员需提升自身学习能力，提高知识储备</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药械化抽检专项经费</w:t>
      </w:r>
      <w:r>
        <w:rPr>
          <w:rFonts w:ascii="Times New Roman" w:hAnsi="Times New Roman" w:eastAsia="仿宋_GB2312" w:cs="Times New Roman"/>
          <w:kern w:val="0"/>
          <w:sz w:val="32"/>
          <w:szCs w:val="32"/>
        </w:rPr>
        <w:t>目全年预算数</w:t>
      </w:r>
      <w:r>
        <w:rPr>
          <w:rFonts w:hint="eastAsia" w:ascii="Times New Roman" w:hAnsi="Times New Roman" w:eastAsia="仿宋_GB2312" w:cs="Times New Roman"/>
          <w:kern w:val="0"/>
          <w:sz w:val="32"/>
          <w:szCs w:val="32"/>
          <w:lang w:val="en-US" w:eastAsia="zh-CN"/>
        </w:rPr>
        <w:t>18.68</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lang w:val="en-US" w:eastAsia="zh-CN"/>
        </w:rPr>
        <w:t>18.68</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%，部门评价得分</w:t>
      </w:r>
      <w:r>
        <w:rPr>
          <w:rFonts w:hint="eastAsia" w:ascii="Times New Roman" w:hAnsi="Times New Roman" w:eastAsia="仿宋_GB2312" w:cs="Times New Roman"/>
          <w:kern w:val="0"/>
          <w:sz w:val="32"/>
          <w:szCs w:val="32"/>
          <w:lang w:val="en-US" w:eastAsia="zh-CN"/>
        </w:rPr>
        <w:t>90</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eastAsia="zh-CN"/>
        </w:rPr>
        <w:t>合格</w:t>
      </w:r>
      <w:r>
        <w:rPr>
          <w:rFonts w:ascii="Times New Roman" w:hAnsi="Times New Roman" w:eastAsia="仿宋_GB2312" w:cs="Times New Roman"/>
          <w:kern w:val="0"/>
          <w:sz w:val="32"/>
          <w:szCs w:val="32"/>
        </w:rPr>
        <w:t>”。发现的主要问题及原因：</w:t>
      </w:r>
      <w:r>
        <w:rPr>
          <w:rFonts w:hint="eastAsia" w:ascii="Times New Roman" w:hAnsi="Times New Roman" w:eastAsia="仿宋_GB2312" w:cs="Times New Roman"/>
          <w:kern w:val="0"/>
          <w:sz w:val="32"/>
          <w:szCs w:val="32"/>
          <w:lang w:eastAsia="zh-CN"/>
        </w:rPr>
        <w:t>我所检验大多设备已经老旧，急需更新检验设备</w:t>
      </w:r>
      <w:r>
        <w:rPr>
          <w:rFonts w:ascii="Times New Roman" w:hAnsi="Times New Roman" w:eastAsia="仿宋_GB2312" w:cs="Times New Roman"/>
          <w:kern w:val="0"/>
          <w:sz w:val="32"/>
          <w:szCs w:val="32"/>
        </w:rPr>
        <w:t>。下一步改进措施：</w:t>
      </w:r>
      <w:r>
        <w:rPr>
          <w:rFonts w:hint="eastAsia" w:ascii="Times New Roman" w:hAnsi="Times New Roman" w:eastAsia="仿宋_GB2312" w:cs="Times New Roman"/>
          <w:kern w:val="0"/>
          <w:sz w:val="32"/>
          <w:szCs w:val="32"/>
          <w:lang w:eastAsia="zh-CN"/>
        </w:rPr>
        <w:t>多争取省级专项经费，用于设备更新，提高检验效率</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C3550B6">
      <w:pPr>
        <w:pStyle w:val="14"/>
        <w:overflowPunct w:val="0"/>
        <w:autoSpaceDE/>
        <w:autoSpaceDN/>
        <w:spacing w:line="600" w:lineRule="exact"/>
        <w:ind w:firstLine="643"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68B61676">
      <w:pPr>
        <w:pStyle w:val="14"/>
        <w:overflowPunct w:val="0"/>
        <w:autoSpaceDE/>
        <w:autoSpaceDN/>
        <w:spacing w:line="600" w:lineRule="exact"/>
        <w:ind w:firstLine="640" w:firstLineChars="200"/>
        <w:jc w:val="both"/>
        <w:rPr>
          <w:rFonts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继续保持合理的控制理念使用专项资金，增收节支，努力提高资金使用效率，力争少花钱，多办事，进一步合理编制预算，严格执行预算，完善管理制度，加强内部管理。继续加大力度争取省药监局检验专项资金和市财政局的专项资金的支持，全面夯实检验基础。一是抓好检验质量管理工作，确保检品准确率100%。二是积极做好省级、市本级药品、化妆品检验工作，确保省、市下达的检验任务准确、及时完成。三是完成好检验机构实验室比对和能力验证任务。四是积极做好瑶药标准的起草工作，把瑶药的标准纳入《湖南省中药材标准》。五是积极做好化妆品检验扩项工作。</w:t>
      </w:r>
    </w:p>
    <w:p w14:paraId="0A793BE9">
      <w:pPr>
        <w:pStyle w:val="14"/>
        <w:overflowPunct w:val="0"/>
        <w:autoSpaceDE/>
        <w:autoSpaceDN/>
        <w:spacing w:line="600" w:lineRule="exact"/>
        <w:ind w:firstLine="560" w:firstLineChars="200"/>
        <w:jc w:val="both"/>
        <w:rPr>
          <w:rFonts w:hint="eastAsia" w:ascii="宋体" w:hAnsi="宋体" w:eastAsia="宋体" w:cs="宋体"/>
          <w:b w:val="0"/>
          <w:bCs w:val="0"/>
          <w:sz w:val="28"/>
          <w:szCs w:val="28"/>
          <w:lang w:eastAsia="zh-CN"/>
        </w:rPr>
      </w:pPr>
    </w:p>
    <w:p w14:paraId="469A12AE">
      <w:pPr>
        <w:pStyle w:val="14"/>
        <w:jc w:val="both"/>
        <w:rPr>
          <w:rFonts w:ascii="Times New Roman" w:hAnsi="Times New Roman" w:cs="Times New Roman"/>
          <w:sz w:val="72"/>
          <w:szCs w:val="72"/>
        </w:rPr>
      </w:pPr>
      <w:r>
        <w:rPr>
          <w:rFonts w:ascii="Times New Roman" w:hAnsi="Times New Roman" w:cs="Times New Roman"/>
          <w:sz w:val="72"/>
          <w:szCs w:val="72"/>
        </w:rPr>
        <w:br w:type="column"/>
      </w:r>
    </w:p>
    <w:p w14:paraId="2AFB4073">
      <w:pPr>
        <w:pStyle w:val="14"/>
        <w:jc w:val="both"/>
        <w:rPr>
          <w:rFonts w:ascii="Times New Roman" w:hAnsi="Times New Roman" w:cs="Times New Roman"/>
          <w:sz w:val="72"/>
          <w:szCs w:val="72"/>
        </w:rPr>
      </w:pPr>
    </w:p>
    <w:p w14:paraId="66C57AB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3B76F65">
      <w:pPr>
        <w:widowControl/>
        <w:jc w:val="left"/>
        <w:rPr>
          <w:rFonts w:ascii="Times New Roman" w:hAnsi="Times New Roman" w:cs="Times New Roman"/>
          <w:color w:val="000000"/>
          <w:kern w:val="0"/>
          <w:sz w:val="32"/>
          <w:szCs w:val="32"/>
        </w:rPr>
      </w:pPr>
    </w:p>
    <w:p w14:paraId="2FD81FF7">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textAlignment w:val="auto"/>
        <w:rPr>
          <w:rFonts w:hint="eastAsia" w:ascii="仿宋_GB2312" w:hAnsi="仿宋_GB2312" w:eastAsia="仿宋_GB2312" w:cs="仿宋_GB2312"/>
          <w:snapToGrid w:val="0"/>
          <w:color w:val="000000"/>
          <w:kern w:val="0"/>
          <w:sz w:val="30"/>
          <w:szCs w:val="30"/>
        </w:rPr>
      </w:pPr>
      <w:r>
        <w:rPr>
          <w:rFonts w:hint="eastAsia" w:ascii="楷体_GB2312" w:hAnsi="楷体_GB2312" w:eastAsia="楷体_GB2312" w:cs="楷体_GB2312"/>
          <w:b/>
          <w:snapToGrid w:val="0"/>
          <w:color w:val="000000"/>
          <w:kern w:val="0"/>
          <w:sz w:val="30"/>
          <w:szCs w:val="30"/>
        </w:rPr>
        <w:t>1.一般公共预算。</w:t>
      </w:r>
      <w:r>
        <w:rPr>
          <w:rFonts w:hint="eastAsia" w:ascii="仿宋_GB2312" w:hAnsi="仿宋_GB2312" w:eastAsia="仿宋_GB2312" w:cs="仿宋_GB2312"/>
          <w:snapToGrid w:val="0"/>
          <w:color w:val="000000"/>
          <w:kern w:val="0"/>
          <w:sz w:val="30"/>
          <w:szCs w:val="30"/>
        </w:rPr>
        <w:t>对以税收为主体的财政收入，安排用于保障和改善民生、推动经济社会发展、维护国家安全、维持国家机构正常运转等方面的收支预算。</w:t>
      </w:r>
    </w:p>
    <w:p w14:paraId="28AC881E">
      <w:pPr>
        <w:pageBreakBefore w:val="0"/>
        <w:widowControl/>
        <w:kinsoku/>
        <w:wordWrap/>
        <w:overflowPunct/>
        <w:topLinePunct w:val="0"/>
        <w:autoSpaceDE/>
        <w:autoSpaceDN/>
        <w:bidi w:val="0"/>
        <w:spacing w:line="560" w:lineRule="exact"/>
        <w:ind w:firstLine="660"/>
        <w:textAlignment w:val="auto"/>
        <w:rPr>
          <w:rFonts w:hint="eastAsia" w:ascii="仿宋_GB2312" w:hAnsi="仿宋_GB2312" w:eastAsia="仿宋_GB2312" w:cs="仿宋_GB2312"/>
          <w:snapToGrid w:val="0"/>
          <w:color w:val="000000"/>
          <w:kern w:val="0"/>
          <w:sz w:val="30"/>
          <w:szCs w:val="30"/>
        </w:rPr>
      </w:pPr>
      <w:r>
        <w:rPr>
          <w:rFonts w:hint="eastAsia" w:ascii="楷体_GB2312" w:hAnsi="楷体_GB2312" w:eastAsia="楷体_GB2312" w:cs="楷体_GB2312"/>
          <w:b/>
          <w:snapToGrid w:val="0"/>
          <w:color w:val="000000"/>
          <w:kern w:val="0"/>
          <w:sz w:val="30"/>
          <w:szCs w:val="30"/>
        </w:rPr>
        <w:t>2.政府性基金预算。</w:t>
      </w:r>
      <w:r>
        <w:rPr>
          <w:rFonts w:hint="eastAsia" w:ascii="仿宋_GB2312" w:hAnsi="仿宋_GB2312" w:eastAsia="仿宋_GB2312" w:cs="仿宋_GB2312"/>
          <w:snapToGrid w:val="0"/>
          <w:color w:val="000000"/>
          <w:kern w:val="0"/>
          <w:sz w:val="30"/>
          <w:szCs w:val="30"/>
        </w:rPr>
        <w:t>对依照法律、行政法规的规定在一定期限内向特定对象征收、收取或者以其他方式筹集的资金，专项用于特定公共事业发展的收支预算。</w:t>
      </w:r>
    </w:p>
    <w:p w14:paraId="00000D5D">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textAlignment w:val="auto"/>
        <w:rPr>
          <w:rFonts w:hint="eastAsia" w:ascii="仿宋_GB2312" w:hAnsi="仿宋_GB2312" w:eastAsia="仿宋_GB2312" w:cs="仿宋_GB2312"/>
          <w:snapToGrid w:val="0"/>
          <w:color w:val="000000"/>
          <w:kern w:val="0"/>
          <w:sz w:val="30"/>
          <w:szCs w:val="30"/>
        </w:rPr>
      </w:pPr>
      <w:r>
        <w:rPr>
          <w:rFonts w:hint="eastAsia" w:ascii="楷体_GB2312" w:hAnsi="楷体_GB2312" w:eastAsia="楷体_GB2312" w:cs="楷体_GB2312"/>
          <w:b/>
          <w:snapToGrid w:val="0"/>
          <w:color w:val="000000"/>
          <w:kern w:val="0"/>
          <w:sz w:val="30"/>
          <w:szCs w:val="30"/>
          <w:lang w:val="en-US" w:eastAsia="zh-CN"/>
        </w:rPr>
        <w:t>3</w:t>
      </w:r>
      <w:r>
        <w:rPr>
          <w:rFonts w:hint="eastAsia" w:ascii="楷体_GB2312" w:hAnsi="楷体_GB2312" w:eastAsia="楷体_GB2312" w:cs="楷体_GB2312"/>
          <w:b/>
          <w:snapToGrid w:val="0"/>
          <w:color w:val="000000"/>
          <w:kern w:val="0"/>
          <w:sz w:val="30"/>
          <w:szCs w:val="30"/>
        </w:rPr>
        <w:t>.非税收入。</w:t>
      </w:r>
      <w:r>
        <w:rPr>
          <w:rFonts w:hint="eastAsia" w:ascii="仿宋_GB2312" w:hAnsi="仿宋_GB2312" w:eastAsia="仿宋_GB2312" w:cs="仿宋_GB2312"/>
          <w:snapToGrid w:val="0"/>
          <w:color w:val="000000"/>
          <w:kern w:val="0"/>
          <w:sz w:val="30"/>
          <w:szCs w:val="30"/>
        </w:rPr>
        <w:t>指各级国家机关、事业单位、社会团体以及其他组织，依据有关法律、行政法规，履行管理职能、行使国有资产或者国有资源所有权、提供特定服务或者以政府名义征收、收取、提取、罚没、追缴、募集的税收以外的财政性资金。</w:t>
      </w:r>
    </w:p>
    <w:p w14:paraId="302FB97D">
      <w:pPr>
        <w:pageBreakBefore w:val="0"/>
        <w:widowControl/>
        <w:kinsoku/>
        <w:wordWrap/>
        <w:overflowPunct/>
        <w:topLinePunct w:val="0"/>
        <w:autoSpaceDE/>
        <w:autoSpaceDN/>
        <w:bidi w:val="0"/>
        <w:spacing w:line="560" w:lineRule="exact"/>
        <w:ind w:firstLine="660"/>
        <w:textAlignment w:val="auto"/>
        <w:rPr>
          <w:rFonts w:eastAsia="仿宋_GB2312"/>
          <w:sz w:val="32"/>
          <w:szCs w:val="32"/>
        </w:rPr>
      </w:pPr>
      <w:r>
        <w:rPr>
          <w:rFonts w:hint="eastAsia" w:ascii="楷体_GB2312" w:hAnsi="楷体_GB2312" w:eastAsia="楷体_GB2312" w:cs="楷体_GB2312"/>
          <w:b/>
          <w:snapToGrid w:val="0"/>
          <w:color w:val="000000"/>
          <w:kern w:val="0"/>
          <w:sz w:val="30"/>
          <w:szCs w:val="30"/>
          <w:lang w:val="en-US" w:eastAsia="zh-CN"/>
        </w:rPr>
        <w:t>4.</w:t>
      </w:r>
      <w:r>
        <w:rPr>
          <w:rFonts w:hint="eastAsia" w:ascii="楷体_GB2312" w:hAnsi="楷体_GB2312" w:eastAsia="楷体_GB2312" w:cs="楷体_GB2312"/>
          <w:b/>
          <w:snapToGrid w:val="0"/>
          <w:color w:val="000000"/>
          <w:kern w:val="0"/>
          <w:sz w:val="30"/>
          <w:szCs w:val="30"/>
        </w:rPr>
        <w:t>机关运行经费：</w:t>
      </w:r>
      <w:r>
        <w:rPr>
          <w:rFonts w:eastAsia="仿宋_GB2312"/>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7951F77">
      <w:pPr>
        <w:pageBreakBefore w:val="0"/>
        <w:widowControl/>
        <w:kinsoku/>
        <w:wordWrap/>
        <w:overflowPunct/>
        <w:topLinePunct w:val="0"/>
        <w:autoSpaceDE/>
        <w:autoSpaceDN/>
        <w:bidi w:val="0"/>
        <w:spacing w:line="560" w:lineRule="exact"/>
        <w:ind w:firstLine="660"/>
        <w:textAlignment w:val="auto"/>
        <w:rPr>
          <w:rFonts w:eastAsia="仿宋_GB2312"/>
          <w:sz w:val="32"/>
          <w:szCs w:val="32"/>
        </w:rPr>
      </w:pPr>
      <w:r>
        <w:rPr>
          <w:rFonts w:hint="eastAsia" w:ascii="楷体_GB2312" w:hAnsi="楷体_GB2312" w:eastAsia="楷体_GB2312" w:cs="楷体_GB2312"/>
          <w:b/>
          <w:snapToGrid w:val="0"/>
          <w:color w:val="000000"/>
          <w:kern w:val="0"/>
          <w:sz w:val="30"/>
          <w:szCs w:val="30"/>
          <w:lang w:val="en-US" w:eastAsia="zh-CN"/>
        </w:rPr>
        <w:t>5.“三公”经费：</w:t>
      </w:r>
      <w:r>
        <w:rPr>
          <w:rFonts w:eastAsia="仿宋_GB2312"/>
          <w:sz w:val="32"/>
          <w:szCs w:val="32"/>
        </w:rPr>
        <w:t>纳入</w:t>
      </w:r>
      <w:r>
        <w:rPr>
          <w:rFonts w:hint="eastAsia" w:eastAsia="仿宋_GB2312"/>
          <w:sz w:val="32"/>
          <w:szCs w:val="32"/>
          <w:lang w:eastAsia="zh-CN"/>
        </w:rPr>
        <w:t>市</w:t>
      </w:r>
      <w:r>
        <w:rPr>
          <w:rFonts w:eastAsia="仿宋_GB2312"/>
          <w:sz w:val="32"/>
          <w:szCs w:val="32"/>
        </w:rPr>
        <w:t>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30BA941">
      <w:pPr>
        <w:pageBreakBefore w:val="0"/>
        <w:widowControl/>
        <w:kinsoku/>
        <w:wordWrap/>
        <w:overflowPunct/>
        <w:topLinePunct w:val="0"/>
        <w:autoSpaceDE/>
        <w:autoSpaceDN/>
        <w:bidi w:val="0"/>
        <w:spacing w:line="560" w:lineRule="exact"/>
        <w:ind w:firstLine="660"/>
        <w:textAlignment w:val="auto"/>
        <w:rPr>
          <w:rFonts w:hint="default" w:eastAsia="仿宋_GB2312"/>
          <w:color w:val="FF0000"/>
          <w:sz w:val="32"/>
          <w:szCs w:val="32"/>
          <w:lang w:val="en-US" w:eastAsia="zh-CN"/>
        </w:rPr>
      </w:pPr>
    </w:p>
    <w:p w14:paraId="76AEBF7B">
      <w:pPr>
        <w:pStyle w:val="14"/>
        <w:jc w:val="center"/>
        <w:rPr>
          <w:rFonts w:ascii="Times New Roman" w:hAnsi="Times New Roman" w:cs="Times New Roman"/>
          <w:sz w:val="72"/>
          <w:szCs w:val="72"/>
        </w:rPr>
      </w:pPr>
    </w:p>
    <w:p w14:paraId="5D1B03D7">
      <w:pPr>
        <w:pStyle w:val="14"/>
        <w:jc w:val="center"/>
        <w:rPr>
          <w:rFonts w:hint="eastAsia" w:ascii="Times New Roman" w:hAnsi="Times New Roman" w:eastAsia="黑体" w:cs="Times New Roman"/>
          <w:sz w:val="72"/>
          <w:szCs w:val="72"/>
          <w:lang w:eastAsia="zh-CN"/>
        </w:rPr>
      </w:pPr>
    </w:p>
    <w:p w14:paraId="13548F0D">
      <w:pPr>
        <w:pStyle w:val="14"/>
        <w:jc w:val="center"/>
        <w:rPr>
          <w:rFonts w:ascii="Times New Roman" w:hAnsi="Times New Roman" w:cs="Times New Roman"/>
          <w:sz w:val="72"/>
          <w:szCs w:val="72"/>
        </w:rPr>
      </w:pPr>
    </w:p>
    <w:p w14:paraId="3B707CE7">
      <w:pPr>
        <w:pStyle w:val="14"/>
        <w:jc w:val="center"/>
        <w:rPr>
          <w:rFonts w:ascii="Times New Roman" w:hAnsi="Times New Roman" w:cs="Times New Roman"/>
          <w:sz w:val="72"/>
          <w:szCs w:val="72"/>
        </w:rPr>
      </w:pPr>
    </w:p>
    <w:p w14:paraId="7084428A">
      <w:pPr>
        <w:pStyle w:val="14"/>
        <w:jc w:val="center"/>
        <w:rPr>
          <w:rFonts w:ascii="Times New Roman" w:hAnsi="Times New Roman" w:cs="Times New Roman"/>
          <w:sz w:val="72"/>
          <w:szCs w:val="72"/>
        </w:rPr>
      </w:pPr>
    </w:p>
    <w:p w14:paraId="4C0079E4">
      <w:pPr>
        <w:pStyle w:val="14"/>
        <w:jc w:val="center"/>
        <w:rPr>
          <w:rFonts w:ascii="Times New Roman" w:hAnsi="Times New Roman" w:cs="Times New Roman"/>
          <w:sz w:val="72"/>
          <w:szCs w:val="72"/>
        </w:rPr>
      </w:pPr>
    </w:p>
    <w:p w14:paraId="72C29D40">
      <w:pPr>
        <w:pStyle w:val="14"/>
        <w:jc w:val="center"/>
        <w:rPr>
          <w:rFonts w:ascii="Times New Roman" w:hAnsi="Times New Roman" w:cs="Times New Roman"/>
          <w:sz w:val="72"/>
          <w:szCs w:val="72"/>
        </w:rPr>
      </w:pPr>
    </w:p>
    <w:p w14:paraId="2B1A5604">
      <w:pPr>
        <w:pStyle w:val="14"/>
        <w:jc w:val="center"/>
        <w:rPr>
          <w:rFonts w:ascii="Times New Roman" w:hAnsi="Times New Roman" w:cs="Times New Roman"/>
          <w:sz w:val="72"/>
          <w:szCs w:val="72"/>
        </w:rPr>
      </w:pPr>
    </w:p>
    <w:p w14:paraId="58667E88">
      <w:pPr>
        <w:pStyle w:val="14"/>
        <w:jc w:val="both"/>
        <w:rPr>
          <w:rFonts w:ascii="Times New Roman" w:hAnsi="Times New Roman" w:cs="Times New Roman"/>
          <w:sz w:val="72"/>
          <w:szCs w:val="72"/>
        </w:rPr>
      </w:pPr>
    </w:p>
    <w:p w14:paraId="66030F34">
      <w:pPr>
        <w:pStyle w:val="14"/>
        <w:jc w:val="both"/>
        <w:rPr>
          <w:rFonts w:ascii="Times New Roman" w:hAnsi="Times New Roman" w:cs="Times New Roman"/>
          <w:sz w:val="72"/>
          <w:szCs w:val="72"/>
        </w:rPr>
      </w:pPr>
    </w:p>
    <w:p w14:paraId="29AA3DE6">
      <w:pPr>
        <w:pStyle w:val="14"/>
        <w:jc w:val="both"/>
        <w:rPr>
          <w:rFonts w:ascii="Times New Roman" w:hAnsi="Times New Roman" w:cs="Times New Roman"/>
          <w:sz w:val="72"/>
          <w:szCs w:val="72"/>
        </w:rPr>
      </w:pPr>
    </w:p>
    <w:p w14:paraId="473B68E0">
      <w:pPr>
        <w:pStyle w:val="14"/>
        <w:jc w:val="both"/>
        <w:rPr>
          <w:rFonts w:ascii="Times New Roman" w:hAnsi="Times New Roman" w:cs="Times New Roman"/>
          <w:sz w:val="72"/>
          <w:szCs w:val="72"/>
        </w:rPr>
      </w:pPr>
    </w:p>
    <w:p w14:paraId="322B26DC">
      <w:pPr>
        <w:pStyle w:val="14"/>
        <w:jc w:val="both"/>
        <w:rPr>
          <w:rFonts w:ascii="Times New Roman" w:hAnsi="Times New Roman" w:cs="Times New Roman"/>
          <w:sz w:val="72"/>
          <w:szCs w:val="72"/>
        </w:rPr>
      </w:pPr>
    </w:p>
    <w:p w14:paraId="47E66B0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2127BA4">
      <w:pPr>
        <w:rPr>
          <w:rFonts w:ascii="Times New Roman" w:hAnsi="Times New Roman" w:cs="Times New Roman"/>
          <w:sz w:val="72"/>
          <w:szCs w:val="72"/>
        </w:rPr>
      </w:pPr>
    </w:p>
    <w:p w14:paraId="6BF79CD1">
      <w:pPr>
        <w:pStyle w:val="14"/>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永州市药品检验所</w:t>
      </w:r>
      <w:r>
        <w:rPr>
          <w:rFonts w:ascii="Times New Roman" w:hAnsi="Times New Roman" w:eastAsia="仿宋_GB2312" w:cs="Times New Roman"/>
          <w:sz w:val="32"/>
          <w:szCs w:val="32"/>
        </w:rPr>
        <w:t>整体支出绩效自评报告。</w:t>
      </w:r>
    </w:p>
    <w:p w14:paraId="54D30608">
      <w:pPr>
        <w:pStyle w:val="14"/>
        <w:spacing w:line="600" w:lineRule="exact"/>
        <w:ind w:firstLine="640" w:firstLineChars="200"/>
        <w:rPr>
          <w:rFonts w:ascii="Times New Roman" w:hAnsi="Times New Roman" w:eastAsia="仿宋_GB2312" w:cs="Times New Roman"/>
          <w:sz w:val="32"/>
          <w:szCs w:val="32"/>
        </w:rPr>
      </w:pPr>
    </w:p>
    <w:p w14:paraId="7954AF2B">
      <w:pPr>
        <w:pStyle w:val="14"/>
        <w:jc w:val="center"/>
        <w:rPr>
          <w:rFonts w:ascii="Times New Roman" w:hAnsi="Times New Roman" w:cs="Times New Roman"/>
          <w:sz w:val="72"/>
          <w:szCs w:val="72"/>
        </w:rPr>
      </w:pPr>
    </w:p>
    <w:p w14:paraId="106E9FA5">
      <w:pPr>
        <w:pStyle w:val="14"/>
        <w:jc w:val="center"/>
        <w:rPr>
          <w:rFonts w:ascii="Times New Roman" w:hAnsi="Times New Roman" w:cs="Times New Roman"/>
          <w:sz w:val="72"/>
          <w:szCs w:val="72"/>
        </w:rPr>
      </w:pPr>
    </w:p>
    <w:p w14:paraId="0CEA322D">
      <w:pPr>
        <w:rPr>
          <w:rFonts w:ascii="Times New Roman" w:hAnsi="Times New Roman" w:cs="Times New Roman"/>
          <w:color w:val="000000"/>
          <w:kern w:val="0"/>
          <w:sz w:val="32"/>
          <w:szCs w:val="32"/>
        </w:rPr>
      </w:pPr>
      <w:r>
        <w:rPr>
          <w:rFonts w:ascii="Times New Roman" w:hAnsi="Times New Roman" w:cs="Times New Roman"/>
          <w:color w:val="000000"/>
          <w:kern w:val="0"/>
          <w:sz w:val="32"/>
          <w:szCs w:val="32"/>
        </w:rPr>
        <w:br w:type="page"/>
      </w:r>
    </w:p>
    <w:p w14:paraId="4FA6E47E">
      <w:pPr>
        <w:spacing w:before="157" w:after="0" w:afterLines="0" w:line="219" w:lineRule="auto"/>
        <w:outlineLvl w:val="0"/>
        <w:rPr>
          <w:rFonts w:hint="default"/>
          <w:lang w:val="en-US" w:eastAsia="zh-CN"/>
        </w:rPr>
      </w:pPr>
    </w:p>
    <w:p w14:paraId="0A62F4E6">
      <w:pPr>
        <w:spacing w:line="253" w:lineRule="auto"/>
        <w:rPr>
          <w:rFonts w:ascii="Times New Roman" w:hAnsi="Times New Roman" w:eastAsia="仿宋" w:cs="仿宋"/>
          <w:sz w:val="20"/>
        </w:rPr>
      </w:pPr>
    </w:p>
    <w:p w14:paraId="46446973">
      <w:pPr>
        <w:jc w:val="center"/>
        <w:rPr>
          <w:rFonts w:ascii="Times New Roman" w:hAnsi="Times New Roman" w:eastAsia="方正小标宋_GBK"/>
          <w:sz w:val="52"/>
          <w:szCs w:val="52"/>
        </w:rPr>
      </w:pPr>
      <w:r>
        <w:rPr>
          <w:rFonts w:hint="eastAsia" w:ascii="Times New Roman" w:hAnsi="Times New Roman" w:eastAsia="方正小标宋_GBK"/>
          <w:sz w:val="52"/>
          <w:szCs w:val="52"/>
          <w:lang w:val="en-US" w:eastAsia="zh-CN"/>
        </w:rPr>
        <w:t>2025年</w:t>
      </w:r>
      <w:r>
        <w:rPr>
          <w:rFonts w:hint="eastAsia" w:ascii="Times New Roman" w:hAnsi="Times New Roman" w:eastAsia="方正小标宋_GBK"/>
          <w:sz w:val="52"/>
          <w:szCs w:val="52"/>
        </w:rPr>
        <w:t>度</w:t>
      </w:r>
      <w:r>
        <w:rPr>
          <w:rFonts w:hint="eastAsia" w:ascii="Times New Roman" w:hAnsi="Times New Roman" w:eastAsia="方正小标宋_GBK"/>
          <w:sz w:val="52"/>
          <w:szCs w:val="52"/>
          <w:lang w:eastAsia="zh-CN"/>
        </w:rPr>
        <w:t>永州市药品检验所</w:t>
      </w:r>
      <w:r>
        <w:rPr>
          <w:rFonts w:hint="eastAsia" w:ascii="Times New Roman" w:hAnsi="Times New Roman" w:eastAsia="方正小标宋_GBK"/>
          <w:sz w:val="52"/>
          <w:szCs w:val="52"/>
        </w:rPr>
        <w:t>整体支出</w:t>
      </w:r>
    </w:p>
    <w:p w14:paraId="3F919C1B">
      <w:pPr>
        <w:jc w:val="center"/>
        <w:rPr>
          <w:rFonts w:ascii="Times New Roman" w:hAnsi="Times New Roman" w:eastAsia="方正小标宋_GBK"/>
          <w:sz w:val="52"/>
          <w:szCs w:val="52"/>
        </w:rPr>
      </w:pPr>
      <w:r>
        <w:rPr>
          <w:rFonts w:hint="eastAsia" w:ascii="Times New Roman" w:hAnsi="Times New Roman" w:eastAsia="方正小标宋_GBK"/>
          <w:sz w:val="52"/>
          <w:szCs w:val="52"/>
        </w:rPr>
        <w:t>绩效自评报告</w:t>
      </w:r>
    </w:p>
    <w:p w14:paraId="70B09DE2">
      <w:pPr>
        <w:spacing w:line="243" w:lineRule="auto"/>
        <w:rPr>
          <w:rFonts w:ascii="Times New Roman" w:hAnsi="Times New Roman" w:eastAsia="仿宋" w:cs="仿宋"/>
          <w:sz w:val="20"/>
        </w:rPr>
      </w:pPr>
    </w:p>
    <w:p w14:paraId="2CEB59DD">
      <w:pPr>
        <w:spacing w:line="243" w:lineRule="auto"/>
        <w:rPr>
          <w:rFonts w:ascii="Times New Roman" w:hAnsi="Times New Roman" w:eastAsia="仿宋" w:cs="仿宋"/>
          <w:sz w:val="20"/>
        </w:rPr>
      </w:pPr>
    </w:p>
    <w:p w14:paraId="16FF4467">
      <w:pPr>
        <w:spacing w:line="243" w:lineRule="auto"/>
        <w:rPr>
          <w:rFonts w:ascii="Times New Roman" w:hAnsi="Times New Roman" w:eastAsia="仿宋" w:cs="仿宋"/>
          <w:sz w:val="20"/>
        </w:rPr>
      </w:pPr>
    </w:p>
    <w:p w14:paraId="625BD6C0">
      <w:pPr>
        <w:spacing w:line="243" w:lineRule="auto"/>
        <w:rPr>
          <w:rFonts w:ascii="Times New Roman" w:hAnsi="Times New Roman" w:eastAsia="仿宋" w:cs="仿宋"/>
          <w:sz w:val="20"/>
        </w:rPr>
      </w:pPr>
    </w:p>
    <w:p w14:paraId="1D27723E">
      <w:pPr>
        <w:spacing w:line="243" w:lineRule="auto"/>
        <w:rPr>
          <w:rFonts w:ascii="Times New Roman" w:hAnsi="Times New Roman" w:eastAsia="仿宋" w:cs="仿宋"/>
          <w:sz w:val="20"/>
        </w:rPr>
      </w:pPr>
    </w:p>
    <w:p w14:paraId="13F6830E">
      <w:pPr>
        <w:spacing w:line="243" w:lineRule="auto"/>
        <w:rPr>
          <w:rFonts w:ascii="Times New Roman" w:hAnsi="Times New Roman" w:eastAsia="仿宋" w:cs="仿宋"/>
          <w:sz w:val="20"/>
        </w:rPr>
      </w:pPr>
    </w:p>
    <w:p w14:paraId="402CE258">
      <w:pPr>
        <w:spacing w:line="243" w:lineRule="auto"/>
        <w:rPr>
          <w:rFonts w:ascii="Times New Roman" w:hAnsi="Times New Roman" w:eastAsia="仿宋" w:cs="仿宋"/>
          <w:sz w:val="20"/>
        </w:rPr>
      </w:pPr>
    </w:p>
    <w:p w14:paraId="4763A4CA">
      <w:pPr>
        <w:spacing w:line="243" w:lineRule="auto"/>
        <w:rPr>
          <w:rFonts w:ascii="Times New Roman" w:hAnsi="Times New Roman" w:eastAsia="仿宋" w:cs="仿宋"/>
          <w:sz w:val="20"/>
        </w:rPr>
      </w:pPr>
    </w:p>
    <w:p w14:paraId="2FB225C2">
      <w:pPr>
        <w:spacing w:line="243" w:lineRule="auto"/>
        <w:rPr>
          <w:rFonts w:ascii="Times New Roman" w:hAnsi="Times New Roman" w:eastAsia="仿宋" w:cs="仿宋"/>
          <w:sz w:val="20"/>
        </w:rPr>
      </w:pPr>
    </w:p>
    <w:p w14:paraId="05AC8F63">
      <w:pPr>
        <w:spacing w:line="243" w:lineRule="auto"/>
        <w:rPr>
          <w:rFonts w:ascii="Times New Roman" w:hAnsi="Times New Roman" w:eastAsia="仿宋" w:cs="仿宋"/>
          <w:sz w:val="20"/>
        </w:rPr>
      </w:pPr>
    </w:p>
    <w:p w14:paraId="5B4CDD3A">
      <w:pPr>
        <w:spacing w:line="243" w:lineRule="auto"/>
        <w:rPr>
          <w:rFonts w:ascii="Times New Roman" w:hAnsi="Times New Roman" w:eastAsia="仿宋" w:cs="仿宋"/>
          <w:sz w:val="20"/>
        </w:rPr>
      </w:pPr>
    </w:p>
    <w:p w14:paraId="115BC7C0">
      <w:pPr>
        <w:spacing w:line="243" w:lineRule="auto"/>
        <w:rPr>
          <w:rFonts w:ascii="Times New Roman" w:hAnsi="Times New Roman" w:eastAsia="仿宋" w:cs="仿宋"/>
          <w:sz w:val="20"/>
        </w:rPr>
      </w:pPr>
    </w:p>
    <w:p w14:paraId="039C2385">
      <w:pPr>
        <w:spacing w:line="243" w:lineRule="auto"/>
        <w:rPr>
          <w:rFonts w:ascii="Times New Roman" w:hAnsi="Times New Roman" w:eastAsia="仿宋" w:cs="仿宋"/>
          <w:sz w:val="20"/>
        </w:rPr>
      </w:pPr>
    </w:p>
    <w:p w14:paraId="4DA22359">
      <w:pPr>
        <w:spacing w:line="243" w:lineRule="auto"/>
        <w:rPr>
          <w:rFonts w:ascii="Times New Roman" w:hAnsi="Times New Roman" w:eastAsia="仿宋" w:cs="仿宋"/>
          <w:sz w:val="20"/>
        </w:rPr>
      </w:pPr>
    </w:p>
    <w:p w14:paraId="56BE0E72">
      <w:pPr>
        <w:spacing w:line="243" w:lineRule="auto"/>
        <w:rPr>
          <w:rFonts w:ascii="Times New Roman" w:hAnsi="Times New Roman" w:eastAsia="仿宋" w:cs="仿宋"/>
          <w:sz w:val="20"/>
        </w:rPr>
      </w:pPr>
    </w:p>
    <w:p w14:paraId="66B5BAE4">
      <w:pPr>
        <w:spacing w:line="243" w:lineRule="auto"/>
        <w:rPr>
          <w:rFonts w:ascii="Times New Roman" w:hAnsi="Times New Roman" w:eastAsia="仿宋" w:cs="仿宋"/>
          <w:sz w:val="20"/>
        </w:rPr>
      </w:pPr>
    </w:p>
    <w:p w14:paraId="0033D653">
      <w:pPr>
        <w:spacing w:line="243" w:lineRule="auto"/>
        <w:rPr>
          <w:rFonts w:ascii="Times New Roman" w:hAnsi="Times New Roman" w:eastAsia="仿宋" w:cs="仿宋"/>
          <w:sz w:val="20"/>
        </w:rPr>
      </w:pPr>
    </w:p>
    <w:p w14:paraId="3EE3D2AE">
      <w:pPr>
        <w:spacing w:line="243" w:lineRule="auto"/>
        <w:rPr>
          <w:rFonts w:ascii="Times New Roman" w:hAnsi="Times New Roman" w:eastAsia="仿宋" w:cs="仿宋"/>
          <w:sz w:val="20"/>
        </w:rPr>
      </w:pPr>
    </w:p>
    <w:p w14:paraId="54B9B597">
      <w:pPr>
        <w:spacing w:line="243" w:lineRule="auto"/>
        <w:rPr>
          <w:rFonts w:ascii="Times New Roman" w:hAnsi="Times New Roman" w:eastAsia="仿宋" w:cs="仿宋"/>
          <w:sz w:val="20"/>
        </w:rPr>
      </w:pPr>
    </w:p>
    <w:p w14:paraId="252AF48E">
      <w:pPr>
        <w:spacing w:line="243" w:lineRule="auto"/>
        <w:rPr>
          <w:rFonts w:ascii="Times New Roman" w:hAnsi="Times New Roman" w:eastAsia="仿宋" w:cs="仿宋"/>
          <w:sz w:val="20"/>
        </w:rPr>
      </w:pPr>
    </w:p>
    <w:p w14:paraId="21AD612D">
      <w:pPr>
        <w:spacing w:line="243" w:lineRule="auto"/>
        <w:rPr>
          <w:rFonts w:ascii="Times New Roman" w:hAnsi="Times New Roman" w:eastAsia="仿宋" w:cs="仿宋"/>
          <w:sz w:val="20"/>
        </w:rPr>
      </w:pPr>
    </w:p>
    <w:p w14:paraId="35AD2D90">
      <w:pPr>
        <w:spacing w:line="243" w:lineRule="auto"/>
        <w:rPr>
          <w:rFonts w:ascii="Times New Roman" w:hAnsi="Times New Roman" w:eastAsia="仿宋" w:cs="仿宋"/>
          <w:sz w:val="20"/>
        </w:rPr>
      </w:pPr>
    </w:p>
    <w:p w14:paraId="1B0E9B4E">
      <w:pPr>
        <w:spacing w:line="243" w:lineRule="auto"/>
        <w:rPr>
          <w:rFonts w:ascii="Times New Roman" w:hAnsi="Times New Roman" w:eastAsia="仿宋" w:cs="仿宋"/>
          <w:sz w:val="20"/>
        </w:rPr>
      </w:pPr>
    </w:p>
    <w:p w14:paraId="1DD8F1B6">
      <w:pPr>
        <w:spacing w:line="243" w:lineRule="auto"/>
        <w:rPr>
          <w:rFonts w:ascii="Times New Roman" w:hAnsi="Times New Roman" w:eastAsia="仿宋" w:cs="仿宋"/>
          <w:sz w:val="20"/>
        </w:rPr>
      </w:pPr>
    </w:p>
    <w:p w14:paraId="14C55C61">
      <w:pPr>
        <w:spacing w:line="243" w:lineRule="auto"/>
        <w:rPr>
          <w:rFonts w:ascii="Times New Roman" w:hAnsi="Times New Roman" w:eastAsia="仿宋" w:cs="仿宋"/>
          <w:sz w:val="20"/>
        </w:rPr>
      </w:pPr>
    </w:p>
    <w:p w14:paraId="4206AA93">
      <w:pPr>
        <w:spacing w:line="243" w:lineRule="auto"/>
        <w:rPr>
          <w:rFonts w:ascii="Times New Roman" w:hAnsi="Times New Roman" w:eastAsia="仿宋" w:cs="仿宋"/>
          <w:sz w:val="20"/>
        </w:rPr>
      </w:pPr>
      <w:bookmarkStart w:id="6" w:name="_GoBack"/>
      <w:bookmarkEnd w:id="6"/>
    </w:p>
    <w:p w14:paraId="0B7E68A6">
      <w:pPr>
        <w:spacing w:line="243" w:lineRule="auto"/>
        <w:rPr>
          <w:rFonts w:ascii="Times New Roman" w:hAnsi="Times New Roman" w:eastAsia="仿宋" w:cs="仿宋"/>
          <w:sz w:val="20"/>
        </w:rPr>
      </w:pPr>
    </w:p>
    <w:p w14:paraId="776599C6">
      <w:pPr>
        <w:spacing w:line="243" w:lineRule="auto"/>
        <w:rPr>
          <w:rFonts w:ascii="Times New Roman" w:hAnsi="Times New Roman" w:eastAsia="仿宋" w:cs="仿宋"/>
          <w:sz w:val="20"/>
        </w:rPr>
      </w:pPr>
    </w:p>
    <w:p w14:paraId="61677364">
      <w:pPr>
        <w:spacing w:line="243" w:lineRule="auto"/>
        <w:rPr>
          <w:rFonts w:ascii="Times New Roman" w:hAnsi="Times New Roman" w:eastAsia="仿宋" w:cs="仿宋"/>
          <w:sz w:val="20"/>
        </w:rPr>
      </w:pPr>
    </w:p>
    <w:p w14:paraId="290D6284">
      <w:pPr>
        <w:spacing w:line="243" w:lineRule="auto"/>
        <w:rPr>
          <w:rFonts w:ascii="Times New Roman" w:hAnsi="Times New Roman" w:eastAsia="仿宋" w:cs="仿宋"/>
          <w:sz w:val="20"/>
        </w:rPr>
      </w:pPr>
    </w:p>
    <w:p w14:paraId="1E272049">
      <w:pPr>
        <w:spacing w:line="243" w:lineRule="auto"/>
        <w:rPr>
          <w:rFonts w:ascii="Times New Roman" w:hAnsi="Times New Roman" w:eastAsia="仿宋" w:cs="仿宋"/>
          <w:sz w:val="20"/>
        </w:rPr>
      </w:pPr>
    </w:p>
    <w:p w14:paraId="40545260">
      <w:pPr>
        <w:spacing w:line="243" w:lineRule="auto"/>
        <w:rPr>
          <w:rFonts w:ascii="Times New Roman" w:hAnsi="Times New Roman" w:eastAsia="仿宋" w:cs="仿宋"/>
          <w:sz w:val="20"/>
        </w:rPr>
      </w:pPr>
    </w:p>
    <w:p w14:paraId="73775B22">
      <w:pPr>
        <w:spacing w:line="244" w:lineRule="auto"/>
        <w:rPr>
          <w:rFonts w:ascii="Times New Roman" w:hAnsi="Times New Roman" w:eastAsia="仿宋" w:cs="仿宋"/>
          <w:sz w:val="20"/>
        </w:rPr>
      </w:pPr>
    </w:p>
    <w:p w14:paraId="1450B61E">
      <w:pPr>
        <w:spacing w:line="244" w:lineRule="auto"/>
        <w:rPr>
          <w:rFonts w:ascii="Times New Roman" w:hAnsi="Times New Roman" w:eastAsia="仿宋" w:cs="仿宋"/>
          <w:sz w:val="20"/>
        </w:rPr>
      </w:pPr>
    </w:p>
    <w:p w14:paraId="768209AB">
      <w:pPr>
        <w:spacing w:line="244" w:lineRule="auto"/>
        <w:rPr>
          <w:rFonts w:ascii="Times New Roman" w:hAnsi="Times New Roman" w:eastAsia="仿宋" w:cs="仿宋"/>
          <w:sz w:val="20"/>
        </w:rPr>
      </w:pPr>
    </w:p>
    <w:p w14:paraId="47979010">
      <w:pPr>
        <w:spacing w:line="244" w:lineRule="auto"/>
        <w:rPr>
          <w:rFonts w:ascii="Times New Roman" w:hAnsi="Times New Roman" w:eastAsia="仿宋" w:cs="仿宋"/>
          <w:sz w:val="20"/>
        </w:rPr>
      </w:pPr>
    </w:p>
    <w:p w14:paraId="564E9BA1">
      <w:pPr>
        <w:spacing w:before="117" w:line="221" w:lineRule="auto"/>
        <w:ind w:firstLine="1954"/>
        <w:rPr>
          <w:rFonts w:hint="eastAsia" w:ascii="Times New Roman" w:hAnsi="Times New Roman" w:eastAsia="仿宋_GB2312" w:cs="仿宋_GB2312"/>
          <w:sz w:val="32"/>
          <w:szCs w:val="32"/>
        </w:rPr>
      </w:pPr>
      <w:r>
        <w:rPr>
          <w:rFonts w:hint="eastAsia" w:ascii="Times New Roman" w:hAnsi="Times New Roman" w:eastAsia="仿宋_GB2312" w:cs="仿宋_GB2312"/>
          <w:spacing w:val="-17"/>
          <w:w w:val="98"/>
          <w:sz w:val="32"/>
          <w:szCs w:val="32"/>
        </w:rPr>
        <w:t>单位名称：</w:t>
      </w:r>
      <w:r>
        <w:rPr>
          <w:rFonts w:hint="eastAsia" w:ascii="Times New Roman" w:hAnsi="Times New Roman" w:eastAsia="仿宋_GB2312" w:cs="仿宋_GB2312"/>
          <w:spacing w:val="7"/>
          <w:sz w:val="32"/>
          <w:szCs w:val="32"/>
        </w:rPr>
        <w:t xml:space="preserve"> </w:t>
      </w:r>
      <w:r>
        <w:rPr>
          <w:rFonts w:hint="eastAsia" w:ascii="Times New Roman" w:hAnsi="Times New Roman" w:eastAsia="仿宋_GB2312" w:cs="仿宋_GB2312"/>
          <w:spacing w:val="-60"/>
          <w:sz w:val="32"/>
          <w:szCs w:val="32"/>
          <w:u w:val="single" w:color="000000"/>
        </w:rPr>
        <w:t xml:space="preserve"> </w:t>
      </w:r>
      <w:r>
        <w:rPr>
          <w:rFonts w:hint="eastAsia" w:ascii="Times New Roman" w:hAnsi="Times New Roman" w:eastAsia="仿宋_GB2312" w:cs="仿宋_GB2312"/>
          <w:spacing w:val="-60"/>
          <w:sz w:val="32"/>
          <w:szCs w:val="32"/>
          <w:u w:val="single" w:color="000000"/>
          <w:lang w:eastAsia="zh-CN"/>
        </w:rPr>
        <w:t>永</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州</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市</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药</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品</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检</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验</w:t>
      </w:r>
      <w:r>
        <w:rPr>
          <w:rFonts w:hint="eastAsia" w:ascii="Times New Roman" w:hAnsi="Times New Roman" w:eastAsia="仿宋_GB2312" w:cs="仿宋_GB2312"/>
          <w:spacing w:val="-60"/>
          <w:sz w:val="32"/>
          <w:szCs w:val="32"/>
          <w:u w:val="single" w:color="000000"/>
          <w:lang w:val="en-US" w:eastAsia="zh-CN"/>
        </w:rPr>
        <w:t xml:space="preserve">     </w:t>
      </w:r>
      <w:r>
        <w:rPr>
          <w:rFonts w:hint="eastAsia" w:ascii="Times New Roman" w:hAnsi="Times New Roman" w:eastAsia="仿宋_GB2312" w:cs="仿宋_GB2312"/>
          <w:spacing w:val="-60"/>
          <w:sz w:val="32"/>
          <w:szCs w:val="32"/>
          <w:u w:val="single" w:color="000000"/>
          <w:lang w:eastAsia="zh-CN"/>
        </w:rPr>
        <w:t>所</w:t>
      </w:r>
      <w:r>
        <w:rPr>
          <w:rFonts w:hint="eastAsia" w:ascii="Times New Roman" w:hAnsi="Times New Roman" w:eastAsia="仿宋_GB2312" w:cs="仿宋_GB2312"/>
          <w:sz w:val="32"/>
          <w:szCs w:val="32"/>
          <w:u w:val="single" w:color="000000"/>
        </w:rPr>
        <w:t xml:space="preserve">        </w:t>
      </w:r>
    </w:p>
    <w:p w14:paraId="00A67C98">
      <w:pPr>
        <w:spacing w:before="189" w:line="817" w:lineRule="exact"/>
        <w:ind w:firstLine="4080" w:firstLineChars="1500"/>
        <w:rPr>
          <w:rFonts w:hint="eastAsia" w:ascii="Times New Roman" w:hAnsi="Times New Roman" w:eastAsia="仿宋_GB2312" w:cs="仿宋_GB2312"/>
          <w:sz w:val="32"/>
          <w:szCs w:val="32"/>
        </w:rPr>
      </w:pPr>
      <w:r>
        <w:rPr>
          <w:rFonts w:hint="eastAsia" w:ascii="Times New Roman" w:hAnsi="Times New Roman" w:eastAsia="仿宋_GB2312" w:cs="仿宋_GB2312"/>
          <w:spacing w:val="-24"/>
          <w:position w:val="34"/>
          <w:sz w:val="32"/>
          <w:szCs w:val="32"/>
          <w:lang w:val="en-US" w:eastAsia="zh-CN"/>
        </w:rPr>
        <w:t>2026</w:t>
      </w:r>
      <w:r>
        <w:rPr>
          <w:rFonts w:hint="eastAsia" w:ascii="Times New Roman" w:hAnsi="Times New Roman" w:eastAsia="仿宋_GB2312" w:cs="仿宋_GB2312"/>
          <w:spacing w:val="-24"/>
          <w:position w:val="34"/>
          <w:sz w:val="32"/>
          <w:szCs w:val="32"/>
        </w:rPr>
        <w:t>年</w:t>
      </w:r>
      <w:r>
        <w:rPr>
          <w:rFonts w:hint="eastAsia" w:ascii="Times New Roman" w:hAnsi="Times New Roman" w:eastAsia="仿宋_GB2312" w:cs="仿宋_GB2312"/>
          <w:spacing w:val="-24"/>
          <w:position w:val="34"/>
          <w:sz w:val="32"/>
          <w:szCs w:val="32"/>
          <w:lang w:val="en-US" w:eastAsia="zh-CN"/>
        </w:rPr>
        <w:t>9</w:t>
      </w:r>
      <w:r>
        <w:rPr>
          <w:rFonts w:hint="eastAsia" w:ascii="Times New Roman" w:hAnsi="Times New Roman" w:eastAsia="仿宋_GB2312" w:cs="仿宋_GB2312"/>
          <w:spacing w:val="-24"/>
          <w:position w:val="34"/>
          <w:sz w:val="32"/>
          <w:szCs w:val="32"/>
        </w:rPr>
        <w:t>月</w:t>
      </w:r>
      <w:r>
        <w:rPr>
          <w:rFonts w:hint="eastAsia" w:ascii="Times New Roman" w:hAnsi="Times New Roman" w:eastAsia="仿宋_GB2312" w:cs="仿宋_GB2312"/>
          <w:spacing w:val="-24"/>
          <w:position w:val="34"/>
          <w:sz w:val="32"/>
          <w:szCs w:val="32"/>
          <w:lang w:val="en-US" w:eastAsia="zh-CN"/>
        </w:rPr>
        <w:t>29</w:t>
      </w:r>
      <w:r>
        <w:rPr>
          <w:rFonts w:hint="eastAsia" w:ascii="Times New Roman" w:hAnsi="Times New Roman" w:eastAsia="仿宋_GB2312" w:cs="仿宋_GB2312"/>
          <w:spacing w:val="-24"/>
          <w:position w:val="34"/>
          <w:sz w:val="32"/>
          <w:szCs w:val="32"/>
        </w:rPr>
        <w:t>日</w:t>
      </w:r>
    </w:p>
    <w:p w14:paraId="424B5F38">
      <w:pPr>
        <w:spacing w:before="1" w:line="223" w:lineRule="auto"/>
        <w:ind w:firstLine="3424"/>
        <w:rPr>
          <w:rFonts w:hint="eastAsia" w:ascii="Times New Roman" w:hAnsi="Times New Roman" w:eastAsia="仿宋_GB2312" w:cs="仿宋_GB2312"/>
          <w:sz w:val="32"/>
          <w:szCs w:val="32"/>
        </w:rPr>
      </w:pPr>
      <w:r>
        <w:rPr>
          <w:rFonts w:hint="eastAsia" w:ascii="Times New Roman" w:hAnsi="Times New Roman" w:eastAsia="仿宋_GB2312" w:cs="仿宋_GB2312"/>
          <w:spacing w:val="-17"/>
          <w:w w:val="98"/>
          <w:sz w:val="32"/>
          <w:szCs w:val="32"/>
        </w:rPr>
        <w:t>（此页为封面）</w:t>
      </w:r>
    </w:p>
    <w:p w14:paraId="63935A0E">
      <w:pPr>
        <w:rPr>
          <w:rFonts w:hint="eastAsia" w:ascii="Times New Roman" w:hAnsi="Times New Roman" w:eastAsia="仿宋_GB2312" w:cs="仿宋_GB2312"/>
          <w:sz w:val="32"/>
          <w:szCs w:val="32"/>
        </w:rPr>
        <w:sectPr>
          <w:footerReference r:id="rId6" w:type="default"/>
          <w:pgSz w:w="11900" w:h="16830"/>
          <w:pgMar w:top="1587" w:right="1474" w:bottom="1474" w:left="1474" w:header="0" w:footer="850" w:gutter="0"/>
          <w:pgBorders>
            <w:top w:val="none" w:sz="0" w:space="0"/>
            <w:left w:val="none" w:sz="0" w:space="0"/>
            <w:bottom w:val="none" w:sz="0" w:space="0"/>
            <w:right w:val="none" w:sz="0" w:space="0"/>
          </w:pgBorders>
          <w:pgNumType w:fmt="numberInDash"/>
          <w:cols w:space="720" w:num="1"/>
        </w:sectPr>
      </w:pPr>
    </w:p>
    <w:p w14:paraId="10CF50C8">
      <w:pPr>
        <w:keepNext w:val="0"/>
        <w:keepLines w:val="0"/>
        <w:pageBreakBefore w:val="0"/>
        <w:numPr>
          <w:ilvl w:val="0"/>
          <w:numId w:val="5"/>
        </w:numPr>
        <w:kinsoku w:val="0"/>
        <w:wordWrap/>
        <w:overflowPunct/>
        <w:topLinePunct w:val="0"/>
        <w:autoSpaceDE w:val="0"/>
        <w:autoSpaceDN w:val="0"/>
        <w:bidi w:val="0"/>
        <w:adjustRightInd w:val="0"/>
        <w:spacing w:line="600" w:lineRule="exact"/>
        <w:ind w:firstLine="640" w:firstLineChars="200"/>
        <w:textAlignment w:val="baseline"/>
        <w:outlineLvl w:val="9"/>
        <w:rPr>
          <w:rFonts w:hint="eastAsia" w:ascii="Times New Roman" w:hAnsi="Times New Roman" w:eastAsia="黑体"/>
          <w:sz w:val="32"/>
          <w:szCs w:val="32"/>
        </w:rPr>
      </w:pPr>
      <w:r>
        <w:rPr>
          <w:rFonts w:hint="eastAsia" w:ascii="Times New Roman" w:hAnsi="Times New Roman" w:eastAsia="黑体"/>
          <w:sz w:val="32"/>
          <w:szCs w:val="32"/>
        </w:rPr>
        <w:t>部门（单位）基本情况</w:t>
      </w:r>
    </w:p>
    <w:p w14:paraId="05C69C22">
      <w:pPr>
        <w:pageBreakBefore w:val="0"/>
        <w:widowControl/>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职能职责</w:t>
      </w:r>
    </w:p>
    <w:p w14:paraId="56C756FC">
      <w:pPr>
        <w:pageBreakBefore w:val="0"/>
        <w:widowControl/>
        <w:kinsoku/>
        <w:wordWrap/>
        <w:overflowPunct/>
        <w:topLinePunct w:val="0"/>
        <w:autoSpaceDE/>
        <w:autoSpaceDN/>
        <w:bidi w:val="0"/>
        <w:spacing w:line="560" w:lineRule="exact"/>
        <w:ind w:firstLine="660"/>
        <w:jc w:val="lef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根据永编办发[2012]106号文件规定，我所主要工作职责是：负责对全市药品和化妆品安全进行抽验，为药品监管行政执法提供技术支撑，为确保全市人民用药安全提供技术服务等工作。</w:t>
      </w:r>
    </w:p>
    <w:p w14:paraId="77C1E0BD">
      <w:pPr>
        <w:pageBreakBefore w:val="0"/>
        <w:widowControl/>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rPr>
        <w:t>机构设置</w:t>
      </w:r>
    </w:p>
    <w:p w14:paraId="6C064354">
      <w:pPr>
        <w:pageBreakBefore w:val="0"/>
        <w:widowControl/>
        <w:kinsoku/>
        <w:wordWrap/>
        <w:overflowPunct/>
        <w:topLinePunct w:val="0"/>
        <w:autoSpaceDE/>
        <w:autoSpaceDN/>
        <w:bidi w:val="0"/>
        <w:spacing w:line="560" w:lineRule="exact"/>
        <w:ind w:firstLine="660"/>
        <w:jc w:val="lef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我所为副处级全额拨款事业单位，编制为32名。现有在职人员30人，内设综合部、业务部、质量控制部、中药检验部、化学药品检验部、生化药理部、化妆品检验部7个科室，退休人员16人。</w:t>
      </w:r>
    </w:p>
    <w:p w14:paraId="73AF0C5D">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textAlignment w:val="baseline"/>
        <w:outlineLvl w:val="9"/>
        <w:rPr>
          <w:rFonts w:ascii="Times New Roman" w:hAnsi="Times New Roman" w:eastAsia="黑体"/>
          <w:sz w:val="32"/>
          <w:szCs w:val="32"/>
        </w:rPr>
      </w:pPr>
      <w:r>
        <w:rPr>
          <w:rFonts w:hint="eastAsia" w:ascii="Times New Roman" w:hAnsi="Times New Roman" w:eastAsia="黑体"/>
          <w:sz w:val="32"/>
          <w:szCs w:val="32"/>
        </w:rPr>
        <w:t>二、</w:t>
      </w:r>
      <w:r>
        <w:rPr>
          <w:rFonts w:ascii="Times New Roman" w:hAnsi="Times New Roman" w:eastAsia="黑体"/>
          <w:sz w:val="32"/>
          <w:szCs w:val="32"/>
        </w:rPr>
        <w:t>一般公共预算支出情况</w:t>
      </w:r>
    </w:p>
    <w:p w14:paraId="3C2792D5">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textAlignment w:val="baseline"/>
        <w:outlineLvl w:val="9"/>
        <w:rPr>
          <w:rFonts w:hint="eastAsia" w:ascii="Times New Roman" w:hAnsi="Times New Roman" w:eastAsia="楷体_GB2312"/>
          <w:b w:val="0"/>
          <w:bCs/>
          <w:sz w:val="32"/>
          <w:szCs w:val="32"/>
        </w:rPr>
      </w:pPr>
      <w:r>
        <w:rPr>
          <w:rFonts w:hint="eastAsia" w:ascii="Times New Roman" w:hAnsi="Times New Roman" w:eastAsia="楷体_GB2312"/>
          <w:b w:val="0"/>
          <w:bCs/>
          <w:sz w:val="32"/>
          <w:szCs w:val="32"/>
        </w:rPr>
        <w:t>（一）基本支出情况</w:t>
      </w:r>
    </w:p>
    <w:p w14:paraId="6FDFE4DE">
      <w:pPr>
        <w:pageBreakBefore w:val="0"/>
        <w:widowControl/>
        <w:kinsoku/>
        <w:wordWrap/>
        <w:overflowPunct/>
        <w:topLinePunct w:val="0"/>
        <w:autoSpaceDE/>
        <w:autoSpaceDN/>
        <w:bidi w:val="0"/>
        <w:spacing w:line="560" w:lineRule="exact"/>
        <w:ind w:firstLine="660"/>
        <w:jc w:val="left"/>
        <w:textAlignment w:val="auto"/>
        <w:rPr>
          <w:rFonts w:eastAsia="黑体"/>
          <w:sz w:val="32"/>
          <w:szCs w:val="32"/>
        </w:rPr>
      </w:pPr>
      <w:r>
        <w:rPr>
          <w:rFonts w:hint="eastAsia" w:ascii="宋体" w:hAnsi="宋体" w:eastAsia="宋体" w:cs="宋体"/>
          <w:b w:val="0"/>
          <w:bCs w:val="0"/>
          <w:color w:val="auto"/>
          <w:sz w:val="28"/>
          <w:szCs w:val="28"/>
          <w:lang w:val="en-US" w:eastAsia="zh-CN"/>
        </w:rPr>
        <w:t>2025年基本全年支出为607.67万元，是指为保障单位机构正常运转、完成日常工作任务而发生的各项支出，包括用于基本工资、津贴补贴等人员经费以及办公费、印刷费、水电费、办公设备购置等日常公用经费。</w:t>
      </w:r>
    </w:p>
    <w:p w14:paraId="24DBA858">
      <w:pPr>
        <w:keepNext w:val="0"/>
        <w:keepLines w:val="0"/>
        <w:pageBreakBefore w:val="0"/>
        <w:widowControl/>
        <w:numPr>
          <w:ilvl w:val="0"/>
          <w:numId w:val="6"/>
        </w:numPr>
        <w:kinsoku w:val="0"/>
        <w:wordWrap/>
        <w:overflowPunct/>
        <w:topLinePunct w:val="0"/>
        <w:autoSpaceDE w:val="0"/>
        <w:autoSpaceDN w:val="0"/>
        <w:bidi w:val="0"/>
        <w:adjustRightInd w:val="0"/>
        <w:spacing w:line="600" w:lineRule="exact"/>
        <w:ind w:firstLine="640" w:firstLineChars="200"/>
        <w:textAlignment w:val="baseline"/>
        <w:outlineLvl w:val="9"/>
        <w:rPr>
          <w:rFonts w:ascii="Times New Roman" w:hAnsi="Times New Roman" w:eastAsia="楷体_GB2312"/>
          <w:b w:val="0"/>
          <w:bCs/>
          <w:sz w:val="32"/>
          <w:szCs w:val="32"/>
        </w:rPr>
      </w:pPr>
      <w:r>
        <w:rPr>
          <w:rFonts w:ascii="Times New Roman" w:hAnsi="Times New Roman" w:eastAsia="楷体_GB2312"/>
          <w:b w:val="0"/>
          <w:bCs/>
          <w:sz w:val="32"/>
          <w:szCs w:val="32"/>
        </w:rPr>
        <w:t>项目支出情况</w:t>
      </w:r>
    </w:p>
    <w:p w14:paraId="1B58350D">
      <w:pPr>
        <w:pageBreakBefore w:val="0"/>
        <w:widowControl/>
        <w:kinsoku/>
        <w:wordWrap/>
        <w:overflowPunct/>
        <w:topLinePunct w:val="0"/>
        <w:autoSpaceDE/>
        <w:autoSpaceDN/>
        <w:bidi w:val="0"/>
        <w:spacing w:line="560" w:lineRule="exact"/>
        <w:ind w:firstLine="660"/>
        <w:jc w:val="left"/>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2025年项目去年支出为66.43万元，是指单位为完成特定行政工作任务或事业发展目标而发生的支出，包括业务工作经费支出等。</w:t>
      </w:r>
    </w:p>
    <w:p w14:paraId="46DC7B0E">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jc w:val="left"/>
        <w:textAlignment w:val="baseline"/>
        <w:outlineLvl w:val="9"/>
        <w:rPr>
          <w:rFonts w:ascii="Times New Roman" w:hAnsi="Times New Roman" w:eastAsia="黑体"/>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p>
    <w:p w14:paraId="61883ED6">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jc w:val="left"/>
        <w:textAlignment w:val="baseline"/>
        <w:outlineLvl w:val="9"/>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无</w:t>
      </w:r>
    </w:p>
    <w:p w14:paraId="391E5C9C">
      <w:pPr>
        <w:keepNext w:val="0"/>
        <w:keepLines w:val="0"/>
        <w:pageBreakBefore w:val="0"/>
        <w:widowControl/>
        <w:numPr>
          <w:ilvl w:val="0"/>
          <w:numId w:val="7"/>
        </w:numPr>
        <w:kinsoku w:val="0"/>
        <w:wordWrap/>
        <w:overflowPunct/>
        <w:topLinePunct w:val="0"/>
        <w:autoSpaceDE w:val="0"/>
        <w:autoSpaceDN w:val="0"/>
        <w:bidi w:val="0"/>
        <w:adjustRightInd w:val="0"/>
        <w:spacing w:line="600" w:lineRule="exact"/>
        <w:ind w:firstLine="640" w:firstLineChars="200"/>
        <w:jc w:val="left"/>
        <w:textAlignment w:val="baseline"/>
        <w:outlineLvl w:val="9"/>
        <w:rPr>
          <w:rFonts w:ascii="Times New Roman" w:hAnsi="Times New Roman" w:eastAsia="黑体"/>
          <w:sz w:val="32"/>
          <w:szCs w:val="32"/>
        </w:rPr>
      </w:pPr>
      <w:r>
        <w:rPr>
          <w:rFonts w:ascii="Times New Roman" w:hAnsi="Times New Roman" w:eastAsia="黑体"/>
          <w:sz w:val="32"/>
          <w:szCs w:val="32"/>
        </w:rPr>
        <w:t>国有资本经营预算支出情况</w:t>
      </w:r>
    </w:p>
    <w:p w14:paraId="0D11FBB8">
      <w:pPr>
        <w:keepNext w:val="0"/>
        <w:keepLines w:val="0"/>
        <w:pageBreakBefore w:val="0"/>
        <w:widowControl/>
        <w:numPr>
          <w:ilvl w:val="0"/>
          <w:numId w:val="0"/>
        </w:numPr>
        <w:kinsoku w:val="0"/>
        <w:wordWrap/>
        <w:overflowPunct/>
        <w:topLinePunct w:val="0"/>
        <w:autoSpaceDE w:val="0"/>
        <w:autoSpaceDN w:val="0"/>
        <w:bidi w:val="0"/>
        <w:adjustRightInd w:val="0"/>
        <w:spacing w:line="600" w:lineRule="exact"/>
        <w:ind w:firstLine="640" w:firstLineChars="200"/>
        <w:jc w:val="left"/>
        <w:textAlignment w:val="baseline"/>
        <w:outlineLvl w:val="9"/>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无</w:t>
      </w:r>
    </w:p>
    <w:p w14:paraId="051471D9">
      <w:pPr>
        <w:keepNext w:val="0"/>
        <w:keepLines w:val="0"/>
        <w:pageBreakBefore w:val="0"/>
        <w:widowControl/>
        <w:numPr>
          <w:ilvl w:val="0"/>
          <w:numId w:val="7"/>
        </w:numPr>
        <w:kinsoku w:val="0"/>
        <w:wordWrap/>
        <w:overflowPunct/>
        <w:topLinePunct w:val="0"/>
        <w:autoSpaceDE w:val="0"/>
        <w:autoSpaceDN w:val="0"/>
        <w:bidi w:val="0"/>
        <w:adjustRightInd w:val="0"/>
        <w:spacing w:line="600" w:lineRule="exact"/>
        <w:ind w:left="0" w:leftChars="0" w:firstLine="640" w:firstLineChars="200"/>
        <w:jc w:val="left"/>
        <w:textAlignment w:val="baseline"/>
        <w:outlineLvl w:val="9"/>
        <w:rPr>
          <w:rFonts w:ascii="Times New Roman" w:hAnsi="Times New Roman" w:eastAsia="黑体"/>
          <w:sz w:val="32"/>
          <w:szCs w:val="32"/>
        </w:rPr>
      </w:pPr>
      <w:r>
        <w:rPr>
          <w:rFonts w:ascii="Times New Roman" w:hAnsi="Times New Roman" w:eastAsia="黑体"/>
          <w:sz w:val="32"/>
          <w:szCs w:val="32"/>
        </w:rPr>
        <w:t>社会保险基金预算支出情况</w:t>
      </w:r>
    </w:p>
    <w:p w14:paraId="07C5D805">
      <w:pPr>
        <w:keepNext w:val="0"/>
        <w:keepLines w:val="0"/>
        <w:pageBreakBefore w:val="0"/>
        <w:widowControl/>
        <w:numPr>
          <w:ilvl w:val="0"/>
          <w:numId w:val="0"/>
        </w:numPr>
        <w:kinsoku w:val="0"/>
        <w:wordWrap/>
        <w:overflowPunct/>
        <w:topLinePunct w:val="0"/>
        <w:autoSpaceDE w:val="0"/>
        <w:autoSpaceDN w:val="0"/>
        <w:bidi w:val="0"/>
        <w:adjustRightInd w:val="0"/>
        <w:spacing w:line="600" w:lineRule="exact"/>
        <w:ind w:leftChars="200" w:firstLine="320" w:firstLineChars="100"/>
        <w:jc w:val="left"/>
        <w:textAlignment w:val="baseline"/>
        <w:outlineLvl w:val="9"/>
        <w:rPr>
          <w:rFonts w:hint="eastAsia" w:ascii="Times New Roman" w:hAnsi="Times New Roman" w:eastAsia="黑体"/>
          <w:sz w:val="32"/>
          <w:szCs w:val="32"/>
          <w:lang w:eastAsia="zh-CN"/>
        </w:rPr>
      </w:pPr>
      <w:r>
        <w:rPr>
          <w:rFonts w:hint="eastAsia" w:ascii="Times New Roman" w:hAnsi="Times New Roman" w:eastAsia="黑体"/>
          <w:sz w:val="32"/>
          <w:szCs w:val="32"/>
          <w:lang w:eastAsia="zh-CN"/>
        </w:rPr>
        <w:t>无</w:t>
      </w:r>
    </w:p>
    <w:p w14:paraId="26823A3E">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jc w:val="left"/>
        <w:textAlignment w:val="baseline"/>
        <w:outlineLvl w:val="9"/>
        <w:rPr>
          <w:rFonts w:hint="eastAsia" w:ascii="Times New Roman" w:hAnsi="Times New Roman" w:eastAsia="仿宋_GB2312" w:cs="仿宋_GB2312"/>
          <w:spacing w:val="-16"/>
          <w:sz w:val="32"/>
          <w:szCs w:val="32"/>
        </w:rPr>
      </w:pPr>
      <w:r>
        <w:rPr>
          <w:rFonts w:ascii="Times New Roman" w:hAnsi="Times New Roman" w:eastAsia="黑体"/>
          <w:sz w:val="32"/>
          <w:szCs w:val="32"/>
        </w:rPr>
        <w:t>六、部门整体支出绩效情况</w:t>
      </w:r>
    </w:p>
    <w:p w14:paraId="6DC447C5">
      <w:pPr>
        <w:keepNext w:val="0"/>
        <w:keepLines w:val="0"/>
        <w:pageBreakBefore w:val="0"/>
        <w:kinsoku w:val="0"/>
        <w:wordWrap/>
        <w:overflowPunct/>
        <w:topLinePunct w:val="0"/>
        <w:autoSpaceDE w:val="0"/>
        <w:autoSpaceDN w:val="0"/>
        <w:bidi w:val="0"/>
        <w:adjustRightInd w:val="0"/>
        <w:spacing w:line="600" w:lineRule="exact"/>
        <w:ind w:left="19" w:firstLine="619"/>
        <w:textAlignment w:val="baseline"/>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为了加强资金管理，提高资金效益，我所严格按照专项资金的使用管理要求，制定专项资金管理制度，并对下拨药品、化妆品质量安全检测专项经费进行跟踪督查，确保专款专用。遵守相关法律法规和业务管理规定，“无预算不支出”和“分事行权”的原则，综合运用预算额度、授权审批、定额标准、程序管控、单据控制等手段，保证各项经济活动支出依法依规开展。杜绝存在截留、挤占、挪用、虚列支出等情况，为项目工作的质量要求采取了必需的措施。一是市药检所认真研究和部署质量管理工作，加强了对质量管理体系文件的学习和修订。二是积极准备参加中检院组织的实验室比对和能力验证项目4个，目前已完成4个中检院组织的实验室比对和能力验证项目。四是完成仪器设备维护保养和期间核查工作。</w:t>
      </w:r>
    </w:p>
    <w:p w14:paraId="62AAC931">
      <w:pPr>
        <w:keepNext w:val="0"/>
        <w:keepLines w:val="0"/>
        <w:pageBreakBefore w:val="0"/>
        <w:kinsoku w:val="0"/>
        <w:wordWrap/>
        <w:overflowPunct/>
        <w:topLinePunct w:val="0"/>
        <w:autoSpaceDE w:val="0"/>
        <w:autoSpaceDN w:val="0"/>
        <w:bidi w:val="0"/>
        <w:adjustRightInd w:val="0"/>
        <w:spacing w:line="600" w:lineRule="exact"/>
        <w:ind w:left="19" w:firstLine="619"/>
        <w:textAlignment w:val="baseline"/>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我所共完成</w:t>
      </w:r>
      <w:bookmarkStart w:id="2" w:name="OLE_LINK6"/>
      <w:bookmarkStart w:id="3" w:name="OLE_LINK7"/>
      <w:r>
        <w:rPr>
          <w:rFonts w:hint="eastAsia" w:ascii="宋体" w:hAnsi="宋体" w:eastAsia="宋体" w:cs="宋体"/>
          <w:b w:val="0"/>
          <w:bCs w:val="0"/>
          <w:color w:val="auto"/>
          <w:sz w:val="28"/>
          <w:szCs w:val="28"/>
          <w:lang w:val="en-US" w:eastAsia="zh-CN"/>
        </w:rPr>
        <w:t>省、市药品检验</w:t>
      </w:r>
      <w:bookmarkEnd w:id="2"/>
      <w:bookmarkEnd w:id="3"/>
      <w:r>
        <w:rPr>
          <w:rFonts w:hint="eastAsia" w:ascii="宋体" w:hAnsi="宋体" w:eastAsia="宋体" w:cs="宋体"/>
          <w:b w:val="0"/>
          <w:bCs w:val="0"/>
          <w:color w:val="auto"/>
          <w:sz w:val="28"/>
          <w:szCs w:val="28"/>
          <w:lang w:val="en-US" w:eastAsia="zh-CN"/>
        </w:rPr>
        <w:t>503批次（省、市药品检验任务为497批次），超额完成检验任务6批次，完成率为101%。共收到省药监局药品、化妆品监督抽检192批次（中西成药及饮片160批次，化妆品32批次），已完成160批次药品检验，完成率100%，检出不合格药品0批次，不合格率0。已完成32批次化妆品检验，完成率100%，检出不合格化妆品0批次，不合格率0。收到市级药品、化妆品监督抽检255批次（药品225批次，化妆品30批次），已完成225批次药品检验，完成率</w:t>
      </w:r>
      <w:bookmarkStart w:id="4" w:name="OLE_LINK4"/>
      <w:bookmarkStart w:id="5" w:name="OLE_LINK5"/>
      <w:r>
        <w:rPr>
          <w:rFonts w:hint="eastAsia" w:ascii="宋体" w:hAnsi="宋体" w:eastAsia="宋体" w:cs="宋体"/>
          <w:b w:val="0"/>
          <w:bCs w:val="0"/>
          <w:color w:val="auto"/>
          <w:sz w:val="28"/>
          <w:szCs w:val="28"/>
          <w:lang w:val="en-US" w:eastAsia="zh-CN"/>
        </w:rPr>
        <w:t>100%</w:t>
      </w:r>
      <w:bookmarkEnd w:id="4"/>
      <w:bookmarkEnd w:id="5"/>
      <w:r>
        <w:rPr>
          <w:rFonts w:hint="eastAsia" w:ascii="宋体" w:hAnsi="宋体" w:eastAsia="宋体" w:cs="宋体"/>
          <w:b w:val="0"/>
          <w:bCs w:val="0"/>
          <w:color w:val="auto"/>
          <w:sz w:val="28"/>
          <w:szCs w:val="28"/>
          <w:lang w:val="en-US" w:eastAsia="zh-CN"/>
        </w:rPr>
        <w:t>，检出不合格药品3批次，不合格率1.3%。已完成化妆品检验30批次检出不合格化妆品0批次，不合格率0。</w:t>
      </w:r>
    </w:p>
    <w:p w14:paraId="0725C2A0">
      <w:pPr>
        <w:keepNext w:val="0"/>
        <w:keepLines w:val="0"/>
        <w:pageBreakBefore w:val="0"/>
        <w:kinsoku w:val="0"/>
        <w:wordWrap/>
        <w:overflowPunct/>
        <w:topLinePunct w:val="0"/>
        <w:autoSpaceDE w:val="0"/>
        <w:autoSpaceDN w:val="0"/>
        <w:bidi w:val="0"/>
        <w:adjustRightInd w:val="0"/>
        <w:spacing w:line="600" w:lineRule="exact"/>
        <w:ind w:left="19" w:firstLine="619"/>
        <w:textAlignment w:val="baseline"/>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市药检所学科带头人积极参与了湖南时代阳光药业有限责任公司的中成药复杂成分解析重点课题研究。同时，市药检所也准备与永州市异蛇科技实业有限公司进行科研合作，共同促进永州异蛇产业高质量发展，目前已全部完成《湖南省中药材标准》6个品种标准修订，16个品种的复核。提前完成了《湖南省中药材标准》标准修订的任务。</w:t>
      </w:r>
    </w:p>
    <w:p w14:paraId="5E0EEC2A">
      <w:pPr>
        <w:keepNext w:val="0"/>
        <w:keepLines w:val="0"/>
        <w:pageBreakBefore w:val="0"/>
        <w:widowControl/>
        <w:kinsoku w:val="0"/>
        <w:wordWrap/>
        <w:overflowPunct/>
        <w:topLinePunct w:val="0"/>
        <w:autoSpaceDE w:val="0"/>
        <w:autoSpaceDN w:val="0"/>
        <w:bidi w:val="0"/>
        <w:adjustRightInd w:val="0"/>
        <w:spacing w:line="600" w:lineRule="exact"/>
        <w:ind w:firstLine="640" w:firstLineChars="200"/>
        <w:jc w:val="left"/>
        <w:textAlignment w:val="baseline"/>
        <w:outlineLvl w:val="9"/>
        <w:rPr>
          <w:rFonts w:ascii="Times New Roman" w:hAnsi="Times New Roman" w:eastAsia="黑体"/>
          <w:sz w:val="32"/>
          <w:szCs w:val="32"/>
        </w:rPr>
      </w:pPr>
      <w:r>
        <w:rPr>
          <w:rFonts w:hint="eastAsia" w:ascii="Times New Roman" w:hAnsi="Times New Roman" w:eastAsia="黑体"/>
          <w:sz w:val="32"/>
          <w:szCs w:val="32"/>
        </w:rPr>
        <w:t>七、</w:t>
      </w:r>
      <w:r>
        <w:rPr>
          <w:rFonts w:ascii="Times New Roman" w:hAnsi="Times New Roman" w:eastAsia="黑体"/>
          <w:sz w:val="32"/>
          <w:szCs w:val="32"/>
        </w:rPr>
        <w:t>存在的问题及原因分析</w:t>
      </w:r>
    </w:p>
    <w:p w14:paraId="297DBC84">
      <w:pPr>
        <w:keepNext w:val="0"/>
        <w:keepLines w:val="0"/>
        <w:pageBreakBefore w:val="0"/>
        <w:kinsoku w:val="0"/>
        <w:wordWrap/>
        <w:overflowPunct/>
        <w:topLinePunct w:val="0"/>
        <w:autoSpaceDE w:val="0"/>
        <w:autoSpaceDN w:val="0"/>
        <w:bidi w:val="0"/>
        <w:adjustRightInd w:val="0"/>
        <w:spacing w:line="600" w:lineRule="exact"/>
        <w:ind w:left="19" w:firstLine="619"/>
        <w:textAlignment w:val="baseline"/>
        <w:outlineLvl w:val="9"/>
        <w:rPr>
          <w:rFonts w:hint="eastAsia" w:ascii="Times New Roman" w:hAnsi="Times New Roman" w:eastAsia="仿宋_GB2312" w:cs="仿宋_GB2312"/>
          <w:sz w:val="32"/>
          <w:szCs w:val="32"/>
        </w:rPr>
      </w:pPr>
      <w:r>
        <w:rPr>
          <w:rFonts w:hint="eastAsia" w:ascii="宋体" w:hAnsi="宋体" w:eastAsia="宋体" w:cs="宋体"/>
          <w:b w:val="0"/>
          <w:bCs w:val="0"/>
          <w:color w:val="auto"/>
          <w:sz w:val="28"/>
          <w:szCs w:val="28"/>
          <w:lang w:val="en-US" w:eastAsia="zh-CN"/>
        </w:rPr>
        <w:t>继续保持</w:t>
      </w:r>
      <w:r>
        <w:rPr>
          <w:rFonts w:hint="eastAsia" w:ascii="宋体" w:hAnsi="宋体" w:eastAsia="宋体" w:cs="宋体"/>
          <w:b w:val="0"/>
          <w:bCs w:val="0"/>
          <w:sz w:val="28"/>
          <w:szCs w:val="28"/>
        </w:rPr>
        <w:t>合理的控制</w:t>
      </w:r>
      <w:r>
        <w:rPr>
          <w:rFonts w:hint="eastAsia" w:ascii="宋体" w:hAnsi="宋体" w:eastAsia="宋体" w:cs="宋体"/>
          <w:b w:val="0"/>
          <w:bCs w:val="0"/>
          <w:color w:val="auto"/>
          <w:sz w:val="28"/>
          <w:szCs w:val="28"/>
          <w:lang w:val="en-US" w:eastAsia="zh-CN"/>
        </w:rPr>
        <w:t>理念使用</w:t>
      </w:r>
      <w:r>
        <w:rPr>
          <w:rFonts w:hint="eastAsia" w:ascii="宋体" w:hAnsi="宋体" w:eastAsia="宋体" w:cs="宋体"/>
          <w:b w:val="0"/>
          <w:bCs w:val="0"/>
          <w:sz w:val="28"/>
          <w:szCs w:val="28"/>
        </w:rPr>
        <w:t>专项资金</w:t>
      </w:r>
      <w:r>
        <w:rPr>
          <w:rFonts w:hint="eastAsia" w:ascii="宋体" w:hAnsi="宋体" w:eastAsia="宋体" w:cs="宋体"/>
          <w:b w:val="0"/>
          <w:bCs w:val="0"/>
          <w:color w:val="auto"/>
          <w:sz w:val="28"/>
          <w:szCs w:val="28"/>
          <w:lang w:val="en-US" w:eastAsia="zh-CN"/>
        </w:rPr>
        <w:t>，增收节支，努力提高资金使用效率，</w:t>
      </w:r>
      <w:r>
        <w:rPr>
          <w:rFonts w:hint="eastAsia" w:ascii="Times New Roman" w:hAnsi="Times New Roman" w:eastAsia="仿宋_GB2312" w:cs="仿宋_GB2312"/>
          <w:spacing w:val="-16"/>
          <w:sz w:val="32"/>
          <w:szCs w:val="32"/>
          <w:lang w:val="en-US" w:eastAsia="zh-CN"/>
        </w:rPr>
        <w:t>力争</w:t>
      </w:r>
      <w:r>
        <w:rPr>
          <w:rFonts w:hint="eastAsia" w:ascii="宋体" w:hAnsi="宋体" w:eastAsia="宋体" w:cs="宋体"/>
          <w:b w:val="0"/>
          <w:bCs w:val="0"/>
          <w:color w:val="auto"/>
          <w:sz w:val="28"/>
          <w:szCs w:val="28"/>
          <w:lang w:val="en-US" w:eastAsia="zh-CN"/>
        </w:rPr>
        <w:t>少花钱，多办事，</w:t>
      </w:r>
      <w:r>
        <w:rPr>
          <w:rFonts w:hint="eastAsia" w:ascii="宋体" w:hAnsi="宋体" w:eastAsia="宋体" w:cs="宋体"/>
          <w:b w:val="0"/>
          <w:bCs w:val="0"/>
          <w:sz w:val="28"/>
          <w:szCs w:val="28"/>
        </w:rPr>
        <w:t>进一步合理编制预算，严格执行预算</w:t>
      </w:r>
      <w:r>
        <w:rPr>
          <w:rFonts w:hint="eastAsia" w:ascii="宋体" w:hAnsi="宋体" w:eastAsia="宋体" w:cs="宋体"/>
          <w:b w:val="0"/>
          <w:bCs w:val="0"/>
          <w:sz w:val="28"/>
          <w:szCs w:val="28"/>
          <w:lang w:eastAsia="zh-CN"/>
        </w:rPr>
        <w:t>，</w:t>
      </w:r>
      <w:r>
        <w:rPr>
          <w:rFonts w:hint="eastAsia" w:ascii="宋体" w:hAnsi="宋体" w:eastAsia="宋体" w:cs="宋体"/>
          <w:b w:val="0"/>
          <w:bCs w:val="0"/>
          <w:sz w:val="28"/>
          <w:szCs w:val="28"/>
        </w:rPr>
        <w:t>完善管理制度，加强内部管理</w:t>
      </w:r>
      <w:r>
        <w:rPr>
          <w:rFonts w:hint="eastAsia" w:ascii="宋体" w:hAnsi="宋体" w:eastAsia="宋体" w:cs="宋体"/>
          <w:b w:val="0"/>
          <w:bCs w:val="0"/>
          <w:sz w:val="28"/>
          <w:szCs w:val="28"/>
          <w:lang w:eastAsia="zh-CN"/>
        </w:rPr>
        <w:t>。</w:t>
      </w:r>
    </w:p>
    <w:p w14:paraId="08894633">
      <w:pPr>
        <w:keepNext w:val="0"/>
        <w:keepLines w:val="0"/>
        <w:pageBreakBefore w:val="0"/>
        <w:widowControl/>
        <w:numPr>
          <w:ilvl w:val="0"/>
          <w:numId w:val="8"/>
        </w:numPr>
        <w:kinsoku w:val="0"/>
        <w:wordWrap/>
        <w:overflowPunct/>
        <w:topLinePunct w:val="0"/>
        <w:autoSpaceDE w:val="0"/>
        <w:autoSpaceDN w:val="0"/>
        <w:bidi w:val="0"/>
        <w:adjustRightInd w:val="0"/>
        <w:spacing w:line="600" w:lineRule="exact"/>
        <w:ind w:firstLine="640" w:firstLineChars="200"/>
        <w:jc w:val="left"/>
        <w:textAlignment w:val="baseline"/>
        <w:outlineLvl w:val="9"/>
        <w:rPr>
          <w:rFonts w:ascii="Times New Roman" w:hAnsi="Times New Roman" w:eastAsia="黑体"/>
          <w:sz w:val="32"/>
          <w:szCs w:val="32"/>
        </w:rPr>
      </w:pPr>
      <w:r>
        <w:rPr>
          <w:rFonts w:ascii="Times New Roman" w:hAnsi="Times New Roman" w:eastAsia="黑体"/>
          <w:sz w:val="32"/>
          <w:szCs w:val="32"/>
        </w:rPr>
        <w:t>下一步改进措施</w:t>
      </w:r>
    </w:p>
    <w:p w14:paraId="38F1F9A4">
      <w:pPr>
        <w:keepNext w:val="0"/>
        <w:keepLines w:val="0"/>
        <w:pageBreakBefore w:val="0"/>
        <w:widowControl/>
        <w:numPr>
          <w:ilvl w:val="0"/>
          <w:numId w:val="0"/>
        </w:numPr>
        <w:kinsoku w:val="0"/>
        <w:wordWrap/>
        <w:overflowPunct/>
        <w:topLinePunct w:val="0"/>
        <w:autoSpaceDE w:val="0"/>
        <w:autoSpaceDN w:val="0"/>
        <w:bidi w:val="0"/>
        <w:adjustRightInd w:val="0"/>
        <w:spacing w:line="600" w:lineRule="exact"/>
        <w:ind w:firstLine="560" w:firstLineChars="200"/>
        <w:jc w:val="left"/>
        <w:textAlignment w:val="baseline"/>
        <w:outlineLvl w:val="9"/>
        <w:rPr>
          <w:rFonts w:ascii="Times New Roman" w:hAnsi="Times New Roman" w:eastAsia="黑体"/>
          <w:sz w:val="32"/>
          <w:szCs w:val="32"/>
        </w:rPr>
      </w:pPr>
      <w:r>
        <w:rPr>
          <w:rFonts w:hint="eastAsia" w:ascii="宋体" w:hAnsi="宋体" w:eastAsia="宋体" w:cs="宋体"/>
          <w:b w:val="0"/>
          <w:bCs w:val="0"/>
          <w:color w:val="auto"/>
          <w:sz w:val="28"/>
          <w:szCs w:val="28"/>
          <w:lang w:val="en-US" w:eastAsia="zh-CN"/>
        </w:rPr>
        <w:t>建议增加检验经费：有时候省抽样品偏离抽样计划，需要额外采购对照品、标准物质和试剂，往往很多标准物质国内买不到国外的价格又极高，这给检验单位在时间上、经费上带来了极大的不便，特别是某些单一品种光一个有关物质检查项所需标准物质的购买就将近一万元。</w:t>
      </w:r>
    </w:p>
    <w:p w14:paraId="4D69AC29"/>
    <w:p w14:paraId="6A8048EA">
      <w:pPr>
        <w:pStyle w:val="14"/>
        <w:overflowPunct w:val="0"/>
        <w:autoSpaceDE/>
        <w:autoSpaceDN/>
        <w:spacing w:line="600" w:lineRule="exact"/>
        <w:ind w:firstLine="800" w:firstLineChars="200"/>
        <w:jc w:val="both"/>
        <w:rPr>
          <w:rFonts w:hint="default" w:ascii="Times New Roman" w:hAnsi="Times New Roman" w:eastAsia="仿宋_GB2312" w:cs="Times New Roman"/>
          <w:b/>
          <w:bCs/>
          <w:color w:val="FF0000"/>
          <w:sz w:val="40"/>
          <w:szCs w:val="40"/>
          <w:lang w:val="en-US" w:eastAsia="zh-CN"/>
        </w:rPr>
      </w:pPr>
    </w:p>
    <w:sectPr>
      <w:footerReference r:id="rId7"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文泉驿微米黑"/>
    <w:panose1 w:val="02010600030101010101"/>
    <w:charset w:val="0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方正小标宋简体">
    <w:altName w:val="CESI小标宋-GB2312"/>
    <w:panose1 w:val="02010601030101010101"/>
    <w:charset w:val="86"/>
    <w:family w:val="auto"/>
    <w:pitch w:val="default"/>
    <w:sig w:usb0="00000000" w:usb1="00000000" w:usb2="00000000" w:usb3="00000000" w:csb0="00040000" w:csb1="00000000"/>
  </w:font>
  <w:font w:name="CESI小标宋-GB2312">
    <w:panose1 w:val="02000500000000000000"/>
    <w:charset w:val="86"/>
    <w:family w:val="auto"/>
    <w:pitch w:val="default"/>
    <w:sig w:usb0="800002AF" w:usb1="084F6CF8"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altName w:val="CESI小标宋-GB2312"/>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CESI小标宋-GB2312"/>
    <w:panose1 w:val="03000509000000000000"/>
    <w:charset w:val="00"/>
    <w:family w:val="auto"/>
    <w:pitch w:val="default"/>
    <w:sig w:usb0="00000000" w:usb1="00000000" w:usb2="00000000" w:usb3="00000000" w:csb0="00040000" w:csb1="00000000"/>
  </w:font>
  <w:font w:name="楷体_GB2312">
    <w:altName w:val="楷体"/>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6FD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639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E3AA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99310">
    <w:pPr>
      <w:spacing w:line="184" w:lineRule="auto"/>
      <w:ind w:firstLine="8034"/>
      <w:rPr>
        <w:rFonts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D7D4F1">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path/>
              <v:fill on="f" focussize="0,0"/>
              <v:stroke on="f" weight="0.5pt"/>
              <v:imagedata o:title=""/>
              <o:lock v:ext="edit" aspectratio="f"/>
              <v:textbox inset="0mm,0mm,0mm,0mm" style="mso-fit-shape-to-text:t;">
                <w:txbxContent>
                  <w:p w14:paraId="3AD7D4F1">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9AF18">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68671">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7F68671">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DDF3C"/>
    <w:multiLevelType w:val="singleLevel"/>
    <w:tmpl w:val="898DDF3C"/>
    <w:lvl w:ilvl="0" w:tentative="0">
      <w:start w:val="4"/>
      <w:numFmt w:val="chineseCounting"/>
      <w:suff w:val="nothing"/>
      <w:lvlText w:val="%1、"/>
      <w:lvlJc w:val="left"/>
      <w:rPr>
        <w:rFonts w:hint="eastAsia"/>
      </w:rPr>
    </w:lvl>
  </w:abstractNum>
  <w:abstractNum w:abstractNumId="1">
    <w:nsid w:val="A8A6E815"/>
    <w:multiLevelType w:val="singleLevel"/>
    <w:tmpl w:val="A8A6E815"/>
    <w:lvl w:ilvl="0" w:tentative="0">
      <w:start w:val="1"/>
      <w:numFmt w:val="chineseCounting"/>
      <w:suff w:val="nothing"/>
      <w:lvlText w:val="%1、"/>
      <w:lvlJc w:val="left"/>
      <w:rPr>
        <w:rFonts w:hint="eastAsia"/>
      </w:rPr>
    </w:lvl>
  </w:abstractNum>
  <w:abstractNum w:abstractNumId="2">
    <w:nsid w:val="CFDE4CF6"/>
    <w:multiLevelType w:val="singleLevel"/>
    <w:tmpl w:val="CFDE4CF6"/>
    <w:lvl w:ilvl="0" w:tentative="0">
      <w:start w:val="2"/>
      <w:numFmt w:val="chineseCounting"/>
      <w:suff w:val="space"/>
      <w:lvlText w:val="第%1部分"/>
      <w:lvlJc w:val="left"/>
      <w:rPr>
        <w:rFonts w:hint="eastAsia"/>
      </w:rPr>
    </w:lvl>
  </w:abstractNum>
  <w:abstractNum w:abstractNumId="3">
    <w:nsid w:val="D98D6343"/>
    <w:multiLevelType w:val="singleLevel"/>
    <w:tmpl w:val="D98D6343"/>
    <w:lvl w:ilvl="0" w:tentative="0">
      <w:start w:val="2"/>
      <w:numFmt w:val="chineseCounting"/>
      <w:suff w:val="nothing"/>
      <w:lvlText w:val="（%1）"/>
      <w:lvlJc w:val="left"/>
      <w:rPr>
        <w:rFonts w:hint="eastAsia"/>
      </w:rPr>
    </w:lvl>
  </w:abstractNum>
  <w:abstractNum w:abstractNumId="4">
    <w:nsid w:val="F93E3BF4"/>
    <w:multiLevelType w:val="singleLevel"/>
    <w:tmpl w:val="F93E3BF4"/>
    <w:lvl w:ilvl="0" w:tentative="0">
      <w:start w:val="5"/>
      <w:numFmt w:val="chineseCounting"/>
      <w:suff w:val="nothing"/>
      <w:lvlText w:val="%1、"/>
      <w:lvlJc w:val="left"/>
      <w:rPr>
        <w:rFonts w:hint="eastAsia"/>
      </w:rPr>
    </w:lvl>
  </w:abstractNum>
  <w:abstractNum w:abstractNumId="5">
    <w:nsid w:val="00CE7CF7"/>
    <w:multiLevelType w:val="singleLevel"/>
    <w:tmpl w:val="00CE7CF7"/>
    <w:lvl w:ilvl="0" w:tentative="0">
      <w:start w:val="3"/>
      <w:numFmt w:val="decimal"/>
      <w:suff w:val="nothing"/>
      <w:lvlText w:val="%1、"/>
      <w:lvlJc w:val="left"/>
    </w:lvl>
  </w:abstractNum>
  <w:abstractNum w:abstractNumId="6">
    <w:nsid w:val="66235143"/>
    <w:multiLevelType w:val="singleLevel"/>
    <w:tmpl w:val="66235143"/>
    <w:lvl w:ilvl="0" w:tentative="0">
      <w:start w:val="8"/>
      <w:numFmt w:val="chineseCounting"/>
      <w:suff w:val="nothing"/>
      <w:lvlText w:val="%1、"/>
      <w:lvlJc w:val="left"/>
      <w:rPr>
        <w:rFonts w:hint="eastAsia"/>
      </w:rPr>
    </w:lvl>
  </w:abstractNum>
  <w:abstractNum w:abstractNumId="7">
    <w:nsid w:val="6F9EE0D1"/>
    <w:multiLevelType w:val="singleLevel"/>
    <w:tmpl w:val="6F9EE0D1"/>
    <w:lvl w:ilvl="0" w:tentative="0">
      <w:start w:val="1"/>
      <w:numFmt w:val="chineseCounting"/>
      <w:suff w:val="nothing"/>
      <w:lvlText w:val="%1、"/>
      <w:lvlJc w:val="left"/>
      <w:rPr>
        <w:rFonts w:hint="eastAsia"/>
      </w:rPr>
    </w:lvl>
  </w:abstractNum>
  <w:num w:numId="1">
    <w:abstractNumId w:val="7"/>
  </w:num>
  <w:num w:numId="2">
    <w:abstractNumId w:val="2"/>
  </w:num>
  <w:num w:numId="3">
    <w:abstractNumId w:val="4"/>
  </w:num>
  <w:num w:numId="4">
    <w:abstractNumId w:val="5"/>
  </w:num>
  <w:num w:numId="5">
    <w:abstractNumId w:val="1"/>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DF0B72"/>
    <w:rsid w:val="2FDF85B8"/>
    <w:rsid w:val="2FFFEE04"/>
    <w:rsid w:val="33B3D739"/>
    <w:rsid w:val="34DF85B0"/>
    <w:rsid w:val="3B8F36BC"/>
    <w:rsid w:val="491FF225"/>
    <w:rsid w:val="4FFD214C"/>
    <w:rsid w:val="5777D4F5"/>
    <w:rsid w:val="59DD8326"/>
    <w:rsid w:val="5DEF592A"/>
    <w:rsid w:val="5FC6BB1E"/>
    <w:rsid w:val="5FF720F1"/>
    <w:rsid w:val="67FF5C0B"/>
    <w:rsid w:val="6BAE5939"/>
    <w:rsid w:val="6BCF3EE5"/>
    <w:rsid w:val="6EFC0924"/>
    <w:rsid w:val="6FB74722"/>
    <w:rsid w:val="6FD8258B"/>
    <w:rsid w:val="6FEF8B7E"/>
    <w:rsid w:val="71A6591B"/>
    <w:rsid w:val="737D59BA"/>
    <w:rsid w:val="77C37683"/>
    <w:rsid w:val="77FB47DB"/>
    <w:rsid w:val="79D19834"/>
    <w:rsid w:val="79FF515B"/>
    <w:rsid w:val="7E9E1962"/>
    <w:rsid w:val="7E9F11B4"/>
    <w:rsid w:val="7EB3024D"/>
    <w:rsid w:val="7F37EC1E"/>
    <w:rsid w:val="7F7DCD9D"/>
    <w:rsid w:val="7F970A6F"/>
    <w:rsid w:val="7FC1FFF3"/>
    <w:rsid w:val="7FC69637"/>
    <w:rsid w:val="7FDF8620"/>
    <w:rsid w:val="7FE8C8F7"/>
    <w:rsid w:val="7FFB242F"/>
    <w:rsid w:val="7FFDB408"/>
    <w:rsid w:val="7FFE4EEB"/>
    <w:rsid w:val="95FB2B98"/>
    <w:rsid w:val="9A639BC2"/>
    <w:rsid w:val="9FF7D786"/>
    <w:rsid w:val="ABBFB23D"/>
    <w:rsid w:val="BF6D9A0A"/>
    <w:rsid w:val="C3B4DA5A"/>
    <w:rsid w:val="CBFF70E0"/>
    <w:rsid w:val="CFF50B82"/>
    <w:rsid w:val="CFFFAD89"/>
    <w:rsid w:val="DB7BD518"/>
    <w:rsid w:val="DFFE359E"/>
    <w:rsid w:val="DFFE4FFD"/>
    <w:rsid w:val="EEABED75"/>
    <w:rsid w:val="EFDE7D2C"/>
    <w:rsid w:val="F56FDF51"/>
    <w:rsid w:val="F6B69F17"/>
    <w:rsid w:val="F77F1D61"/>
    <w:rsid w:val="F7FED3A9"/>
    <w:rsid w:val="F8C9DB26"/>
    <w:rsid w:val="F97E8EAE"/>
    <w:rsid w:val="FB36E1A6"/>
    <w:rsid w:val="FB3BE134"/>
    <w:rsid w:val="FC278370"/>
    <w:rsid w:val="FCFF4275"/>
    <w:rsid w:val="FD7FEEEA"/>
    <w:rsid w:val="FDFFB577"/>
    <w:rsid w:val="FEEA50FE"/>
    <w:rsid w:val="FF7D47A9"/>
    <w:rsid w:val="FF9D2040"/>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suppressAutoHyphens/>
      <w:ind w:left="1680"/>
    </w:pPr>
    <w:rPr>
      <w:szCs w:val="20"/>
    </w:rPr>
  </w:style>
  <w:style w:type="paragraph" w:styleId="3">
    <w:name w:val="Body T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正文-公1"/>
    <w:basedOn w:val="21"/>
    <w:next w:val="1"/>
    <w:qFormat/>
    <w:uiPriority w:val="0"/>
    <w:pPr>
      <w:ind w:firstLine="200" w:firstLineChars="200"/>
    </w:pPr>
  </w:style>
  <w:style w:type="paragraph" w:customStyle="1" w:styleId="2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0"/>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5458</Words>
  <Characters>6098</Characters>
  <Lines>69</Lines>
  <Paragraphs>19</Paragraphs>
  <TotalTime>0</TotalTime>
  <ScaleCrop>false</ScaleCrop>
  <LinksUpToDate>false</LinksUpToDate>
  <CharactersWithSpaces>6124</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kylin</cp:lastModifiedBy>
  <cp:lastPrinted>2024-08-10T18:20:00Z</cp:lastPrinted>
  <dcterms:modified xsi:type="dcterms:W3CDTF">2026-09-29T17:15:14Z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DB0A8504F11C4D51B390A99446E715B7_13</vt:lpwstr>
  </property>
  <property fmtid="{D5CDD505-2E9C-101B-9397-08002B2CF9AE}" pid="4" name="KSOTemplateDocerSaveRecord">
    <vt:lpwstr>eyJoZGlkIjoiMDIzZmVhODQ4MWU0ZTJiMTgzMWFmNmViN2I5YjhhZjMiLCJ1c2VySWQiOiI0MDkyMzgyNzYifQ==</vt:lpwstr>
  </property>
</Properties>
</file>