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5E885">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F08B134">
      <w:pPr>
        <w:pStyle w:val="12"/>
        <w:jc w:val="center"/>
        <w:rPr>
          <w:rFonts w:ascii="Times New Roman" w:hAnsi="Times New Roman" w:cs="Times New Roman"/>
          <w:sz w:val="56"/>
          <w:szCs w:val="56"/>
        </w:rPr>
      </w:pPr>
    </w:p>
    <w:p w14:paraId="4CD2A6FC">
      <w:pPr>
        <w:pStyle w:val="12"/>
        <w:jc w:val="center"/>
        <w:rPr>
          <w:rFonts w:ascii="Times New Roman" w:hAnsi="Times New Roman" w:cs="Times New Roman"/>
          <w:sz w:val="84"/>
          <w:szCs w:val="84"/>
        </w:rPr>
      </w:pPr>
    </w:p>
    <w:p w14:paraId="2F2CE330">
      <w:pPr>
        <w:pStyle w:val="12"/>
        <w:jc w:val="center"/>
        <w:rPr>
          <w:rFonts w:ascii="Times New Roman" w:hAnsi="Times New Roman" w:cs="Times New Roman"/>
          <w:sz w:val="84"/>
          <w:szCs w:val="84"/>
        </w:rPr>
      </w:pPr>
    </w:p>
    <w:p w14:paraId="1B9CBF2F">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E657A7F">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永州市看守所</w:t>
      </w:r>
      <w:r>
        <w:rPr>
          <w:rFonts w:ascii="Times New Roman" w:hAnsi="Times New Roman" w:eastAsia="方正小标宋简体" w:cs="Times New Roman"/>
          <w:sz w:val="72"/>
          <w:szCs w:val="72"/>
        </w:rPr>
        <w:t>部门决算</w:t>
      </w:r>
    </w:p>
    <w:p w14:paraId="00F02D18">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86F73C8">
      <w:pPr>
        <w:pStyle w:val="12"/>
        <w:spacing w:line="600" w:lineRule="exact"/>
        <w:jc w:val="both"/>
        <w:rPr>
          <w:rFonts w:ascii="Times New Roman" w:hAnsi="Times New Roman" w:cs="Times New Roman"/>
          <w:b/>
          <w:sz w:val="36"/>
          <w:szCs w:val="28"/>
        </w:rPr>
      </w:pPr>
    </w:p>
    <w:p w14:paraId="127CFE80">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AA24BC3">
      <w:pPr>
        <w:pStyle w:val="12"/>
        <w:spacing w:line="600" w:lineRule="exact"/>
        <w:jc w:val="center"/>
        <w:rPr>
          <w:rFonts w:ascii="Times New Roman" w:hAnsi="Times New Roman" w:cs="Times New Roman"/>
          <w:b/>
          <w:sz w:val="36"/>
          <w:szCs w:val="28"/>
        </w:rPr>
      </w:pPr>
    </w:p>
    <w:p w14:paraId="1D3AEA3A">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永州市看守所</w:t>
      </w:r>
      <w:r>
        <w:rPr>
          <w:rFonts w:ascii="Times New Roman" w:hAnsi="Times New Roman" w:cs="Times New Roman"/>
          <w:bCs/>
          <w:sz w:val="32"/>
          <w:szCs w:val="32"/>
        </w:rPr>
        <w:t>概况</w:t>
      </w:r>
    </w:p>
    <w:p w14:paraId="7CFD6D7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FB5AB5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B042DC3">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8CA5D1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40B7FF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F3ED71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ACCFBC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2E817B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3CAB9A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590084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0817BC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7879F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FEBC27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C49D02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786E90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FCC1BF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0775D0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37E9F7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6B2266E">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5E440B5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317D59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9BFB58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D1D2A7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58C900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65BD62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2B961B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254BA1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9CA5E9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C96C2DA">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90EF339">
      <w:pPr>
        <w:pStyle w:val="12"/>
        <w:spacing w:line="600" w:lineRule="exact"/>
        <w:rPr>
          <w:rFonts w:ascii="Times New Roman" w:hAnsi="Times New Roman" w:cs="Times New Roman"/>
          <w:bCs/>
          <w:sz w:val="28"/>
          <w:szCs w:val="28"/>
        </w:rPr>
      </w:pPr>
    </w:p>
    <w:p w14:paraId="37020BA5">
      <w:pPr>
        <w:jc w:val="center"/>
        <w:rPr>
          <w:rFonts w:ascii="Times New Roman" w:hAnsi="Times New Roman" w:cs="Times New Roman"/>
          <w:sz w:val="72"/>
          <w:szCs w:val="72"/>
        </w:rPr>
      </w:pPr>
    </w:p>
    <w:p w14:paraId="74F973BE">
      <w:pPr>
        <w:jc w:val="center"/>
        <w:rPr>
          <w:rFonts w:ascii="Times New Roman" w:hAnsi="Times New Roman" w:cs="Times New Roman"/>
          <w:sz w:val="72"/>
          <w:szCs w:val="72"/>
        </w:rPr>
      </w:pPr>
    </w:p>
    <w:p w14:paraId="29D3C7D7">
      <w:pPr>
        <w:jc w:val="center"/>
        <w:rPr>
          <w:rFonts w:ascii="Times New Roman" w:hAnsi="Times New Roman" w:cs="Times New Roman"/>
          <w:sz w:val="72"/>
          <w:szCs w:val="72"/>
        </w:rPr>
      </w:pPr>
    </w:p>
    <w:p w14:paraId="47DD32B1">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F9A1250">
      <w:pPr>
        <w:rPr>
          <w:rFonts w:ascii="Times New Roman" w:hAnsi="Times New Roman" w:eastAsia="方正小标宋_GBK" w:cs="Times New Roman"/>
          <w:sz w:val="72"/>
          <w:szCs w:val="72"/>
        </w:rPr>
      </w:pPr>
    </w:p>
    <w:p w14:paraId="445BC47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CBAC5EE">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永州市看守所</w:t>
      </w:r>
      <w:r>
        <w:rPr>
          <w:rFonts w:ascii="Times New Roman" w:hAnsi="Times New Roman" w:eastAsia="方正小标宋_GBK" w:cs="Times New Roman"/>
          <w:sz w:val="52"/>
          <w:szCs w:val="52"/>
        </w:rPr>
        <w:t>概况</w:t>
      </w:r>
    </w:p>
    <w:p w14:paraId="6BE5E453">
      <w:pPr>
        <w:pStyle w:val="3"/>
        <w:ind w:left="0" w:leftChars="0" w:firstLine="0" w:firstLineChars="0"/>
        <w:rPr>
          <w:rFonts w:ascii="Times New Roman" w:hAnsi="Times New Roman" w:cs="Times New Roman"/>
        </w:rPr>
      </w:pPr>
    </w:p>
    <w:p w14:paraId="3249913A">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316FD9A">
      <w:pPr>
        <w:widowControl/>
        <w:spacing w:line="600" w:lineRule="exact"/>
        <w:ind w:firstLine="640" w:firstLineChars="200"/>
        <w:rPr>
          <w:rFonts w:hint="eastAsia" w:eastAsia="仿宋_GB2312"/>
          <w:sz w:val="32"/>
          <w:szCs w:val="32"/>
          <w:lang w:eastAsia="zh-CN"/>
        </w:rPr>
      </w:pPr>
      <w:r>
        <w:rPr>
          <w:rFonts w:hint="eastAsia" w:eastAsia="仿宋_GB2312"/>
          <w:sz w:val="32"/>
          <w:szCs w:val="32"/>
        </w:rPr>
        <w:t>根据公安部、省公安厅的有关文件规定，看守所主要职责是</w:t>
      </w:r>
      <w:r>
        <w:rPr>
          <w:rFonts w:hint="eastAsia" w:eastAsia="仿宋_GB2312"/>
          <w:sz w:val="32"/>
          <w:szCs w:val="32"/>
          <w:lang w:eastAsia="zh-CN"/>
        </w:rPr>
        <w:t>：</w:t>
      </w:r>
    </w:p>
    <w:p w14:paraId="6DA858FD">
      <w:pPr>
        <w:widowControl/>
        <w:spacing w:line="600" w:lineRule="exact"/>
        <w:ind w:firstLine="640" w:firstLineChars="200"/>
        <w:rPr>
          <w:rFonts w:hint="eastAsia" w:ascii="仿宋_GB2312" w:hAnsi="仿宋_GB2312" w:eastAsia="仿宋_GB2312" w:cs="仿宋_GB2312"/>
          <w:b w:val="0"/>
          <w:bCs/>
          <w:kern w:val="0"/>
          <w:sz w:val="32"/>
          <w:szCs w:val="32"/>
          <w:lang w:eastAsia="zh-CN"/>
        </w:rPr>
      </w:pPr>
      <w:r>
        <w:rPr>
          <w:rFonts w:hint="eastAsia" w:ascii="仿宋_GB2312" w:hAnsi="仿宋_GB2312" w:eastAsia="仿宋_GB2312" w:cs="仿宋_GB2312"/>
          <w:b w:val="0"/>
          <w:bCs/>
          <w:kern w:val="0"/>
          <w:sz w:val="32"/>
          <w:szCs w:val="32"/>
        </w:rPr>
        <w:t>（一）</w:t>
      </w:r>
      <w:r>
        <w:rPr>
          <w:rFonts w:hint="eastAsia" w:eastAsia="仿宋_GB2312"/>
          <w:sz w:val="32"/>
          <w:szCs w:val="32"/>
        </w:rPr>
        <w:t>依据国家法律对被羁押的犯罪嫌疑人、被告人、罪犯实行武装警戒看守，保障安全</w:t>
      </w:r>
      <w:r>
        <w:rPr>
          <w:rFonts w:hint="eastAsia" w:eastAsia="仿宋_GB2312"/>
          <w:sz w:val="32"/>
          <w:szCs w:val="32"/>
          <w:lang w:eastAsia="zh-CN"/>
        </w:rPr>
        <w:t>。</w:t>
      </w:r>
    </w:p>
    <w:p w14:paraId="53491840">
      <w:pPr>
        <w:widowControl/>
        <w:spacing w:line="600" w:lineRule="exact"/>
        <w:ind w:firstLine="640" w:firstLineChars="200"/>
        <w:rPr>
          <w:rFonts w:hint="eastAsia" w:eastAsia="仿宋_GB2312"/>
          <w:sz w:val="32"/>
          <w:szCs w:val="32"/>
          <w:lang w:eastAsia="zh-CN"/>
        </w:rPr>
      </w:pPr>
      <w:r>
        <w:rPr>
          <w:rFonts w:hint="eastAsia" w:ascii="仿宋_GB2312" w:hAnsi="仿宋_GB2312" w:eastAsia="仿宋_GB2312" w:cs="仿宋_GB2312"/>
          <w:b w:val="0"/>
          <w:bCs/>
          <w:kern w:val="0"/>
          <w:sz w:val="32"/>
          <w:szCs w:val="32"/>
        </w:rPr>
        <w:t>（二）</w:t>
      </w:r>
      <w:r>
        <w:rPr>
          <w:rFonts w:hint="eastAsia" w:eastAsia="仿宋_GB2312"/>
          <w:sz w:val="32"/>
          <w:szCs w:val="32"/>
        </w:rPr>
        <w:t>对在押人员进行教育</w:t>
      </w:r>
      <w:r>
        <w:rPr>
          <w:rFonts w:hint="eastAsia" w:eastAsia="仿宋_GB2312"/>
          <w:sz w:val="32"/>
          <w:szCs w:val="32"/>
          <w:lang w:eastAsia="zh-CN"/>
        </w:rPr>
        <w:t>，</w:t>
      </w:r>
      <w:r>
        <w:rPr>
          <w:rFonts w:hint="eastAsia" w:eastAsia="仿宋_GB2312"/>
          <w:sz w:val="32"/>
          <w:szCs w:val="32"/>
        </w:rPr>
        <w:t>管理在押人员生活卫生</w:t>
      </w:r>
      <w:r>
        <w:rPr>
          <w:rFonts w:hint="eastAsia" w:eastAsia="仿宋_GB2312"/>
          <w:sz w:val="32"/>
          <w:szCs w:val="32"/>
          <w:lang w:eastAsia="zh-CN"/>
        </w:rPr>
        <w:t>。</w:t>
      </w:r>
    </w:p>
    <w:p w14:paraId="46041B0C">
      <w:pPr>
        <w:widowControl/>
        <w:spacing w:line="600" w:lineRule="exact"/>
        <w:ind w:firstLine="640" w:firstLineChars="200"/>
        <w:rPr>
          <w:rFonts w:hint="eastAsia" w:asciiTheme="minorEastAsia" w:hAnsiTheme="minorEastAsia" w:eastAsiaTheme="minorEastAsia"/>
          <w:b/>
          <w:bCs w:val="0"/>
          <w:sz w:val="32"/>
          <w:szCs w:val="32"/>
          <w:lang w:eastAsia="zh-CN"/>
        </w:rPr>
      </w:pPr>
      <w:r>
        <w:rPr>
          <w:rFonts w:hint="eastAsia" w:ascii="仿宋_GB2312" w:hAnsi="仿宋_GB2312" w:eastAsia="仿宋_GB2312" w:cs="仿宋_GB2312"/>
          <w:b w:val="0"/>
          <w:bCs/>
          <w:kern w:val="0"/>
          <w:sz w:val="32"/>
          <w:szCs w:val="32"/>
        </w:rPr>
        <w:t>（</w:t>
      </w:r>
      <w:r>
        <w:rPr>
          <w:rFonts w:hint="eastAsia" w:ascii="仿宋_GB2312" w:hAnsi="仿宋_GB2312" w:eastAsia="仿宋_GB2312" w:cs="仿宋_GB2312"/>
          <w:b w:val="0"/>
          <w:bCs/>
          <w:kern w:val="0"/>
          <w:sz w:val="32"/>
          <w:szCs w:val="32"/>
          <w:lang w:val="en-US" w:eastAsia="zh-CN"/>
        </w:rPr>
        <w:t>三</w:t>
      </w:r>
      <w:r>
        <w:rPr>
          <w:rFonts w:hint="eastAsia" w:ascii="仿宋_GB2312" w:hAnsi="仿宋_GB2312" w:eastAsia="仿宋_GB2312" w:cs="仿宋_GB2312"/>
          <w:b w:val="0"/>
          <w:bCs/>
          <w:kern w:val="0"/>
          <w:sz w:val="32"/>
          <w:szCs w:val="32"/>
        </w:rPr>
        <w:t>）</w:t>
      </w:r>
      <w:r>
        <w:rPr>
          <w:rFonts w:hint="eastAsia" w:eastAsia="仿宋_GB2312"/>
          <w:sz w:val="32"/>
          <w:szCs w:val="32"/>
        </w:rPr>
        <w:t>保障侦查、起诉和审判工作的顺利进行。</w:t>
      </w:r>
    </w:p>
    <w:p w14:paraId="2F4A4C7C">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BC95E9E">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仿宋_GB2312" w:hAnsi="仿宋_GB2312" w:eastAsia="仿宋_GB2312" w:cs="仿宋_GB2312"/>
          <w:bCs/>
          <w:kern w:val="0"/>
          <w:sz w:val="32"/>
          <w:szCs w:val="32"/>
          <w:lang w:val="en-US" w:eastAsia="zh-CN"/>
        </w:rPr>
        <w:t>永州市看守所</w:t>
      </w:r>
      <w:r>
        <w:rPr>
          <w:rFonts w:hint="eastAsia" w:ascii="仿宋_GB2312" w:hAnsi="仿宋_GB2312" w:eastAsia="仿宋_GB2312" w:cs="仿宋_GB2312"/>
          <w:bCs/>
          <w:kern w:val="0"/>
          <w:sz w:val="32"/>
          <w:szCs w:val="32"/>
        </w:rPr>
        <w:t>内设机构包括：</w:t>
      </w:r>
      <w:r>
        <w:rPr>
          <w:rFonts w:hint="eastAsia" w:eastAsia="仿宋_GB2312"/>
          <w:sz w:val="32"/>
          <w:szCs w:val="32"/>
        </w:rPr>
        <w:t>综合大队、管教大队、巡逻防控大队、收提押大队、医疗大队，含永州市未成年看守所和永州市女子看守所。实有在职人数</w:t>
      </w:r>
      <w:r>
        <w:rPr>
          <w:rFonts w:hint="eastAsia" w:eastAsia="仿宋_GB2312"/>
          <w:sz w:val="32"/>
          <w:szCs w:val="32"/>
          <w:lang w:val="en-US" w:eastAsia="zh-CN"/>
        </w:rPr>
        <w:t>49</w:t>
      </w:r>
      <w:r>
        <w:rPr>
          <w:rFonts w:hint="eastAsia" w:eastAsia="仿宋_GB2312"/>
          <w:sz w:val="32"/>
          <w:szCs w:val="32"/>
        </w:rPr>
        <w:t>人，比上年</w:t>
      </w:r>
      <w:r>
        <w:rPr>
          <w:rFonts w:hint="eastAsia" w:eastAsia="仿宋_GB2312"/>
          <w:sz w:val="32"/>
          <w:szCs w:val="32"/>
          <w:lang w:val="en-US" w:eastAsia="zh-CN"/>
        </w:rPr>
        <w:t>增加4</w:t>
      </w:r>
      <w:r>
        <w:rPr>
          <w:rFonts w:hint="eastAsia" w:eastAsia="仿宋_GB2312"/>
          <w:sz w:val="32"/>
          <w:szCs w:val="32"/>
        </w:rPr>
        <w:t>人。退休人员</w:t>
      </w:r>
      <w:r>
        <w:rPr>
          <w:rFonts w:hint="eastAsia" w:eastAsia="仿宋_GB2312"/>
          <w:sz w:val="32"/>
          <w:szCs w:val="32"/>
          <w:lang w:val="en-US" w:eastAsia="zh-CN"/>
        </w:rPr>
        <w:t>14</w:t>
      </w:r>
      <w:r>
        <w:rPr>
          <w:rFonts w:hint="eastAsia" w:eastAsia="仿宋_GB2312"/>
          <w:sz w:val="32"/>
          <w:szCs w:val="32"/>
        </w:rPr>
        <w:t>人，</w:t>
      </w:r>
      <w:r>
        <w:rPr>
          <w:rFonts w:hint="eastAsia" w:eastAsia="仿宋_GB2312"/>
          <w:sz w:val="32"/>
          <w:szCs w:val="32"/>
          <w:lang w:val="en-US" w:eastAsia="zh-CN"/>
        </w:rPr>
        <w:t>与</w:t>
      </w:r>
      <w:r>
        <w:rPr>
          <w:rFonts w:hint="eastAsia" w:eastAsia="仿宋_GB2312"/>
          <w:sz w:val="32"/>
          <w:szCs w:val="32"/>
        </w:rPr>
        <w:t>上年</w:t>
      </w:r>
      <w:r>
        <w:rPr>
          <w:rFonts w:hint="eastAsia" w:eastAsia="仿宋_GB2312"/>
          <w:sz w:val="32"/>
          <w:szCs w:val="32"/>
          <w:lang w:val="en-US" w:eastAsia="zh-CN"/>
        </w:rPr>
        <w:t>一致</w:t>
      </w:r>
      <w:r>
        <w:rPr>
          <w:rFonts w:hint="eastAsia" w:eastAsia="仿宋_GB2312"/>
          <w:sz w:val="32"/>
          <w:szCs w:val="32"/>
        </w:rPr>
        <w:t>。车辆编制2台，实有车辆2台。</w:t>
      </w:r>
    </w:p>
    <w:p w14:paraId="169E702D">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永州市看守所</w:t>
      </w:r>
      <w:r>
        <w:rPr>
          <w:rFonts w:ascii="Times New Roman" w:hAnsi="Times New Roman" w:eastAsia="仿宋_GB2312" w:cs="Times New Roman"/>
          <w:bCs/>
          <w:kern w:val="0"/>
          <w:sz w:val="32"/>
          <w:szCs w:val="32"/>
        </w:rPr>
        <w:t>单位202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黑体"/>
          <w:color w:val="000000"/>
          <w:kern w:val="0"/>
          <w:sz w:val="32"/>
          <w:szCs w:val="32"/>
          <w:lang w:val="en-US" w:eastAsia="zh-CN" w:bidi="ar-SA"/>
        </w:rPr>
        <w:t>永州市看守所本级。</w:t>
      </w:r>
    </w:p>
    <w:p w14:paraId="44FD5161">
      <w:pPr>
        <w:jc w:val="left"/>
        <w:rPr>
          <w:rFonts w:ascii="Times New Roman" w:hAnsi="Times New Roman" w:eastAsia="仿宋_GB2312" w:cs="Times New Roman"/>
          <w:sz w:val="28"/>
          <w:szCs w:val="32"/>
        </w:rPr>
      </w:pPr>
    </w:p>
    <w:p w14:paraId="40B71D02">
      <w:pPr>
        <w:jc w:val="both"/>
        <w:rPr>
          <w:rFonts w:ascii="Times New Roman" w:hAnsi="Times New Roman" w:eastAsia="黑体" w:cs="Times New Roman"/>
          <w:sz w:val="28"/>
          <w:szCs w:val="28"/>
        </w:rPr>
      </w:pPr>
    </w:p>
    <w:p w14:paraId="5D2B7AB0">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9F461A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D5BF54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DA17ED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4E6767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p w14:paraId="204DCE9C">
      <w:pPr>
        <w:widowControl/>
        <w:jc w:val="left"/>
        <w:textAlignment w:val="center"/>
        <w:rPr>
          <w:rFonts w:hint="eastAsia" w:ascii="Times New Roman" w:hAnsi="Times New Roman" w:eastAsia="宋体" w:cs="Times New Roman"/>
          <w:color w:val="000000"/>
          <w:kern w:val="0"/>
          <w:sz w:val="24"/>
          <w:szCs w:val="24"/>
          <w:lang w:eastAsia="zh-CN" w:bidi="ar"/>
        </w:rPr>
      </w:pPr>
      <w:r>
        <w:rPr>
          <w:rFonts w:hint="eastAsia" w:ascii="Times New Roman" w:hAnsi="Times New Roman" w:eastAsia="宋体" w:cs="Times New Roman"/>
          <w:color w:val="000000"/>
          <w:kern w:val="0"/>
          <w:sz w:val="24"/>
          <w:szCs w:val="24"/>
          <w:lang w:eastAsia="zh-CN" w:bidi="ar"/>
        </w:rPr>
        <w:drawing>
          <wp:inline distT="0" distB="0" distL="114300" distR="114300">
            <wp:extent cx="8926830" cy="4121150"/>
            <wp:effectExtent l="0" t="0" r="7620" b="12700"/>
            <wp:docPr id="1" name="图片 1" descr="1收入支出决算总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收入支出决算总表"/>
                    <pic:cNvPicPr>
                      <a:picLocks noChangeAspect="1"/>
                    </pic:cNvPicPr>
                  </pic:nvPicPr>
                  <pic:blipFill>
                    <a:blip r:embed="rId8"/>
                    <a:stretch>
                      <a:fillRect/>
                    </a:stretch>
                  </pic:blipFill>
                  <pic:spPr>
                    <a:xfrm>
                      <a:off x="0" y="0"/>
                      <a:ext cx="8926830" cy="4121150"/>
                    </a:xfrm>
                    <a:prstGeom prst="rect">
                      <a:avLst/>
                    </a:prstGeom>
                  </pic:spPr>
                </pic:pic>
              </a:graphicData>
            </a:graphic>
          </wp:inline>
        </w:drawing>
      </w:r>
    </w:p>
    <w:p w14:paraId="1A8106F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1DBE89FB">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3D769DA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6FC3782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8B8525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p w14:paraId="06CA2ED2">
      <w:pPr>
        <w:pStyle w:val="7"/>
        <w:rPr>
          <w:rFonts w:ascii="Times New Roman" w:hAnsi="Times New Roman" w:eastAsia="黑体" w:cs="Times New Roman"/>
          <w:color w:val="000000"/>
          <w:kern w:val="0"/>
          <w:sz w:val="32"/>
          <w:szCs w:val="32"/>
          <w:lang w:bidi="ar"/>
        </w:rPr>
      </w:pPr>
      <w:r>
        <w:rPr>
          <w:rFonts w:hint="eastAsia" w:eastAsia="仿宋_GB2312"/>
          <w:lang w:eastAsia="zh-CN"/>
        </w:rPr>
        <w:drawing>
          <wp:inline distT="0" distB="0" distL="114300" distR="114300">
            <wp:extent cx="8883015" cy="4911725"/>
            <wp:effectExtent l="0" t="0" r="13335" b="3175"/>
            <wp:docPr id="2" name="图片 2" descr="2收入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收入决算表"/>
                    <pic:cNvPicPr>
                      <a:picLocks noChangeAspect="1"/>
                    </pic:cNvPicPr>
                  </pic:nvPicPr>
                  <pic:blipFill>
                    <a:blip r:embed="rId9"/>
                    <a:stretch>
                      <a:fillRect/>
                    </a:stretch>
                  </pic:blipFill>
                  <pic:spPr>
                    <a:xfrm>
                      <a:off x="0" y="0"/>
                      <a:ext cx="8883015" cy="4911725"/>
                    </a:xfrm>
                    <a:prstGeom prst="rect">
                      <a:avLst/>
                    </a:prstGeom>
                  </pic:spPr>
                </pic:pic>
              </a:graphicData>
            </a:graphic>
          </wp:inline>
        </w:drawing>
      </w:r>
      <w:r>
        <w:rPr>
          <w:rFonts w:ascii="Times New Roman" w:hAnsi="Times New Roman" w:eastAsia="黑体" w:cs="Times New Roman"/>
          <w:bCs/>
          <w:kern w:val="0"/>
          <w:sz w:val="32"/>
          <w:szCs w:val="32"/>
        </w:rPr>
        <w:t xml:space="preserve"> </w:t>
      </w:r>
    </w:p>
    <w:p w14:paraId="101DFF9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E1A027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A654BE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p w14:paraId="73AA9E88">
      <w:pPr>
        <w:pStyle w:val="7"/>
        <w:rPr>
          <w:rFonts w:ascii="Times New Roman" w:hAnsi="Times New Roman" w:eastAsia="黑体" w:cs="Times New Roman"/>
          <w:color w:val="000000"/>
          <w:kern w:val="0"/>
          <w:sz w:val="32"/>
          <w:szCs w:val="32"/>
          <w:lang w:bidi="ar"/>
        </w:rPr>
      </w:pPr>
      <w:r>
        <w:rPr>
          <w:rFonts w:hint="eastAsia" w:eastAsia="仿宋_GB2312"/>
          <w:lang w:eastAsia="zh-CN"/>
        </w:rPr>
        <w:drawing>
          <wp:inline distT="0" distB="0" distL="114300" distR="114300">
            <wp:extent cx="8890000" cy="4919345"/>
            <wp:effectExtent l="0" t="0" r="6350" b="14605"/>
            <wp:docPr id="3" name="图片 3" descr="3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支出决算表"/>
                    <pic:cNvPicPr>
                      <a:picLocks noChangeAspect="1"/>
                    </pic:cNvPicPr>
                  </pic:nvPicPr>
                  <pic:blipFill>
                    <a:blip r:embed="rId10"/>
                    <a:stretch>
                      <a:fillRect/>
                    </a:stretch>
                  </pic:blipFill>
                  <pic:spPr>
                    <a:xfrm>
                      <a:off x="0" y="0"/>
                      <a:ext cx="8890000" cy="4919345"/>
                    </a:xfrm>
                    <a:prstGeom prst="rect">
                      <a:avLst/>
                    </a:prstGeom>
                  </pic:spPr>
                </pic:pic>
              </a:graphicData>
            </a:graphic>
          </wp:inline>
        </w:drawing>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A96FB1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7BCA9B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2C7B2F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p w14:paraId="34E61442">
      <w:pPr>
        <w:pStyle w:val="7"/>
        <w:rPr>
          <w:rFonts w:hint="eastAsia" w:eastAsia="仿宋_GB2312"/>
          <w:lang w:eastAsia="zh-CN"/>
        </w:rPr>
      </w:pPr>
      <w:r>
        <w:rPr>
          <w:rFonts w:hint="eastAsia" w:eastAsia="仿宋_GB2312"/>
          <w:lang w:eastAsia="zh-CN"/>
        </w:rPr>
        <w:drawing>
          <wp:inline distT="0" distB="0" distL="114300" distR="114300">
            <wp:extent cx="8883015" cy="4947920"/>
            <wp:effectExtent l="0" t="0" r="13335" b="5080"/>
            <wp:docPr id="4" name="图片 4" descr="4财政拨款收入支出决算总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财政拨款收入支出决算总表"/>
                    <pic:cNvPicPr>
                      <a:picLocks noChangeAspect="1"/>
                    </pic:cNvPicPr>
                  </pic:nvPicPr>
                  <pic:blipFill>
                    <a:blip r:embed="rId11"/>
                    <a:stretch>
                      <a:fillRect/>
                    </a:stretch>
                  </pic:blipFill>
                  <pic:spPr>
                    <a:xfrm>
                      <a:off x="0" y="0"/>
                      <a:ext cx="8883015" cy="4947920"/>
                    </a:xfrm>
                    <a:prstGeom prst="rect">
                      <a:avLst/>
                    </a:prstGeom>
                  </pic:spPr>
                </pic:pic>
              </a:graphicData>
            </a:graphic>
          </wp:inline>
        </w:drawing>
      </w:r>
    </w:p>
    <w:p w14:paraId="4360F41F">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B89D1E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E28ED02">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603CC4A4">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单位：万元</w:t>
      </w:r>
    </w:p>
    <w:p w14:paraId="3F5F1894">
      <w:pPr>
        <w:pStyle w:val="7"/>
        <w:rPr>
          <w:rFonts w:hint="eastAsia" w:eastAsia="仿宋_GB2312"/>
          <w:lang w:eastAsia="zh-CN"/>
        </w:rPr>
      </w:pPr>
      <w:r>
        <w:rPr>
          <w:rFonts w:hint="eastAsia" w:eastAsia="仿宋_GB2312"/>
          <w:lang w:eastAsia="zh-CN"/>
        </w:rPr>
        <w:drawing>
          <wp:inline distT="0" distB="0" distL="114300" distR="114300">
            <wp:extent cx="8728075" cy="5081905"/>
            <wp:effectExtent l="0" t="0" r="15875" b="4445"/>
            <wp:docPr id="6" name="图片 6" descr="5一般公共预算财政拨款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一般公共预算财政拨款支出决算表"/>
                    <pic:cNvPicPr>
                      <a:picLocks noChangeAspect="1"/>
                    </pic:cNvPicPr>
                  </pic:nvPicPr>
                  <pic:blipFill>
                    <a:blip r:embed="rId12"/>
                    <a:stretch>
                      <a:fillRect/>
                    </a:stretch>
                  </pic:blipFill>
                  <pic:spPr>
                    <a:xfrm>
                      <a:off x="0" y="0"/>
                      <a:ext cx="8728075" cy="5081905"/>
                    </a:xfrm>
                    <a:prstGeom prst="rect">
                      <a:avLst/>
                    </a:prstGeom>
                  </pic:spPr>
                </pic:pic>
              </a:graphicData>
            </a:graphic>
          </wp:inline>
        </w:drawing>
      </w:r>
    </w:p>
    <w:p w14:paraId="3632647B">
      <w:pPr>
        <w:widowControl/>
        <w:jc w:val="left"/>
        <w:rPr>
          <w:rFonts w:ascii="Times New Roman" w:hAnsi="Times New Roman" w:eastAsia="仿宋_GB2312" w:cs="Times New Roman"/>
          <w:bCs/>
          <w:kern w:val="0"/>
          <w:szCs w:val="21"/>
        </w:rPr>
      </w:pPr>
    </w:p>
    <w:p w14:paraId="2BD6B37C">
      <w:pPr>
        <w:widowControl/>
        <w:jc w:val="left"/>
        <w:rPr>
          <w:rFonts w:ascii="Times New Roman" w:hAnsi="Times New Roman" w:eastAsia="仿宋_GB2312" w:cs="Times New Roman"/>
          <w:bCs/>
          <w:kern w:val="0"/>
          <w:szCs w:val="21"/>
        </w:rPr>
      </w:pPr>
    </w:p>
    <w:p w14:paraId="256BCDB9">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77DB67F">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7892C95B">
      <w:pPr>
        <w:widowControl/>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p w14:paraId="3877241C">
      <w:pPr>
        <w:pStyle w:val="7"/>
        <w:rPr>
          <w:rFonts w:hint="eastAsia" w:eastAsia="仿宋_GB2312"/>
          <w:lang w:eastAsia="zh-CN"/>
        </w:rPr>
      </w:pPr>
      <w:r>
        <w:rPr>
          <w:rFonts w:hint="eastAsia" w:eastAsia="仿宋_GB2312"/>
          <w:lang w:eastAsia="zh-CN"/>
        </w:rPr>
        <w:drawing>
          <wp:inline distT="0" distB="0" distL="114300" distR="114300">
            <wp:extent cx="8883015" cy="4836160"/>
            <wp:effectExtent l="0" t="0" r="13335" b="2540"/>
            <wp:docPr id="7" name="图片 7" descr="6一般公共预算支出决算明细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一般公共预算支出决算明细表"/>
                    <pic:cNvPicPr>
                      <a:picLocks noChangeAspect="1"/>
                    </pic:cNvPicPr>
                  </pic:nvPicPr>
                  <pic:blipFill>
                    <a:blip r:embed="rId13"/>
                    <a:stretch>
                      <a:fillRect/>
                    </a:stretch>
                  </pic:blipFill>
                  <pic:spPr>
                    <a:xfrm>
                      <a:off x="0" y="0"/>
                      <a:ext cx="8883015" cy="4836160"/>
                    </a:xfrm>
                    <a:prstGeom prst="rect">
                      <a:avLst/>
                    </a:prstGeom>
                  </pic:spPr>
                </pic:pic>
              </a:graphicData>
            </a:graphic>
          </wp:inline>
        </w:drawing>
      </w:r>
    </w:p>
    <w:p w14:paraId="63F42BDB">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6C5A1F6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7F999AC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BAE6C1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p w14:paraId="222AC763">
      <w:pPr>
        <w:pStyle w:val="7"/>
        <w:rPr>
          <w:rFonts w:hint="eastAsia" w:eastAsia="仿宋_GB2312"/>
          <w:lang w:eastAsia="zh-CN"/>
        </w:rPr>
      </w:pPr>
      <w:r>
        <w:rPr>
          <w:rFonts w:hint="eastAsia" w:eastAsia="仿宋_GB2312"/>
          <w:lang w:eastAsia="zh-CN"/>
        </w:rPr>
        <w:drawing>
          <wp:inline distT="0" distB="0" distL="114300" distR="114300">
            <wp:extent cx="8888095" cy="1652905"/>
            <wp:effectExtent l="0" t="0" r="8255" b="4445"/>
            <wp:docPr id="9" name="图片 9" descr="7政府基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政府基金"/>
                    <pic:cNvPicPr>
                      <a:picLocks noChangeAspect="1"/>
                    </pic:cNvPicPr>
                  </pic:nvPicPr>
                  <pic:blipFill>
                    <a:blip r:embed="rId14"/>
                    <a:stretch>
                      <a:fillRect/>
                    </a:stretch>
                  </pic:blipFill>
                  <pic:spPr>
                    <a:xfrm>
                      <a:off x="0" y="0"/>
                      <a:ext cx="8888095" cy="1652905"/>
                    </a:xfrm>
                    <a:prstGeom prst="rect">
                      <a:avLst/>
                    </a:prstGeom>
                  </pic:spPr>
                </pic:pic>
              </a:graphicData>
            </a:graphic>
          </wp:inline>
        </w:drawing>
      </w:r>
    </w:p>
    <w:p w14:paraId="743F54A9">
      <w:pPr>
        <w:widowControl/>
        <w:jc w:val="left"/>
        <w:textAlignment w:val="center"/>
        <w:rPr>
          <w:rFonts w:ascii="Times New Roman" w:hAnsi="Times New Roman" w:eastAsia="仿宋_GB2312" w:cs="Times New Roman"/>
          <w:color w:val="000000"/>
          <w:kern w:val="0"/>
          <w:sz w:val="24"/>
          <w:szCs w:val="24"/>
          <w:lang w:bidi="ar"/>
        </w:rPr>
      </w:pPr>
    </w:p>
    <w:p w14:paraId="67FC64CF">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4EFD0FFB">
      <w:pPr>
        <w:widowControl/>
        <w:jc w:val="center"/>
        <w:rPr>
          <w:rFonts w:ascii="Times New Roman" w:hAnsi="Times New Roman" w:eastAsia="方正小标宋_GBK" w:cs="Times New Roman"/>
          <w:color w:val="000000"/>
          <w:kern w:val="0"/>
          <w:sz w:val="36"/>
          <w:szCs w:val="36"/>
        </w:rPr>
      </w:pPr>
    </w:p>
    <w:p w14:paraId="0EF21516">
      <w:pPr>
        <w:pStyle w:val="7"/>
        <w:rPr>
          <w:rFonts w:ascii="Times New Roman" w:hAnsi="Times New Roman" w:eastAsia="方正小标宋_GBK" w:cs="Times New Roman"/>
          <w:color w:val="000000"/>
          <w:kern w:val="0"/>
          <w:sz w:val="36"/>
          <w:szCs w:val="36"/>
        </w:rPr>
      </w:pPr>
    </w:p>
    <w:p w14:paraId="2D2921D7">
      <w:pPr>
        <w:pStyle w:val="3"/>
        <w:rPr>
          <w:rFonts w:ascii="Times New Roman" w:hAnsi="Times New Roman" w:eastAsia="方正小标宋_GBK" w:cs="Times New Roman"/>
          <w:color w:val="000000"/>
          <w:kern w:val="0"/>
          <w:sz w:val="36"/>
          <w:szCs w:val="36"/>
        </w:rPr>
      </w:pPr>
    </w:p>
    <w:p w14:paraId="7FCE44A9">
      <w:pPr>
        <w:rPr>
          <w:rFonts w:ascii="Times New Roman" w:hAnsi="Times New Roman" w:eastAsia="方正小标宋_GBK" w:cs="Times New Roman"/>
          <w:color w:val="000000"/>
          <w:kern w:val="0"/>
          <w:sz w:val="36"/>
          <w:szCs w:val="36"/>
        </w:rPr>
      </w:pPr>
    </w:p>
    <w:p w14:paraId="2A0CFD8F">
      <w:pPr>
        <w:pStyle w:val="7"/>
        <w:rPr>
          <w:rFonts w:ascii="Times New Roman" w:hAnsi="Times New Roman" w:eastAsia="方正小标宋_GBK" w:cs="Times New Roman"/>
          <w:color w:val="000000"/>
          <w:kern w:val="0"/>
          <w:sz w:val="36"/>
          <w:szCs w:val="36"/>
        </w:rPr>
      </w:pPr>
    </w:p>
    <w:p w14:paraId="3FA23433">
      <w:pPr>
        <w:pStyle w:val="3"/>
        <w:rPr>
          <w:rFonts w:ascii="Times New Roman" w:hAnsi="Times New Roman" w:eastAsia="方正小标宋_GBK" w:cs="Times New Roman"/>
          <w:color w:val="000000"/>
          <w:kern w:val="0"/>
          <w:sz w:val="36"/>
          <w:szCs w:val="36"/>
        </w:rPr>
      </w:pPr>
    </w:p>
    <w:p w14:paraId="3276EA9D">
      <w:pPr>
        <w:rPr>
          <w:rFonts w:ascii="Times New Roman" w:hAnsi="Times New Roman" w:eastAsia="方正小标宋_GBK" w:cs="Times New Roman"/>
          <w:color w:val="000000"/>
          <w:kern w:val="0"/>
          <w:sz w:val="36"/>
          <w:szCs w:val="36"/>
        </w:rPr>
      </w:pPr>
    </w:p>
    <w:p w14:paraId="30B8A8A9">
      <w:pPr>
        <w:pStyle w:val="7"/>
      </w:pPr>
    </w:p>
    <w:p w14:paraId="36C04E8B">
      <w:pPr>
        <w:widowControl/>
        <w:spacing w:line="400" w:lineRule="exact"/>
        <w:textAlignment w:val="center"/>
        <w:rPr>
          <w:rFonts w:ascii="Times New Roman" w:hAnsi="Times New Roman" w:eastAsia="黑体" w:cs="Times New Roman"/>
          <w:color w:val="000000"/>
          <w:kern w:val="0"/>
          <w:sz w:val="36"/>
          <w:szCs w:val="36"/>
          <w:lang w:bidi="ar"/>
        </w:rPr>
      </w:pPr>
    </w:p>
    <w:p w14:paraId="38FAD16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1E9ADB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54BA3D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p w14:paraId="779EED33">
      <w:pPr>
        <w:pStyle w:val="7"/>
        <w:rPr>
          <w:rFonts w:hint="eastAsia" w:eastAsia="仿宋_GB2312"/>
          <w:lang w:eastAsia="zh-CN"/>
        </w:rPr>
      </w:pPr>
      <w:r>
        <w:rPr>
          <w:rFonts w:hint="eastAsia" w:eastAsia="仿宋_GB2312"/>
          <w:lang w:eastAsia="zh-CN"/>
        </w:rPr>
        <w:drawing>
          <wp:inline distT="0" distB="0" distL="114300" distR="114300">
            <wp:extent cx="6146165" cy="1719580"/>
            <wp:effectExtent l="0" t="0" r="6985" b="13970"/>
            <wp:docPr id="10" name="图片 10" descr="8国有资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8国有资本"/>
                    <pic:cNvPicPr>
                      <a:picLocks noChangeAspect="1"/>
                    </pic:cNvPicPr>
                  </pic:nvPicPr>
                  <pic:blipFill>
                    <a:blip r:embed="rId15"/>
                    <a:stretch>
                      <a:fillRect/>
                    </a:stretch>
                  </pic:blipFill>
                  <pic:spPr>
                    <a:xfrm>
                      <a:off x="0" y="0"/>
                      <a:ext cx="6146165" cy="1719580"/>
                    </a:xfrm>
                    <a:prstGeom prst="rect">
                      <a:avLst/>
                    </a:prstGeom>
                  </pic:spPr>
                </pic:pic>
              </a:graphicData>
            </a:graphic>
          </wp:inline>
        </w:drawing>
      </w:r>
    </w:p>
    <w:p w14:paraId="4B217C24">
      <w:pPr>
        <w:widowControl/>
        <w:jc w:val="left"/>
        <w:textAlignment w:val="center"/>
        <w:rPr>
          <w:rFonts w:ascii="Times New Roman" w:hAnsi="Times New Roman" w:eastAsia="宋体" w:cs="Times New Roman"/>
          <w:color w:val="000000"/>
          <w:kern w:val="0"/>
          <w:sz w:val="24"/>
          <w:szCs w:val="24"/>
          <w:lang w:bidi="ar"/>
        </w:rPr>
      </w:pPr>
    </w:p>
    <w:p w14:paraId="04B34EE0">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57902351">
      <w:pPr>
        <w:widowControl/>
        <w:jc w:val="center"/>
        <w:rPr>
          <w:rFonts w:ascii="Times New Roman" w:hAnsi="Times New Roman" w:eastAsia="方正小标宋_GBK" w:cs="Times New Roman"/>
          <w:color w:val="000000"/>
          <w:kern w:val="0"/>
          <w:sz w:val="36"/>
          <w:szCs w:val="36"/>
        </w:rPr>
      </w:pPr>
    </w:p>
    <w:p w14:paraId="7B8FE08C">
      <w:pPr>
        <w:pStyle w:val="7"/>
        <w:spacing w:line="400" w:lineRule="exact"/>
        <w:rPr>
          <w:rFonts w:ascii="Times New Roman" w:hAnsi="Times New Roman" w:eastAsia="华文中宋" w:cs="Times New Roman"/>
          <w:color w:val="000000"/>
          <w:kern w:val="0"/>
          <w:sz w:val="32"/>
          <w:szCs w:val="32"/>
          <w:lang w:bidi="ar"/>
        </w:rPr>
      </w:pPr>
    </w:p>
    <w:p w14:paraId="37DC5B7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DC67D0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4D6447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7A4A86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392E27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7318EFF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70063F0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lang w:bidi="ar"/>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p w14:paraId="3AA2AD87">
      <w:pPr>
        <w:pStyle w:val="7"/>
        <w:rPr>
          <w:rFonts w:hint="eastAsia" w:eastAsia="楷体_GB2312"/>
          <w:lang w:eastAsia="zh-CN"/>
        </w:rPr>
      </w:pPr>
      <w:r>
        <w:rPr>
          <w:rFonts w:hint="eastAsia" w:eastAsia="楷体_GB2312"/>
          <w:lang w:eastAsia="zh-CN"/>
        </w:rPr>
        <w:drawing>
          <wp:inline distT="0" distB="0" distL="114300" distR="114300">
            <wp:extent cx="8883650" cy="1383665"/>
            <wp:effectExtent l="0" t="0" r="12700" b="6985"/>
            <wp:docPr id="11" name="图片 11" descr="9三公经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9三公经费"/>
                    <pic:cNvPicPr>
                      <a:picLocks noChangeAspect="1"/>
                    </pic:cNvPicPr>
                  </pic:nvPicPr>
                  <pic:blipFill>
                    <a:blip r:embed="rId16"/>
                    <a:stretch>
                      <a:fillRect/>
                    </a:stretch>
                  </pic:blipFill>
                  <pic:spPr>
                    <a:xfrm>
                      <a:off x="0" y="0"/>
                      <a:ext cx="8883650" cy="1383665"/>
                    </a:xfrm>
                    <a:prstGeom prst="rect">
                      <a:avLst/>
                    </a:prstGeom>
                  </pic:spPr>
                </pic:pic>
              </a:graphicData>
            </a:graphic>
          </wp:inline>
        </w:drawing>
      </w:r>
    </w:p>
    <w:p w14:paraId="02B5D050">
      <w:pPr>
        <w:autoSpaceDE w:val="0"/>
        <w:autoSpaceDN w:val="0"/>
        <w:adjustRightInd w:val="0"/>
        <w:ind w:left="315" w:leftChars="150"/>
        <w:jc w:val="left"/>
        <w:rPr>
          <w:rFonts w:ascii="Times New Roman" w:hAnsi="Times New Roman" w:eastAsia="宋体" w:cs="Times New Roman"/>
          <w:kern w:val="0"/>
          <w:sz w:val="24"/>
          <w:szCs w:val="24"/>
        </w:rPr>
      </w:pPr>
    </w:p>
    <w:p w14:paraId="1F53A5CD">
      <w:pPr>
        <w:autoSpaceDE w:val="0"/>
        <w:autoSpaceDN w:val="0"/>
        <w:adjustRightInd w:val="0"/>
        <w:ind w:left="315" w:leftChars="150"/>
        <w:jc w:val="left"/>
        <w:rPr>
          <w:rFonts w:ascii="Times New Roman" w:hAnsi="Times New Roman" w:eastAsia="宋体" w:cs="Times New Roman"/>
          <w:kern w:val="0"/>
          <w:sz w:val="24"/>
          <w:szCs w:val="24"/>
        </w:rPr>
      </w:pPr>
    </w:p>
    <w:p w14:paraId="24242B21">
      <w:pPr>
        <w:autoSpaceDE w:val="0"/>
        <w:autoSpaceDN w:val="0"/>
        <w:adjustRightInd w:val="0"/>
        <w:ind w:left="315" w:leftChars="150"/>
        <w:jc w:val="left"/>
        <w:rPr>
          <w:rFonts w:ascii="Times New Roman" w:hAnsi="Times New Roman" w:eastAsia="宋体" w:cs="Times New Roman"/>
          <w:kern w:val="0"/>
          <w:sz w:val="24"/>
          <w:szCs w:val="24"/>
        </w:rPr>
      </w:pPr>
    </w:p>
    <w:p w14:paraId="62554282">
      <w:pPr>
        <w:autoSpaceDE w:val="0"/>
        <w:autoSpaceDN w:val="0"/>
        <w:adjustRightInd w:val="0"/>
        <w:ind w:left="315" w:leftChars="150"/>
        <w:jc w:val="left"/>
        <w:rPr>
          <w:rFonts w:ascii="Times New Roman" w:hAnsi="Times New Roman" w:eastAsia="宋体" w:cs="Times New Roman"/>
          <w:kern w:val="0"/>
          <w:sz w:val="24"/>
          <w:szCs w:val="24"/>
        </w:rPr>
      </w:pPr>
    </w:p>
    <w:p w14:paraId="4037299A">
      <w:pPr>
        <w:autoSpaceDE w:val="0"/>
        <w:autoSpaceDN w:val="0"/>
        <w:adjustRightInd w:val="0"/>
        <w:ind w:left="315" w:leftChars="150"/>
        <w:jc w:val="left"/>
        <w:rPr>
          <w:rFonts w:ascii="Times New Roman" w:hAnsi="Times New Roman" w:eastAsia="宋体" w:cs="Times New Roman"/>
          <w:kern w:val="0"/>
          <w:sz w:val="24"/>
          <w:szCs w:val="24"/>
        </w:rPr>
      </w:pPr>
    </w:p>
    <w:p w14:paraId="7F9FCEF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E1FE981">
      <w:pPr>
        <w:pStyle w:val="12"/>
        <w:rPr>
          <w:rFonts w:ascii="Times New Roman" w:hAnsi="Times New Roman" w:cs="Times New Roman"/>
          <w:sz w:val="72"/>
          <w:szCs w:val="72"/>
        </w:rPr>
      </w:pPr>
    </w:p>
    <w:p w14:paraId="0ACDC3C2">
      <w:pPr>
        <w:pStyle w:val="12"/>
        <w:rPr>
          <w:rFonts w:ascii="Times New Roman" w:hAnsi="Times New Roman" w:cs="Times New Roman"/>
          <w:sz w:val="72"/>
          <w:szCs w:val="72"/>
        </w:rPr>
      </w:pPr>
    </w:p>
    <w:p w14:paraId="472026FB">
      <w:pPr>
        <w:pStyle w:val="12"/>
        <w:rPr>
          <w:rFonts w:ascii="Times New Roman" w:hAnsi="Times New Roman" w:cs="Times New Roman"/>
          <w:sz w:val="72"/>
          <w:szCs w:val="72"/>
        </w:rPr>
      </w:pPr>
    </w:p>
    <w:p w14:paraId="52CBD522">
      <w:pPr>
        <w:pStyle w:val="12"/>
        <w:jc w:val="center"/>
        <w:rPr>
          <w:rFonts w:ascii="Times New Roman" w:hAnsi="Times New Roman" w:cs="Times New Roman"/>
          <w:sz w:val="72"/>
          <w:szCs w:val="72"/>
        </w:rPr>
      </w:pPr>
    </w:p>
    <w:p w14:paraId="4D8B8709">
      <w:pPr>
        <w:pStyle w:val="12"/>
        <w:jc w:val="center"/>
        <w:rPr>
          <w:rFonts w:ascii="Times New Roman" w:hAnsi="Times New Roman" w:eastAsia="方正小标宋_GBK" w:cs="Times New Roman"/>
          <w:sz w:val="72"/>
          <w:szCs w:val="72"/>
        </w:rPr>
      </w:pPr>
    </w:p>
    <w:p w14:paraId="56544133">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D34B888">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A6AEECE">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A4DEA0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7D77B3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2137.87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57.48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办公经费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羁押经费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日常运行维护经费</w:t>
      </w:r>
      <w:r>
        <w:rPr>
          <w:rFonts w:hint="eastAsia" w:ascii="Times New Roman" w:hAnsi="Times New Roman" w:eastAsia="仿宋_GB2312" w:cs="Times New Roman"/>
          <w:sz w:val="32"/>
          <w:szCs w:val="32"/>
          <w:lang w:eastAsia="zh-CN"/>
        </w:rPr>
        <w:t>等重点支出。</w:t>
      </w:r>
    </w:p>
    <w:p w14:paraId="02F7FDA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E500BE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2137.87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2121.52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99.24</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16.35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0.76</w:t>
      </w:r>
      <w:r>
        <w:rPr>
          <w:rFonts w:ascii="Times New Roman" w:hAnsi="Times New Roman" w:eastAsia="仿宋_GB2312" w:cs="Times New Roman"/>
          <w:sz w:val="32"/>
          <w:szCs w:val="32"/>
        </w:rPr>
        <w:t>%。</w:t>
      </w:r>
    </w:p>
    <w:p w14:paraId="18A7559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9EC04A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2137.87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1113.65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52.09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1024.22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47.91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C1CCEB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B5DD0F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2121.52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24.45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在职人员从去年的45人增加到今年的49人，人员增加导致人员类经费和公用经费增加。</w:t>
      </w:r>
    </w:p>
    <w:p w14:paraId="634FD8B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6E918D1">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03A664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2121.52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99.24</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24.45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在职人员从去年的45人增加到今年的49人，人员增加导致人员类经费和公用经费增加。</w:t>
      </w:r>
    </w:p>
    <w:p w14:paraId="3CFA695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F569B9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2121.52</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公共安全</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1894.60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89.30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119.83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5.65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37.83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1.78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住房保障支出69.26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3.26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4714B82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8DD76A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1898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2121.52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111.78</w:t>
      </w:r>
      <w:r>
        <w:rPr>
          <w:rFonts w:ascii="Times New Roman" w:hAnsi="Times New Roman" w:eastAsia="仿宋_GB2312" w:cs="Times New Roman"/>
          <w:sz w:val="32"/>
          <w:szCs w:val="32"/>
        </w:rPr>
        <w:t>%，其中：</w:t>
      </w:r>
    </w:p>
    <w:p w14:paraId="231FB67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公共安全</w:t>
      </w:r>
      <w:r>
        <w:rPr>
          <w:rFonts w:ascii="Times New Roman" w:hAnsi="Times New Roman" w:eastAsia="仿宋_GB2312" w:cs="Times New Roman"/>
          <w:sz w:val="32"/>
          <w:szCs w:val="32"/>
        </w:rPr>
        <w:t>支出。</w:t>
      </w:r>
    </w:p>
    <w:p w14:paraId="75BA135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1894.60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110.67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1、在职人员从去年的45人增加到今年的49人，人员增加导致人员类经费和公用经费增加；2、年中追加提前下达的一般性转移支付资金。</w:t>
      </w:r>
    </w:p>
    <w:p w14:paraId="6CF0E0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支出。</w:t>
      </w:r>
    </w:p>
    <w:p w14:paraId="66DE48A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82.19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119.83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145.80</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在职人员从去年的45人增加到今年的49人，人员增加导致人员类经费和公用经费增加。</w:t>
      </w:r>
    </w:p>
    <w:p w14:paraId="303F181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w:t>
      </w:r>
      <w:r>
        <w:rPr>
          <w:rFonts w:ascii="Times New Roman" w:hAnsi="Times New Roman" w:eastAsia="仿宋_GB2312" w:cs="Times New Roman"/>
          <w:sz w:val="32"/>
          <w:szCs w:val="32"/>
        </w:rPr>
        <w:t>支出。</w:t>
      </w:r>
    </w:p>
    <w:p w14:paraId="1FAFB10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35.54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37.83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106.44</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在职人员从去年的45人增加到今年的49人，人员增加导致人员类经费和公用经费增加。</w:t>
      </w:r>
    </w:p>
    <w:p w14:paraId="1EEF437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w:t>
      </w:r>
      <w:r>
        <w:rPr>
          <w:rFonts w:ascii="Times New Roman" w:hAnsi="Times New Roman" w:eastAsia="仿宋_GB2312" w:cs="Times New Roman"/>
          <w:sz w:val="32"/>
          <w:szCs w:val="32"/>
        </w:rPr>
        <w:t>支出。</w:t>
      </w:r>
    </w:p>
    <w:p w14:paraId="235AF9C2">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68.27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69.26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101.45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在职人员从去年的45人增加到今年的49人，人员增加导致人员类经费和公用经费增加。</w:t>
      </w:r>
    </w:p>
    <w:p w14:paraId="1E55A79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1430B9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1113.65</w:t>
      </w:r>
      <w:r>
        <w:rPr>
          <w:rFonts w:ascii="Times New Roman" w:hAnsi="Times New Roman" w:eastAsia="仿宋_GB2312" w:cs="Times New Roman"/>
          <w:sz w:val="32"/>
          <w:szCs w:val="32"/>
        </w:rPr>
        <w:t>万元，其中：</w:t>
      </w:r>
    </w:p>
    <w:p w14:paraId="2214983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900.92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80.90</w:t>
      </w:r>
      <w:r>
        <w:rPr>
          <w:rFonts w:ascii="Times New Roman" w:hAnsi="Times New Roman" w:eastAsia="仿宋_GB2312" w:cs="Times New Roman"/>
          <w:sz w:val="32"/>
          <w:szCs w:val="32"/>
        </w:rPr>
        <w:t>%,主要包括基本</w:t>
      </w:r>
      <w:r>
        <w:rPr>
          <w:rFonts w:hint="eastAsia" w:ascii="Times New Roman" w:hAnsi="Times New Roman" w:eastAsia="仿宋_GB2312" w:cs="Times New Roman"/>
          <w:sz w:val="32"/>
          <w:szCs w:val="32"/>
          <w:lang w:val="en-US" w:eastAsia="zh-CN"/>
        </w:rPr>
        <w:t>基本</w:t>
      </w:r>
      <w:r>
        <w:rPr>
          <w:rFonts w:ascii="Times New Roman" w:hAnsi="Times New Roman" w:eastAsia="仿宋_GB2312" w:cs="Times New Roman"/>
          <w:sz w:val="32"/>
          <w:szCs w:val="32"/>
        </w:rPr>
        <w:t>工资</w:t>
      </w:r>
      <w:r>
        <w:rPr>
          <w:rFonts w:hint="eastAsia" w:ascii="Times New Roman" w:hAnsi="Times New Roman" w:eastAsia="仿宋_GB2312" w:cs="Times New Roman"/>
          <w:sz w:val="32"/>
          <w:szCs w:val="32"/>
          <w:lang w:val="en-US" w:eastAsia="zh-CN"/>
        </w:rPr>
        <w:t>268.25万元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261.88万元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159.49万元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机关事业单位基本养老保险80.63万元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职工基本医疗保险缴费35.12万元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住房公积金75.68万元、其他社会保障缴费2.42万元、抚恤金17.44万元</w:t>
      </w:r>
      <w:r>
        <w:rPr>
          <w:rFonts w:ascii="Times New Roman" w:hAnsi="Times New Roman" w:eastAsia="仿宋_GB2312" w:cs="Times New Roman"/>
          <w:sz w:val="32"/>
          <w:szCs w:val="32"/>
        </w:rPr>
        <w:t>。</w:t>
      </w:r>
    </w:p>
    <w:p w14:paraId="4AFBB2C0">
      <w:pPr>
        <w:pStyle w:val="12"/>
        <w:overflowPunct w:val="0"/>
        <w:autoSpaceDE/>
        <w:autoSpaceDN/>
        <w:spacing w:line="600" w:lineRule="exact"/>
        <w:ind w:firstLine="640" w:firstLineChars="200"/>
        <w:jc w:val="both"/>
        <w:rPr>
          <w:rFonts w:hint="default" w:ascii="Times New Roman" w:hAnsi="Times New Roman" w:eastAsia="仿宋_GB2312" w:cs="Times New Roman"/>
          <w:b/>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212.73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19.10</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8万元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4.3万元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电费10.68万元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邮电费2.27万元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差旅费5.96万元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维修（护）费8.59万元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培训费6.28万元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公务接待费0万元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专用材料费2.79万元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被装购置费5万元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劳务费50万元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委托业务费10万元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工会经费18.99万元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福利费0.22万元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公务用车运行维护费5.40万元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其他交通费用37.05万元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其他商品和服务指出37.20万元。</w:t>
      </w:r>
    </w:p>
    <w:p w14:paraId="16BF188E">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5CC853D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ADE641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77.14</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减少0.99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15.49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于预算数的主要原因是</w:t>
      </w:r>
      <w:r>
        <w:rPr>
          <w:rFonts w:hint="eastAsia" w:ascii="仿宋_GB2312" w:hAnsi="仿宋" w:eastAsia="仿宋_GB2312" w:cs="仿宋_GB2312"/>
          <w:sz w:val="32"/>
          <w:szCs w:val="32"/>
          <w:highlight w:val="none"/>
          <w:lang w:val="en-US" w:eastAsia="zh-CN" w:bidi="ar"/>
        </w:rPr>
        <w:t>上级部门不定期审计接待本年度无接待，上年度有接待</w:t>
      </w:r>
      <w:r>
        <w:rPr>
          <w:rFonts w:ascii="Times New Roman" w:hAnsi="Times New Roman" w:eastAsia="仿宋_GB2312" w:cs="Times New Roman"/>
          <w:sz w:val="32"/>
          <w:szCs w:val="32"/>
        </w:rPr>
        <w:t>。</w:t>
      </w:r>
    </w:p>
    <w:p w14:paraId="1FB1F81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28FC40D">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3C453E0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0.58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9.70</w:t>
      </w:r>
      <w:r>
        <w:rPr>
          <w:rFonts w:ascii="Times New Roman" w:hAnsi="Times New Roman" w:eastAsia="仿宋_GB2312" w:cs="Times New Roman"/>
          <w:sz w:val="32"/>
          <w:szCs w:val="32"/>
        </w:rPr>
        <w:t>%。其中：</w:t>
      </w:r>
    </w:p>
    <w:p w14:paraId="6FD3C26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themeColor="text1"/>
          <w:sz w:val="32"/>
          <w:szCs w:val="32"/>
          <w14:textFill>
            <w14:solidFill>
              <w14:schemeClr w14:val="tx1"/>
            </w14:solidFill>
          </w14:textFill>
        </w:rPr>
        <w:t>。</w:t>
      </w:r>
    </w:p>
    <w:p w14:paraId="4D64C84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5.4</w:t>
      </w:r>
      <w:r>
        <w:rPr>
          <w:rFonts w:ascii="Times New Roman" w:hAnsi="Times New Roman" w:eastAsia="仿宋_GB2312" w:cs="Times New Roman"/>
          <w:sz w:val="32"/>
          <w:szCs w:val="32"/>
        </w:rPr>
        <w:t>万元，</w:t>
      </w:r>
    </w:p>
    <w:p w14:paraId="0AF6046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维修</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0.58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9.70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保持勤俭节约的优良传统</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保持勤俭节约的优良传统</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79E255F2">
      <w:pPr>
        <w:pStyle w:val="12"/>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减少0.41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减少41</w:t>
      </w:r>
      <w:r>
        <w:rPr>
          <w:rFonts w:ascii="Times New Roman" w:hAnsi="Times New Roman" w:eastAsia="仿宋_GB2312" w:cs="Times New Roman"/>
          <w:sz w:val="32"/>
          <w:szCs w:val="32"/>
        </w:rPr>
        <w:t>%。决算数小于预算数的主要原因是</w:t>
      </w:r>
      <w:r>
        <w:rPr>
          <w:rFonts w:hint="eastAsia" w:ascii="仿宋_GB2312" w:hAnsi="仿宋" w:eastAsia="仿宋_GB2312" w:cs="仿宋_GB2312"/>
          <w:sz w:val="32"/>
          <w:szCs w:val="32"/>
          <w:highlight w:val="none"/>
          <w:lang w:val="en-US" w:eastAsia="zh-CN" w:bidi="ar"/>
        </w:rPr>
        <w:t>上级部门不定期审计接待</w:t>
      </w:r>
      <w:r>
        <w:rPr>
          <w:rFonts w:ascii="Times New Roman" w:hAnsi="Times New Roman" w:eastAsia="仿宋_GB2312" w:cs="Times New Roman"/>
          <w:sz w:val="32"/>
          <w:szCs w:val="32"/>
        </w:rPr>
        <w:t>。</w:t>
      </w:r>
    </w:p>
    <w:p w14:paraId="0C4F46CB">
      <w:pPr>
        <w:pStyle w:val="12"/>
        <w:numPr>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1CC8F0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2F16DF8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39ED98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212.74</w:t>
      </w:r>
      <w:r>
        <w:rPr>
          <w:rFonts w:ascii="Times New Roman" w:hAnsi="Times New Roman" w:eastAsia="仿宋_GB2312" w:cs="Times New Roman"/>
          <w:sz w:val="32"/>
          <w:szCs w:val="32"/>
        </w:rPr>
        <w:t>万元，比年初预算数</w:t>
      </w:r>
      <w:r>
        <w:rPr>
          <w:rFonts w:hint="eastAsia" w:ascii="Times New Roman" w:hAnsi="Times New Roman" w:eastAsia="仿宋_GB2312" w:cs="Times New Roman"/>
          <w:sz w:val="32"/>
          <w:szCs w:val="32"/>
          <w:lang w:val="en-US" w:eastAsia="zh-CN"/>
        </w:rPr>
        <w:t>219.93</w:t>
      </w:r>
      <w:r>
        <w:rPr>
          <w:rFonts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7.19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3.27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所里秉持勤俭节约的精神，再加上其他交通费用的减少</w:t>
      </w:r>
      <w:r>
        <w:rPr>
          <w:rFonts w:ascii="Times New Roman" w:hAnsi="Times New Roman" w:eastAsia="仿宋_GB2312" w:cs="Times New Roman"/>
          <w:sz w:val="32"/>
          <w:szCs w:val="32"/>
        </w:rPr>
        <w:t>。</w:t>
      </w:r>
    </w:p>
    <w:p w14:paraId="53E10CD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0573AC9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6.28</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民警警衔晋升</w:t>
      </w:r>
      <w:r>
        <w:rPr>
          <w:rFonts w:ascii="Times New Roman" w:hAnsi="Times New Roman" w:eastAsia="仿宋_GB2312" w:cs="Times New Roman"/>
          <w:sz w:val="32"/>
          <w:szCs w:val="32"/>
        </w:rPr>
        <w:t>培训培训，人数</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民警警衔晋升需进行培训</w:t>
      </w:r>
      <w:r>
        <w:rPr>
          <w:rFonts w:ascii="Times New Roman" w:hAnsi="Times New Roman" w:eastAsia="仿宋_GB2312" w:cs="Times New Roman"/>
          <w:sz w:val="32"/>
          <w:szCs w:val="32"/>
        </w:rPr>
        <w:t>。</w:t>
      </w:r>
    </w:p>
    <w:p w14:paraId="0D1A25C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16E9C49">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150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150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150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63C7427C">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ACF599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1A58080F">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12F1BF5">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6B3CE9BD">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sz w:val="32"/>
          <w:szCs w:val="32"/>
          <w:lang w:val="en-US" w:eastAsia="zh-CN"/>
        </w:rPr>
        <w:t>2137.87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w:t>
      </w:r>
      <w:r>
        <w:rPr>
          <w:rFonts w:hint="eastAsia" w:ascii="Times New Roman" w:hAnsi="Times New Roman" w:eastAsia="仿宋_GB2312" w:cs="Times New Roman"/>
          <w:sz w:val="32"/>
          <w:szCs w:val="32"/>
          <w:lang w:val="en-US" w:eastAsia="zh-CN"/>
        </w:rPr>
        <w:t>1024.22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47.91</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7740D588">
      <w:pPr>
        <w:pStyle w:val="12"/>
        <w:numPr>
          <w:ilvl w:val="0"/>
          <w:numId w:val="2"/>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535CDE7C">
      <w:pPr>
        <w:spacing w:line="560" w:lineRule="exact"/>
        <w:ind w:firstLine="640" w:firstLineChars="200"/>
        <w:rPr>
          <w:rFonts w:hint="eastAsia" w:ascii="仿宋_GB2312" w:eastAsia="仿宋_GB2312"/>
          <w:sz w:val="32"/>
          <w:szCs w:val="32"/>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仿宋" w:hAnsi="仿宋" w:eastAsia="仿宋"/>
          <w:sz w:val="32"/>
          <w:szCs w:val="32"/>
          <w:lang w:val="en-US" w:eastAsia="zh-CN"/>
        </w:rPr>
        <w:t>1898</w:t>
      </w:r>
      <w:r>
        <w:rPr>
          <w:rFonts w:ascii="Times New Roman" w:hAnsi="Times New Roman" w:eastAsia="仿宋_GB2312" w:cs="Times New Roman"/>
          <w:sz w:val="32"/>
          <w:szCs w:val="32"/>
        </w:rPr>
        <w:t>万元，执行数</w:t>
      </w:r>
      <w:r>
        <w:rPr>
          <w:rFonts w:hint="eastAsia" w:ascii="仿宋" w:hAnsi="仿宋" w:eastAsia="仿宋"/>
          <w:sz w:val="32"/>
          <w:szCs w:val="32"/>
          <w:lang w:val="en-US" w:eastAsia="zh-CN"/>
        </w:rPr>
        <w:t>2137.87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112.64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99.91</w:t>
      </w:r>
      <w:r>
        <w:rPr>
          <w:rFonts w:ascii="Times New Roman" w:hAnsi="Times New Roman" w:eastAsia="仿宋_GB2312" w:cs="Times New Roman"/>
          <w:sz w:val="32"/>
          <w:szCs w:val="32"/>
        </w:rPr>
        <w:t>分。绩效目标完成情况：一是</w:t>
      </w:r>
      <w:r>
        <w:rPr>
          <w:rFonts w:hint="eastAsia" w:ascii="Times New Roman" w:hAnsi="Times New Roman" w:eastAsia="仿宋_GB2312" w:cs="Times New Roman"/>
          <w:sz w:val="32"/>
          <w:szCs w:val="32"/>
          <w:lang w:val="en-US" w:eastAsia="zh-CN"/>
        </w:rPr>
        <w:t>有效保障监所工作正常运行，保障监所安全</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管理在押人员生活卫生</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三是</w:t>
      </w:r>
      <w:r>
        <w:rPr>
          <w:rFonts w:hint="eastAsia" w:ascii="仿宋_GB2312" w:hAnsi="仿宋" w:eastAsia="仿宋_GB2312"/>
          <w:sz w:val="32"/>
          <w:szCs w:val="32"/>
        </w:rPr>
        <w:t>保障侦查、起诉和审判工作的顺利进行。</w:t>
      </w:r>
      <w:r>
        <w:rPr>
          <w:rFonts w:hint="eastAsia" w:ascii="仿宋" w:hAnsi="仿宋" w:eastAsia="仿宋"/>
          <w:color w:val="000000"/>
          <w:sz w:val="32"/>
          <w:szCs w:val="32"/>
          <w:lang w:val="en-US" w:eastAsia="zh-CN"/>
        </w:rPr>
        <w:t>2025年日均</w:t>
      </w:r>
      <w:r>
        <w:rPr>
          <w:rFonts w:hint="eastAsia" w:ascii="仿宋" w:hAnsi="仿宋" w:eastAsia="仿宋"/>
          <w:color w:val="000000"/>
          <w:sz w:val="32"/>
          <w:szCs w:val="32"/>
        </w:rPr>
        <w:t>羁押</w:t>
      </w:r>
      <w:r>
        <w:rPr>
          <w:rFonts w:hint="eastAsia" w:ascii="仿宋" w:hAnsi="仿宋" w:eastAsia="仿宋"/>
          <w:color w:val="000000"/>
          <w:sz w:val="32"/>
          <w:szCs w:val="32"/>
          <w:lang w:val="en-US" w:eastAsia="zh-CN"/>
        </w:rPr>
        <w:t>1103</w:t>
      </w:r>
      <w:r>
        <w:rPr>
          <w:rFonts w:hint="eastAsia" w:ascii="仿宋" w:hAnsi="仿宋" w:eastAsia="仿宋"/>
          <w:color w:val="000000"/>
          <w:sz w:val="32"/>
          <w:szCs w:val="32"/>
        </w:rPr>
        <w:t>人</w:t>
      </w:r>
      <w:r>
        <w:rPr>
          <w:rFonts w:hint="eastAsia" w:ascii="仿宋" w:hAnsi="仿宋" w:eastAsia="仿宋"/>
          <w:color w:val="000000"/>
          <w:sz w:val="32"/>
          <w:szCs w:val="32"/>
          <w:lang w:eastAsia="zh-CN"/>
        </w:rPr>
        <w:t>，</w:t>
      </w:r>
      <w:r>
        <w:rPr>
          <w:rFonts w:hint="eastAsia" w:ascii="仿宋" w:hAnsi="仿宋" w:eastAsia="仿宋"/>
          <w:color w:val="000000"/>
          <w:sz w:val="32"/>
          <w:szCs w:val="32"/>
        </w:rPr>
        <w:t>比去年同期</w:t>
      </w:r>
      <w:r>
        <w:rPr>
          <w:rFonts w:hint="eastAsia" w:ascii="仿宋" w:hAnsi="仿宋" w:eastAsia="仿宋"/>
          <w:color w:val="000000"/>
          <w:sz w:val="32"/>
          <w:szCs w:val="32"/>
          <w:lang w:val="en-US" w:eastAsia="zh-CN"/>
        </w:rPr>
        <w:t>减少79</w:t>
      </w:r>
      <w:r>
        <w:rPr>
          <w:rFonts w:hint="eastAsia" w:ascii="仿宋" w:hAnsi="仿宋" w:eastAsia="仿宋"/>
          <w:color w:val="000000"/>
          <w:sz w:val="32"/>
          <w:szCs w:val="32"/>
        </w:rPr>
        <w:t>人，羁押量同比</w:t>
      </w:r>
      <w:r>
        <w:rPr>
          <w:rFonts w:hint="eastAsia" w:ascii="仿宋" w:hAnsi="仿宋" w:eastAsia="仿宋"/>
          <w:color w:val="000000"/>
          <w:sz w:val="32"/>
          <w:szCs w:val="32"/>
          <w:lang w:val="en-US" w:eastAsia="zh-CN"/>
        </w:rPr>
        <w:t>减少6.68</w:t>
      </w:r>
      <w:r>
        <w:rPr>
          <w:rFonts w:hint="eastAsia" w:ascii="仿宋" w:hAnsi="仿宋" w:eastAsia="仿宋"/>
          <w:color w:val="000000"/>
          <w:sz w:val="32"/>
          <w:szCs w:val="32"/>
        </w:rPr>
        <w:t>%。</w:t>
      </w:r>
      <w:r>
        <w:rPr>
          <w:rFonts w:hint="eastAsia" w:ascii="仿宋_GB2312" w:eastAsia="仿宋_GB2312"/>
          <w:color w:val="000000"/>
          <w:sz w:val="32"/>
          <w:szCs w:val="32"/>
        </w:rPr>
        <w:t>全所民警职工、协辅警敢于担当，全力履责，保障了监所全面稳定，监管工作及</w:t>
      </w:r>
      <w:r>
        <w:rPr>
          <w:rFonts w:hint="eastAsia" w:ascii="仿宋_GB2312" w:eastAsia="仿宋_GB2312"/>
          <w:sz w:val="32"/>
          <w:szCs w:val="32"/>
        </w:rPr>
        <w:t>队伍建设都取得了明显的成效。</w:t>
      </w:r>
    </w:p>
    <w:p w14:paraId="213FCB74">
      <w:pPr>
        <w:spacing w:line="570" w:lineRule="exact"/>
        <w:ind w:firstLine="640" w:firstLineChars="200"/>
        <w:jc w:val="both"/>
        <w:rPr>
          <w:rFonts w:eastAsia="仿宋_GB2312"/>
          <w:color w:val="000000"/>
          <w:sz w:val="32"/>
          <w:szCs w:val="32"/>
        </w:rPr>
      </w:pPr>
      <w:r>
        <w:rPr>
          <w:rFonts w:hint="eastAsia" w:ascii="宋体" w:hAnsi="宋体" w:eastAsia="仿宋GB2312" w:cs="宋体"/>
          <w:i w:val="0"/>
          <w:iCs w:val="0"/>
          <w:caps w:val="0"/>
          <w:color w:val="333333"/>
          <w:spacing w:val="0"/>
          <w:sz w:val="32"/>
          <w:szCs w:val="32"/>
          <w:shd w:val="clear" w:color="auto" w:fill="FFFFFF"/>
        </w:rPr>
        <w:t>健全各项规章制度，严格规范收押流程，依法做好在押人员入所管理工作的方面：（1）收押符合收押条件的应收尽收。</w:t>
      </w:r>
      <w:r>
        <w:rPr>
          <w:rFonts w:hint="eastAsia" w:ascii="宋体" w:hAnsi="宋体" w:eastAsia="仿宋GB2312" w:cs="宋体"/>
          <w:i w:val="0"/>
          <w:iCs w:val="0"/>
          <w:caps w:val="0"/>
          <w:color w:val="000000"/>
          <w:spacing w:val="0"/>
          <w:sz w:val="32"/>
          <w:szCs w:val="32"/>
          <w:shd w:val="clear" w:color="auto" w:fill="FFFFFF"/>
        </w:rPr>
        <w:t>通过查验法律文书、核对身份证件、健康检查等相关的收押流程，</w:t>
      </w:r>
      <w:r>
        <w:rPr>
          <w:rFonts w:hint="eastAsia" w:ascii="宋体" w:hAnsi="宋体" w:eastAsia="仿宋GB2312" w:cs="宋体"/>
          <w:i w:val="0"/>
          <w:iCs w:val="0"/>
          <w:caps w:val="0"/>
          <w:color w:val="333333"/>
          <w:spacing w:val="0"/>
          <w:sz w:val="32"/>
          <w:szCs w:val="32"/>
          <w:shd w:val="clear" w:color="auto" w:fill="FFFFFF"/>
        </w:rPr>
        <w:t>依法做好新入所人员收押管理等工作。（</w:t>
      </w:r>
      <w:r>
        <w:rPr>
          <w:rFonts w:hint="eastAsia" w:ascii="宋体" w:hAnsi="宋体" w:eastAsia="仿宋GB2312" w:cs="宋体"/>
          <w:i w:val="0"/>
          <w:iCs w:val="0"/>
          <w:caps w:val="0"/>
          <w:color w:val="333333"/>
          <w:spacing w:val="0"/>
          <w:sz w:val="32"/>
          <w:szCs w:val="32"/>
          <w:shd w:val="clear" w:color="auto" w:fill="FFFFFF"/>
          <w:lang w:val="en-US" w:eastAsia="zh-CN"/>
        </w:rPr>
        <w:t>2</w:t>
      </w:r>
      <w:r>
        <w:rPr>
          <w:rFonts w:hint="eastAsia" w:ascii="宋体" w:hAnsi="宋体" w:eastAsia="仿宋GB2312" w:cs="宋体"/>
          <w:i w:val="0"/>
          <w:iCs w:val="0"/>
          <w:caps w:val="0"/>
          <w:color w:val="333333"/>
          <w:spacing w:val="0"/>
          <w:sz w:val="32"/>
          <w:szCs w:val="32"/>
          <w:shd w:val="clear" w:color="auto" w:fill="FFFFFF"/>
        </w:rPr>
        <w:t>）落实管教民警与在押人员的谈话制度，对新入所在押人员24小时内进行</w:t>
      </w:r>
      <w:r>
        <w:rPr>
          <w:rFonts w:hint="eastAsia" w:ascii="宋体" w:hAnsi="宋体" w:eastAsia="仿宋GB2312" w:cs="宋体"/>
          <w:i w:val="0"/>
          <w:iCs w:val="0"/>
          <w:caps w:val="0"/>
          <w:color w:val="000000"/>
          <w:spacing w:val="0"/>
          <w:sz w:val="32"/>
          <w:szCs w:val="32"/>
          <w:shd w:val="clear" w:color="auto" w:fill="FFFFFF"/>
        </w:rPr>
        <w:t>提教</w:t>
      </w:r>
      <w:r>
        <w:rPr>
          <w:rFonts w:hint="eastAsia" w:ascii="宋体" w:hAnsi="宋体" w:eastAsia="仿宋GB2312" w:cs="宋体"/>
          <w:i w:val="0"/>
          <w:iCs w:val="0"/>
          <w:caps w:val="0"/>
          <w:color w:val="333333"/>
          <w:spacing w:val="0"/>
          <w:sz w:val="32"/>
          <w:szCs w:val="32"/>
          <w:shd w:val="clear" w:color="auto" w:fill="FFFFFF"/>
        </w:rPr>
        <w:t>。对在押人员每月每人至少</w:t>
      </w:r>
      <w:r>
        <w:rPr>
          <w:rFonts w:hint="eastAsia" w:ascii="宋体" w:hAnsi="宋体" w:eastAsia="仿宋GB2312" w:cs="宋体"/>
          <w:i w:val="0"/>
          <w:iCs w:val="0"/>
          <w:caps w:val="0"/>
          <w:color w:val="000000"/>
          <w:spacing w:val="0"/>
          <w:sz w:val="32"/>
          <w:szCs w:val="32"/>
          <w:shd w:val="clear" w:color="auto" w:fill="FFFFFF"/>
        </w:rPr>
        <w:t>提教</w:t>
      </w:r>
      <w:r>
        <w:rPr>
          <w:rFonts w:hint="eastAsia" w:ascii="宋体" w:hAnsi="宋体" w:eastAsia="仿宋GB2312" w:cs="宋体"/>
          <w:i w:val="0"/>
          <w:iCs w:val="0"/>
          <w:caps w:val="0"/>
          <w:color w:val="333333"/>
          <w:spacing w:val="0"/>
          <w:sz w:val="32"/>
          <w:szCs w:val="32"/>
          <w:shd w:val="clear" w:color="auto" w:fill="FFFFFF"/>
        </w:rPr>
        <w:t>二次；对重点人员每人每周至少</w:t>
      </w:r>
      <w:r>
        <w:rPr>
          <w:rFonts w:hint="eastAsia" w:ascii="宋体" w:hAnsi="宋体" w:eastAsia="仿宋GB2312" w:cs="宋体"/>
          <w:i w:val="0"/>
          <w:iCs w:val="0"/>
          <w:caps w:val="0"/>
          <w:color w:val="000000"/>
          <w:spacing w:val="0"/>
          <w:sz w:val="32"/>
          <w:szCs w:val="32"/>
          <w:shd w:val="clear" w:color="auto" w:fill="FFFFFF"/>
        </w:rPr>
        <w:t>提教</w:t>
      </w:r>
      <w:r>
        <w:rPr>
          <w:rFonts w:hint="eastAsia" w:ascii="宋体" w:hAnsi="宋体" w:eastAsia="仿宋GB2312" w:cs="宋体"/>
          <w:i w:val="0"/>
          <w:iCs w:val="0"/>
          <w:caps w:val="0"/>
          <w:color w:val="333333"/>
          <w:spacing w:val="0"/>
          <w:sz w:val="32"/>
          <w:szCs w:val="32"/>
          <w:shd w:val="clear" w:color="auto" w:fill="FFFFFF"/>
        </w:rPr>
        <w:t>谈话一次。</w:t>
      </w:r>
      <w:r>
        <w:rPr>
          <w:rFonts w:hint="eastAsia" w:ascii="宋体" w:hAnsi="宋体" w:eastAsia="仿宋GB2312" w:cs="宋体"/>
          <w:i w:val="0"/>
          <w:iCs w:val="0"/>
          <w:caps w:val="0"/>
          <w:color w:val="000000"/>
          <w:spacing w:val="0"/>
          <w:sz w:val="32"/>
          <w:szCs w:val="32"/>
          <w:shd w:val="clear" w:color="auto" w:fill="FFFFFF"/>
        </w:rPr>
        <w:t>对违反监规的羁押人员进行实时提教。提教</w:t>
      </w:r>
      <w:r>
        <w:rPr>
          <w:rFonts w:hint="eastAsia" w:ascii="宋体" w:hAnsi="宋体" w:eastAsia="仿宋GB2312" w:cs="宋体"/>
          <w:i w:val="0"/>
          <w:iCs w:val="0"/>
          <w:caps w:val="0"/>
          <w:color w:val="333333"/>
          <w:spacing w:val="0"/>
          <w:sz w:val="32"/>
          <w:szCs w:val="32"/>
          <w:shd w:val="clear" w:color="auto" w:fill="FFFFFF"/>
        </w:rPr>
        <w:t>到位率为100%。（</w:t>
      </w:r>
      <w:r>
        <w:rPr>
          <w:rFonts w:hint="eastAsia" w:ascii="宋体" w:hAnsi="宋体" w:eastAsia="仿宋GB2312" w:cs="宋体"/>
          <w:i w:val="0"/>
          <w:iCs w:val="0"/>
          <w:caps w:val="0"/>
          <w:color w:val="333333"/>
          <w:spacing w:val="0"/>
          <w:sz w:val="32"/>
          <w:szCs w:val="32"/>
          <w:shd w:val="clear" w:color="auto" w:fill="FFFFFF"/>
          <w:lang w:val="en-US" w:eastAsia="zh-CN"/>
        </w:rPr>
        <w:t>3</w:t>
      </w:r>
      <w:r>
        <w:rPr>
          <w:rFonts w:hint="eastAsia" w:ascii="宋体" w:hAnsi="宋体" w:eastAsia="仿宋GB2312" w:cs="宋体"/>
          <w:i w:val="0"/>
          <w:iCs w:val="0"/>
          <w:caps w:val="0"/>
          <w:color w:val="333333"/>
          <w:spacing w:val="0"/>
          <w:sz w:val="32"/>
          <w:szCs w:val="32"/>
          <w:shd w:val="clear" w:color="auto" w:fill="FFFFFF"/>
        </w:rPr>
        <w:t>）严格按财政预算执行，运行成本未超过部门预算。财政拨款收入为</w:t>
      </w:r>
      <w:r>
        <w:rPr>
          <w:rFonts w:hint="eastAsia" w:ascii="宋体" w:hAnsi="宋体" w:eastAsia="仿宋GB2312" w:cs="宋体"/>
          <w:i w:val="0"/>
          <w:iCs w:val="0"/>
          <w:caps w:val="0"/>
          <w:color w:val="333333"/>
          <w:spacing w:val="0"/>
          <w:sz w:val="32"/>
          <w:szCs w:val="32"/>
          <w:shd w:val="clear" w:color="auto" w:fill="FFFFFF"/>
          <w:lang w:val="en-US" w:eastAsia="zh-CN"/>
        </w:rPr>
        <w:t>2121.52</w:t>
      </w:r>
      <w:r>
        <w:rPr>
          <w:rFonts w:hint="eastAsia" w:ascii="宋体" w:hAnsi="宋体" w:eastAsia="仿宋GB2312" w:cs="宋体"/>
          <w:i w:val="0"/>
          <w:iCs w:val="0"/>
          <w:caps w:val="0"/>
          <w:color w:val="333333"/>
          <w:spacing w:val="0"/>
          <w:sz w:val="32"/>
          <w:szCs w:val="32"/>
          <w:shd w:val="clear" w:color="auto" w:fill="FFFFFF"/>
        </w:rPr>
        <w:t>万元，</w:t>
      </w:r>
      <w:r>
        <w:rPr>
          <w:rFonts w:hint="eastAsia" w:ascii="宋体" w:hAnsi="宋体" w:eastAsia="仿宋GB2312" w:cs="宋体"/>
          <w:i w:val="0"/>
          <w:iCs w:val="0"/>
          <w:caps w:val="0"/>
          <w:color w:val="333333"/>
          <w:spacing w:val="0"/>
          <w:sz w:val="32"/>
          <w:szCs w:val="32"/>
          <w:shd w:val="clear" w:color="auto" w:fill="FFFFFF"/>
          <w:lang w:val="en-US" w:eastAsia="zh-CN"/>
        </w:rPr>
        <w:t>其他收入16.35万元，</w:t>
      </w:r>
      <w:r>
        <w:rPr>
          <w:rFonts w:hint="eastAsia" w:ascii="宋体" w:hAnsi="宋体" w:eastAsia="仿宋GB2312" w:cs="宋体"/>
          <w:i w:val="0"/>
          <w:iCs w:val="0"/>
          <w:caps w:val="0"/>
          <w:color w:val="333333"/>
          <w:spacing w:val="0"/>
          <w:sz w:val="32"/>
          <w:szCs w:val="32"/>
          <w:shd w:val="clear" w:color="auto" w:fill="FFFFFF"/>
        </w:rPr>
        <w:t>年终决算支出</w:t>
      </w:r>
      <w:r>
        <w:rPr>
          <w:rFonts w:hint="eastAsia" w:ascii="宋体" w:hAnsi="宋体" w:eastAsia="仿宋GB2312" w:cs="宋体"/>
          <w:i w:val="0"/>
          <w:iCs w:val="0"/>
          <w:caps w:val="0"/>
          <w:color w:val="333333"/>
          <w:spacing w:val="0"/>
          <w:sz w:val="32"/>
          <w:szCs w:val="32"/>
          <w:shd w:val="clear" w:color="auto" w:fill="FFFFFF"/>
          <w:lang w:val="en-US" w:eastAsia="zh-CN"/>
        </w:rPr>
        <w:t>2137.87</w:t>
      </w:r>
      <w:r>
        <w:rPr>
          <w:rFonts w:hint="eastAsia" w:ascii="宋体" w:hAnsi="宋体" w:eastAsia="仿宋GB2312" w:cs="宋体"/>
          <w:i w:val="0"/>
          <w:iCs w:val="0"/>
          <w:caps w:val="0"/>
          <w:color w:val="333333"/>
          <w:spacing w:val="0"/>
          <w:sz w:val="32"/>
          <w:szCs w:val="32"/>
          <w:shd w:val="clear" w:color="auto" w:fill="FFFFFF"/>
        </w:rPr>
        <w:t>万元。（</w:t>
      </w:r>
      <w:r>
        <w:rPr>
          <w:rFonts w:hint="eastAsia" w:ascii="宋体" w:hAnsi="宋体" w:eastAsia="仿宋GB2312" w:cs="宋体"/>
          <w:i w:val="0"/>
          <w:iCs w:val="0"/>
          <w:caps w:val="0"/>
          <w:color w:val="333333"/>
          <w:spacing w:val="0"/>
          <w:sz w:val="32"/>
          <w:szCs w:val="32"/>
          <w:shd w:val="clear" w:color="auto" w:fill="FFFFFF"/>
          <w:lang w:val="en-US" w:eastAsia="zh-CN"/>
        </w:rPr>
        <w:t>4</w:t>
      </w:r>
      <w:r>
        <w:rPr>
          <w:rFonts w:hint="eastAsia" w:ascii="宋体" w:hAnsi="宋体" w:eastAsia="仿宋GB2312" w:cs="宋体"/>
          <w:i w:val="0"/>
          <w:iCs w:val="0"/>
          <w:caps w:val="0"/>
          <w:color w:val="333333"/>
          <w:spacing w:val="0"/>
          <w:sz w:val="32"/>
          <w:szCs w:val="32"/>
          <w:shd w:val="clear" w:color="auto" w:fill="FFFFFF"/>
        </w:rPr>
        <w:t>）加强队伍建设方面，加强对民警的管理，民警无违法违纪现象。（</w:t>
      </w:r>
      <w:r>
        <w:rPr>
          <w:rFonts w:hint="eastAsia" w:ascii="宋体" w:hAnsi="宋体" w:eastAsia="仿宋GB2312" w:cs="宋体"/>
          <w:i w:val="0"/>
          <w:iCs w:val="0"/>
          <w:caps w:val="0"/>
          <w:color w:val="333333"/>
          <w:spacing w:val="0"/>
          <w:sz w:val="32"/>
          <w:szCs w:val="32"/>
          <w:shd w:val="clear" w:color="auto" w:fill="FFFFFF"/>
          <w:lang w:val="en-US" w:eastAsia="zh-CN"/>
        </w:rPr>
        <w:t>5</w:t>
      </w:r>
      <w:r>
        <w:rPr>
          <w:rFonts w:hint="eastAsia" w:ascii="宋体" w:hAnsi="宋体" w:eastAsia="仿宋GB2312" w:cs="宋体"/>
          <w:i w:val="0"/>
          <w:iCs w:val="0"/>
          <w:caps w:val="0"/>
          <w:color w:val="333333"/>
          <w:spacing w:val="0"/>
          <w:sz w:val="32"/>
          <w:szCs w:val="32"/>
          <w:shd w:val="clear" w:color="auto" w:fill="FFFFFF"/>
        </w:rPr>
        <w:t>）为提高在押人员对本所管理工作满意度，我所实施在押人员管理教育和服务并重的方法，我所确保了被羁押人员吃熟、吃热、吃得卫生、吃够标准，热水或开水定时供应，被羁押人员对本所的生活保障工作基本满意，没有接到羁押人员的不良反映，在押人员对生活保障情况基本，满意度达到</w:t>
      </w:r>
      <w:r>
        <w:rPr>
          <w:rFonts w:hint="eastAsia" w:ascii="宋体" w:hAnsi="宋体" w:eastAsia="仿宋GB2312" w:cs="宋体"/>
          <w:i w:val="0"/>
          <w:iCs w:val="0"/>
          <w:caps w:val="0"/>
          <w:color w:val="333333"/>
          <w:spacing w:val="0"/>
          <w:sz w:val="32"/>
          <w:szCs w:val="32"/>
          <w:shd w:val="clear" w:color="auto" w:fill="FFFFFF"/>
          <w:lang w:val="en-US" w:eastAsia="zh-CN"/>
        </w:rPr>
        <w:t>99</w:t>
      </w:r>
      <w:r>
        <w:rPr>
          <w:rFonts w:hint="eastAsia" w:ascii="宋体" w:hAnsi="宋体" w:eastAsia="仿宋GB2312" w:cs="宋体"/>
          <w:i w:val="0"/>
          <w:iCs w:val="0"/>
          <w:caps w:val="0"/>
          <w:color w:val="333333"/>
          <w:spacing w:val="0"/>
          <w:sz w:val="32"/>
          <w:szCs w:val="32"/>
          <w:shd w:val="clear" w:color="auto" w:fill="FFFFFF"/>
        </w:rPr>
        <w:t>%。</w:t>
      </w:r>
    </w:p>
    <w:p w14:paraId="4F21910F">
      <w:pPr>
        <w:snapToGrid w:val="0"/>
        <w:spacing w:line="520" w:lineRule="exact"/>
        <w:ind w:firstLine="640" w:firstLineChars="200"/>
        <w:rPr>
          <w:rFonts w:hint="eastAsia" w:ascii="仿宋_GB2312" w:hAnsi="仿宋" w:eastAsia="仿宋_GB2312"/>
          <w:sz w:val="32"/>
          <w:szCs w:val="32"/>
        </w:rPr>
      </w:pPr>
    </w:p>
    <w:p w14:paraId="086E2CB6">
      <w:pPr>
        <w:pStyle w:val="12"/>
        <w:jc w:val="center"/>
        <w:rPr>
          <w:rFonts w:ascii="Times New Roman" w:hAnsi="Times New Roman" w:cs="Times New Roman"/>
          <w:sz w:val="72"/>
          <w:szCs w:val="72"/>
        </w:rPr>
      </w:pPr>
    </w:p>
    <w:p w14:paraId="5690F3F7">
      <w:pPr>
        <w:pStyle w:val="12"/>
        <w:jc w:val="center"/>
        <w:rPr>
          <w:rFonts w:ascii="Times New Roman" w:hAnsi="Times New Roman" w:cs="Times New Roman"/>
          <w:sz w:val="72"/>
          <w:szCs w:val="72"/>
        </w:rPr>
      </w:pPr>
    </w:p>
    <w:p w14:paraId="40D6C101">
      <w:pPr>
        <w:pStyle w:val="12"/>
        <w:jc w:val="center"/>
        <w:rPr>
          <w:rFonts w:ascii="Times New Roman" w:hAnsi="Times New Roman" w:cs="Times New Roman"/>
          <w:sz w:val="72"/>
          <w:szCs w:val="72"/>
        </w:rPr>
      </w:pPr>
    </w:p>
    <w:p w14:paraId="7DCE347E">
      <w:pPr>
        <w:pStyle w:val="12"/>
        <w:jc w:val="both"/>
        <w:rPr>
          <w:rFonts w:ascii="Times New Roman" w:hAnsi="Times New Roman" w:cs="Times New Roman"/>
          <w:sz w:val="72"/>
          <w:szCs w:val="72"/>
        </w:rPr>
      </w:pPr>
      <w:bookmarkStart w:id="3" w:name="_GoBack"/>
      <w:bookmarkEnd w:id="3"/>
    </w:p>
    <w:p w14:paraId="07D49AA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E65D08F">
      <w:pPr>
        <w:pStyle w:val="7"/>
      </w:pPr>
    </w:p>
    <w:p w14:paraId="6F9473FF">
      <w:pPr>
        <w:widowControl/>
        <w:numPr>
          <w:ilvl w:val="0"/>
          <w:numId w:val="3"/>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财政拨款收入：指财政当年拨付的资金，主要包括一般公共预算财政拨款，政府性基金预算财政拨款，国有资本经营预算财政拨款。</w:t>
      </w:r>
    </w:p>
    <w:p w14:paraId="097E9CC1">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二、上级补助收入：指事业单位从主管部门和上级单位取得的非财政补助收入。 </w:t>
      </w:r>
    </w:p>
    <w:p w14:paraId="547FE632">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三、事业收入：指事业单位开展专业业务活动及辅助活动所取得的收入。 </w:t>
      </w:r>
    </w:p>
    <w:p w14:paraId="4FFAB45F">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四、经营收入：指事业单位在专业业务活动及其辅助活动之外开展非独立核算经营活动取得的收入。 </w:t>
      </w:r>
    </w:p>
    <w:p w14:paraId="3B70B53C">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五、附属单位上缴收入：指事业单位附属独立核算单位按照有关规定上缴的收入。 </w:t>
      </w:r>
    </w:p>
    <w:p w14:paraId="6A0F2619">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六、其他收入：指除上述“财政拨款收入”、“事业收入”、“经营收入”等以外的收入。 </w:t>
      </w:r>
    </w:p>
    <w:p w14:paraId="446CB84A">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七、基本支出：指为保障机构正常运转、完成日常工作任务而发生的各项支出，包括人员支出和公用支出。  </w:t>
      </w:r>
    </w:p>
    <w:p w14:paraId="24376632">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八、项目支出：指在基本支出以外为完成相关行政任务和事业发展目标所发生的各项支出。  </w:t>
      </w:r>
    </w:p>
    <w:p w14:paraId="4356D386">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九、“三公”经费：指通过财政拨款资金安排的因公出国（境）费、公务用车购置及运行费和公务接待费支出。  </w:t>
      </w:r>
    </w:p>
    <w:p w14:paraId="2B05739D">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08C395D2">
      <w:pPr>
        <w:pStyle w:val="12"/>
        <w:jc w:val="center"/>
        <w:rPr>
          <w:rFonts w:ascii="Times New Roman" w:hAnsi="Times New Roman" w:cs="Times New Roman"/>
          <w:sz w:val="72"/>
          <w:szCs w:val="72"/>
        </w:rPr>
      </w:pPr>
    </w:p>
    <w:p w14:paraId="6C992B9F">
      <w:pPr>
        <w:pStyle w:val="12"/>
        <w:spacing w:line="360" w:lineRule="auto"/>
        <w:jc w:val="center"/>
        <w:rPr>
          <w:rFonts w:ascii="Times New Roman" w:hAnsi="Times New Roman" w:eastAsia="方正小标宋_GBK" w:cs="Times New Roman"/>
          <w:sz w:val="52"/>
          <w:szCs w:val="52"/>
        </w:rPr>
      </w:pPr>
    </w:p>
    <w:p w14:paraId="7B75E465">
      <w:pPr>
        <w:pStyle w:val="12"/>
        <w:spacing w:line="360" w:lineRule="auto"/>
        <w:jc w:val="center"/>
        <w:rPr>
          <w:rFonts w:ascii="Times New Roman" w:hAnsi="Times New Roman" w:eastAsia="方正小标宋_GBK" w:cs="Times New Roman"/>
          <w:sz w:val="52"/>
          <w:szCs w:val="52"/>
        </w:rPr>
      </w:pPr>
    </w:p>
    <w:p w14:paraId="3E44D3B1">
      <w:pPr>
        <w:pStyle w:val="12"/>
        <w:spacing w:line="360" w:lineRule="auto"/>
        <w:jc w:val="center"/>
        <w:rPr>
          <w:rFonts w:ascii="Times New Roman" w:hAnsi="Times New Roman" w:eastAsia="方正小标宋_GBK" w:cs="Times New Roman"/>
          <w:sz w:val="52"/>
          <w:szCs w:val="52"/>
        </w:rPr>
      </w:pPr>
    </w:p>
    <w:p w14:paraId="1EB92043">
      <w:pPr>
        <w:pStyle w:val="12"/>
        <w:spacing w:line="360" w:lineRule="auto"/>
        <w:jc w:val="center"/>
        <w:rPr>
          <w:rFonts w:ascii="Times New Roman" w:hAnsi="Times New Roman" w:eastAsia="方正小标宋_GBK" w:cs="Times New Roman"/>
          <w:sz w:val="52"/>
          <w:szCs w:val="52"/>
        </w:rPr>
      </w:pPr>
    </w:p>
    <w:p w14:paraId="4D5E964B">
      <w:pPr>
        <w:pStyle w:val="12"/>
        <w:spacing w:line="360" w:lineRule="auto"/>
        <w:jc w:val="center"/>
        <w:rPr>
          <w:rFonts w:ascii="Times New Roman" w:hAnsi="Times New Roman" w:eastAsia="方正小标宋_GBK" w:cs="Times New Roman"/>
          <w:sz w:val="52"/>
          <w:szCs w:val="52"/>
        </w:rPr>
      </w:pPr>
    </w:p>
    <w:p w14:paraId="75CD4DA5">
      <w:pPr>
        <w:pStyle w:val="12"/>
        <w:jc w:val="center"/>
        <w:rPr>
          <w:rFonts w:ascii="Times New Roman" w:hAnsi="Times New Roman" w:cs="Times New Roman"/>
          <w:sz w:val="72"/>
          <w:szCs w:val="72"/>
        </w:rPr>
      </w:pPr>
    </w:p>
    <w:p w14:paraId="75B5C437">
      <w:pPr>
        <w:pStyle w:val="12"/>
        <w:jc w:val="center"/>
        <w:rPr>
          <w:rFonts w:ascii="Times New Roman" w:hAnsi="Times New Roman" w:cs="Times New Roman"/>
          <w:sz w:val="72"/>
          <w:szCs w:val="72"/>
        </w:rPr>
      </w:pPr>
    </w:p>
    <w:p w14:paraId="440F33E1">
      <w:pPr>
        <w:pStyle w:val="12"/>
        <w:jc w:val="center"/>
        <w:rPr>
          <w:rFonts w:ascii="Times New Roman" w:hAnsi="Times New Roman" w:cs="Times New Roman"/>
          <w:sz w:val="72"/>
          <w:szCs w:val="72"/>
        </w:rPr>
      </w:pPr>
    </w:p>
    <w:p w14:paraId="448FA2DD">
      <w:pPr>
        <w:pStyle w:val="12"/>
        <w:jc w:val="center"/>
        <w:rPr>
          <w:rFonts w:ascii="Times New Roman" w:hAnsi="Times New Roman" w:cs="Times New Roman"/>
          <w:sz w:val="72"/>
          <w:szCs w:val="72"/>
        </w:rPr>
      </w:pPr>
    </w:p>
    <w:p w14:paraId="754C9D2C">
      <w:pPr>
        <w:pStyle w:val="12"/>
        <w:jc w:val="center"/>
        <w:rPr>
          <w:rFonts w:ascii="Times New Roman" w:hAnsi="Times New Roman" w:cs="Times New Roman"/>
          <w:sz w:val="72"/>
          <w:szCs w:val="72"/>
        </w:rPr>
      </w:pPr>
    </w:p>
    <w:p w14:paraId="3F090A10">
      <w:pPr>
        <w:pStyle w:val="12"/>
        <w:jc w:val="center"/>
        <w:rPr>
          <w:rFonts w:ascii="Times New Roman" w:hAnsi="Times New Roman" w:cs="Times New Roman"/>
          <w:sz w:val="72"/>
          <w:szCs w:val="72"/>
        </w:rPr>
      </w:pPr>
    </w:p>
    <w:p w14:paraId="6CEFB710">
      <w:pPr>
        <w:pStyle w:val="12"/>
        <w:jc w:val="both"/>
        <w:rPr>
          <w:rFonts w:ascii="Times New Roman" w:hAnsi="Times New Roman" w:cs="Times New Roman"/>
          <w:sz w:val="72"/>
          <w:szCs w:val="72"/>
        </w:rPr>
      </w:pPr>
    </w:p>
    <w:p w14:paraId="59688D4C">
      <w:pPr>
        <w:pStyle w:val="12"/>
        <w:jc w:val="both"/>
        <w:rPr>
          <w:rFonts w:ascii="Times New Roman" w:hAnsi="Times New Roman" w:cs="Times New Roman"/>
          <w:sz w:val="72"/>
          <w:szCs w:val="72"/>
        </w:rPr>
      </w:pPr>
    </w:p>
    <w:p w14:paraId="29E65E45">
      <w:pPr>
        <w:pStyle w:val="12"/>
        <w:jc w:val="both"/>
        <w:rPr>
          <w:rFonts w:ascii="Times New Roman" w:hAnsi="Times New Roman" w:cs="Times New Roman"/>
          <w:sz w:val="72"/>
          <w:szCs w:val="72"/>
        </w:rPr>
      </w:pPr>
    </w:p>
    <w:p w14:paraId="6BBF3A49">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8E05519">
      <w:pPr>
        <w:rPr>
          <w:rFonts w:ascii="Times New Roman" w:hAnsi="Times New Roman" w:cs="Times New Roman"/>
          <w:sz w:val="72"/>
          <w:szCs w:val="72"/>
        </w:rPr>
      </w:pPr>
    </w:p>
    <w:p w14:paraId="0A34AD3F">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w:t>
      </w:r>
      <w:r>
        <w:rPr>
          <w:rFonts w:hint="eastAsia" w:ascii="Times New Roman" w:hAnsi="Times New Roman" w:eastAsia="仿宋_GB2312" w:cs="Times New Roman"/>
          <w:sz w:val="32"/>
          <w:szCs w:val="32"/>
          <w:lang w:val="en-US" w:eastAsia="zh-CN"/>
        </w:rPr>
        <w:t>永州市看守所</w:t>
      </w:r>
      <w:r>
        <w:rPr>
          <w:rFonts w:ascii="Times New Roman" w:hAnsi="Times New Roman" w:eastAsia="仿宋_GB2312" w:cs="Times New Roman"/>
          <w:sz w:val="32"/>
          <w:szCs w:val="32"/>
        </w:rPr>
        <w:t>整体支出绩效自评报告。</w:t>
      </w:r>
    </w:p>
    <w:p w14:paraId="6D3A5EE6">
      <w:pPr>
        <w:pStyle w:val="12"/>
        <w:spacing w:line="600" w:lineRule="exact"/>
        <w:rPr>
          <w:rFonts w:ascii="Times New Roman" w:hAnsi="Times New Roman" w:eastAsia="仿宋_GB2312" w:cs="Times New Roman"/>
          <w:sz w:val="32"/>
          <w:szCs w:val="32"/>
        </w:rPr>
      </w:pPr>
    </w:p>
    <w:p w14:paraId="029CEAB9">
      <w:pPr>
        <w:pStyle w:val="12"/>
        <w:jc w:val="center"/>
        <w:rPr>
          <w:rFonts w:ascii="Times New Roman" w:hAnsi="Times New Roman" w:cs="Times New Roman"/>
          <w:sz w:val="72"/>
          <w:szCs w:val="72"/>
        </w:rPr>
      </w:pPr>
    </w:p>
    <w:p w14:paraId="5A377349">
      <w:pPr>
        <w:pStyle w:val="12"/>
        <w:jc w:val="center"/>
        <w:rPr>
          <w:rFonts w:ascii="Times New Roman" w:hAnsi="Times New Roman" w:cs="Times New Roman"/>
          <w:sz w:val="72"/>
          <w:szCs w:val="72"/>
        </w:rPr>
      </w:pPr>
    </w:p>
    <w:p w14:paraId="79B6E3E9">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仿宋GB2312">
    <w:altName w:val="仿宋"/>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0DD80">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EF76B">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65FE6">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7D161">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59D65E">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F59D65E">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E3DA24"/>
    <w:multiLevelType w:val="singleLevel"/>
    <w:tmpl w:val="D9E3DA24"/>
    <w:lvl w:ilvl="0" w:tentative="0">
      <w:start w:val="1"/>
      <w:numFmt w:val="chineseCounting"/>
      <w:suff w:val="nothing"/>
      <w:lvlText w:val="%1、"/>
      <w:lvlJc w:val="left"/>
      <w:rPr>
        <w:rFonts w:hint="eastAsia"/>
      </w:rPr>
    </w:lvl>
  </w:abstractNum>
  <w:abstractNum w:abstractNumId="1">
    <w:nsid w:val="F2B06175"/>
    <w:multiLevelType w:val="singleLevel"/>
    <w:tmpl w:val="F2B06175"/>
    <w:lvl w:ilvl="0" w:tentative="0">
      <w:start w:val="3"/>
      <w:numFmt w:val="decimal"/>
      <w:lvlText w:val="%1."/>
      <w:lvlJc w:val="left"/>
      <w:pPr>
        <w:tabs>
          <w:tab w:val="left" w:pos="312"/>
        </w:tabs>
      </w:pPr>
    </w:lvl>
  </w:abstractNum>
  <w:abstractNum w:abstractNumId="2">
    <w:nsid w:val="FDDD22F6"/>
    <w:multiLevelType w:val="singleLevel"/>
    <w:tmpl w:val="FDDD22F6"/>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NzMxNWZiNzkxNGFjZmI0NTViNWQyNjdjODQwMDM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2FDF85B8"/>
    <w:rsid w:val="2FFFEE04"/>
    <w:rsid w:val="34DF85B0"/>
    <w:rsid w:val="3B8F36BC"/>
    <w:rsid w:val="491FF225"/>
    <w:rsid w:val="4FFD214C"/>
    <w:rsid w:val="57305A43"/>
    <w:rsid w:val="5777D4F5"/>
    <w:rsid w:val="59DD8326"/>
    <w:rsid w:val="5DEF592A"/>
    <w:rsid w:val="5FC6BB1E"/>
    <w:rsid w:val="5FF720F1"/>
    <w:rsid w:val="64BC07DE"/>
    <w:rsid w:val="67FF5C0B"/>
    <w:rsid w:val="6EFC0924"/>
    <w:rsid w:val="6FB74722"/>
    <w:rsid w:val="6FEF8B7E"/>
    <w:rsid w:val="71A6591B"/>
    <w:rsid w:val="737D59BA"/>
    <w:rsid w:val="77C37683"/>
    <w:rsid w:val="79D19834"/>
    <w:rsid w:val="79FF515B"/>
    <w:rsid w:val="7BF549BF"/>
    <w:rsid w:val="7E9E1962"/>
    <w:rsid w:val="7E9F11B4"/>
    <w:rsid w:val="7EC66D11"/>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986</Words>
  <Characters>1026</Characters>
  <Lines>69</Lines>
  <Paragraphs>19</Paragraphs>
  <TotalTime>8</TotalTime>
  <ScaleCrop>false</ScaleCrop>
  <LinksUpToDate>false</LinksUpToDate>
  <CharactersWithSpaces>1246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888</cp:lastModifiedBy>
  <cp:lastPrinted>2024-08-10T02:20:00Z</cp:lastPrinted>
  <dcterms:modified xsi:type="dcterms:W3CDTF">2026-09-19T09:42:01Z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4F0B27C0AAC35EFA9177686ADDD5E058</vt:lpwstr>
  </property>
  <property fmtid="{D5CDD505-2E9C-101B-9397-08002B2CF9AE}" pid="4" name="KSOTemplateDocerSaveRecord">
    <vt:lpwstr>eyJoZGlkIjoiYmIxOTY1OTdjNTU3ZTRjZDY5M2ZkMmI5NmI2N2I3YmYiLCJ1c2VySWQiOiI5NjQ4MDQ1NzkifQ==</vt:lpwstr>
  </property>
</Properties>
</file>