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C8966">
      <w:pPr>
        <w:pStyle w:val="13"/>
        <w:jc w:val="both"/>
        <w:rPr>
          <w:rFonts w:hAnsi="黑体"/>
          <w:sz w:val="36"/>
          <w:szCs w:val="36"/>
        </w:rPr>
      </w:pPr>
      <w:r>
        <w:rPr>
          <w:rFonts w:hint="eastAsia" w:hAnsi="黑体"/>
          <w:sz w:val="36"/>
          <w:szCs w:val="36"/>
        </w:rPr>
        <w:t>附件1</w:t>
      </w:r>
    </w:p>
    <w:p w14:paraId="286E9206">
      <w:pPr>
        <w:pStyle w:val="13"/>
        <w:jc w:val="center"/>
        <w:rPr>
          <w:rFonts w:ascii="Times New Roman" w:hAnsi="Times New Roman" w:cs="Times New Roman"/>
          <w:sz w:val="56"/>
          <w:szCs w:val="56"/>
        </w:rPr>
      </w:pPr>
    </w:p>
    <w:p w14:paraId="0D8CF2D4">
      <w:pPr>
        <w:pStyle w:val="13"/>
        <w:jc w:val="center"/>
        <w:rPr>
          <w:rFonts w:ascii="Times New Roman" w:hAnsi="Times New Roman" w:cs="Times New Roman"/>
          <w:sz w:val="84"/>
          <w:szCs w:val="84"/>
        </w:rPr>
      </w:pPr>
    </w:p>
    <w:p w14:paraId="6DADE709">
      <w:pPr>
        <w:pStyle w:val="13"/>
        <w:jc w:val="center"/>
        <w:rPr>
          <w:rFonts w:ascii="Times New Roman" w:hAnsi="Times New Roman" w:cs="Times New Roman"/>
          <w:sz w:val="84"/>
          <w:szCs w:val="84"/>
        </w:rPr>
      </w:pPr>
    </w:p>
    <w:p w14:paraId="26E56C80">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33D7CDD">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中共永州市委政法委员会</w:t>
      </w:r>
    </w:p>
    <w:p w14:paraId="0BA19CF9">
      <w:pPr>
        <w:pStyle w:val="13"/>
        <w:jc w:val="center"/>
        <w:rPr>
          <w:rFonts w:hint="default" w:ascii="Times New Roman" w:hAnsi="Times New Roman" w:eastAsia="方正小标宋简体" w:cs="Times New Roman"/>
          <w:sz w:val="72"/>
          <w:szCs w:val="72"/>
          <w:lang w:val="en-US"/>
        </w:rPr>
      </w:pPr>
      <w:r>
        <w:rPr>
          <w:rFonts w:ascii="Times New Roman" w:hAnsi="Times New Roman" w:eastAsia="方正小标宋简体" w:cs="Times New Roman"/>
          <w:sz w:val="72"/>
          <w:szCs w:val="72"/>
        </w:rPr>
        <w:t>部门</w:t>
      </w:r>
      <w:r>
        <w:rPr>
          <w:rFonts w:hint="eastAsia" w:ascii="Times New Roman" w:hAnsi="Times New Roman" w:eastAsia="方正小标宋简体" w:cs="Times New Roman"/>
          <w:sz w:val="72"/>
          <w:szCs w:val="72"/>
          <w:lang w:val="en-US" w:eastAsia="zh-CN"/>
        </w:rPr>
        <w:t>决算</w:t>
      </w:r>
    </w:p>
    <w:p w14:paraId="112688C3">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EB58C8E">
      <w:pPr>
        <w:pStyle w:val="13"/>
        <w:spacing w:line="600" w:lineRule="exact"/>
        <w:jc w:val="both"/>
        <w:rPr>
          <w:rFonts w:ascii="Times New Roman" w:hAnsi="Times New Roman" w:cs="Times New Roman"/>
          <w:b/>
          <w:sz w:val="36"/>
          <w:szCs w:val="28"/>
        </w:rPr>
      </w:pPr>
    </w:p>
    <w:p w14:paraId="63A613C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B2FCD21">
      <w:pPr>
        <w:pStyle w:val="13"/>
        <w:spacing w:line="600" w:lineRule="exact"/>
        <w:jc w:val="center"/>
        <w:rPr>
          <w:rFonts w:ascii="Times New Roman" w:hAnsi="Times New Roman" w:cs="Times New Roman"/>
          <w:b/>
          <w:sz w:val="36"/>
          <w:szCs w:val="28"/>
        </w:rPr>
      </w:pPr>
    </w:p>
    <w:p w14:paraId="7457487B">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中共永州市委政法委员会</w:t>
      </w:r>
      <w:r>
        <w:rPr>
          <w:rFonts w:ascii="Times New Roman" w:hAnsi="Times New Roman" w:cs="Times New Roman"/>
          <w:bCs/>
          <w:sz w:val="32"/>
          <w:szCs w:val="32"/>
        </w:rPr>
        <w:t>概况</w:t>
      </w:r>
    </w:p>
    <w:p w14:paraId="219E58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766600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7862F2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22E4E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8379F9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7239C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FE25EA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07105D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69F245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996872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42CAB0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55388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81D82D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0CA3B6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92843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A4028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47721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11400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6CC30C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FC1BC4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2A6C0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F2A3F0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DB11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9741D2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0BFFF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6B3765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670495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75FB309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F891F2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5A6E8DE">
      <w:pPr>
        <w:pStyle w:val="13"/>
        <w:spacing w:line="600" w:lineRule="exact"/>
        <w:rPr>
          <w:rFonts w:ascii="Times New Roman" w:hAnsi="Times New Roman" w:cs="Times New Roman"/>
          <w:bCs/>
          <w:sz w:val="28"/>
          <w:szCs w:val="28"/>
        </w:rPr>
      </w:pPr>
    </w:p>
    <w:p w14:paraId="2145E152">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106753A">
      <w:pPr>
        <w:rPr>
          <w:rFonts w:ascii="Times New Roman" w:hAnsi="Times New Roman" w:eastAsia="方正小标宋_GBK" w:cs="Times New Roman"/>
          <w:sz w:val="72"/>
          <w:szCs w:val="72"/>
        </w:rPr>
      </w:pPr>
    </w:p>
    <w:p w14:paraId="7296CFF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17A12BD">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中共永州市委政法委员会</w:t>
      </w:r>
      <w:r>
        <w:rPr>
          <w:rFonts w:ascii="Times New Roman" w:hAnsi="Times New Roman" w:eastAsia="方正小标宋_GBK" w:cs="Times New Roman"/>
          <w:sz w:val="52"/>
          <w:szCs w:val="52"/>
        </w:rPr>
        <w:t>概况</w:t>
      </w:r>
    </w:p>
    <w:p w14:paraId="2683C44C">
      <w:pPr>
        <w:pStyle w:val="3"/>
        <w:ind w:left="0" w:leftChars="0" w:firstLine="0" w:firstLineChars="0"/>
        <w:rPr>
          <w:rFonts w:ascii="Times New Roman" w:hAnsi="Times New Roman" w:cs="Times New Roman"/>
        </w:rPr>
      </w:pPr>
    </w:p>
    <w:p w14:paraId="5B1BAD44">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FD8443D">
      <w:pPr>
        <w:adjustRightInd w:val="0"/>
        <w:snapToGrid w:val="0"/>
        <w:spacing w:line="560" w:lineRule="exact"/>
        <w:ind w:firstLine="640" w:firstLineChars="200"/>
        <w:rPr>
          <w:rFonts w:hint="eastAsia" w:ascii="楷体_GB2312" w:hAnsi="楷体_GB2312" w:eastAsia="楷体_GB2312" w:cs="楷体_GB2312"/>
          <w:b/>
          <w:bCs w:val="0"/>
          <w:kern w:val="0"/>
          <w:sz w:val="32"/>
          <w:szCs w:val="32"/>
        </w:rPr>
      </w:pPr>
      <w:r>
        <w:rPr>
          <w:rFonts w:hint="eastAsia" w:ascii="仿宋_GB2312" w:eastAsia="仿宋_GB2312"/>
          <w:sz w:val="32"/>
          <w:szCs w:val="32"/>
        </w:rPr>
        <w:t>中国共产党永州市委员会政法委员会是党委领导和管理政法工作的职能部门。中国共产党永州市委员会政法委员会是正处级的行政机关,主要职责是：</w:t>
      </w:r>
    </w:p>
    <w:p w14:paraId="222A21AB">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rPr>
        <w:t>（一）</w:t>
      </w:r>
      <w:r>
        <w:rPr>
          <w:rFonts w:hint="eastAsia" w:ascii="仿宋_GB2312" w:eastAsia="仿宋_GB2312"/>
          <w:sz w:val="32"/>
          <w:szCs w:val="32"/>
        </w:rPr>
        <w:t>根据党中央的路线、方针、政策和市委的部署，统一政法各部门的思想和行动，确保政法部门的执法活动坚持正确的政治方向。</w:t>
      </w:r>
    </w:p>
    <w:p w14:paraId="45CA0D15">
      <w:pPr>
        <w:widowControl/>
        <w:spacing w:line="600" w:lineRule="exact"/>
        <w:ind w:firstLine="640" w:firstLineChars="200"/>
        <w:rPr>
          <w:rFonts w:ascii="仿宋_GB2312" w:eastAsia="仿宋_GB2312"/>
          <w:sz w:val="32"/>
          <w:szCs w:val="32"/>
        </w:rPr>
      </w:pPr>
      <w:r>
        <w:rPr>
          <w:rFonts w:hint="eastAsia" w:ascii="仿宋_GB2312" w:hAnsi="仿宋_GB2312" w:eastAsia="仿宋_GB2312" w:cs="仿宋_GB2312"/>
          <w:b w:val="0"/>
          <w:bCs/>
          <w:kern w:val="0"/>
          <w:sz w:val="32"/>
          <w:szCs w:val="32"/>
        </w:rPr>
        <w:t>（二）</w:t>
      </w:r>
      <w:r>
        <w:rPr>
          <w:rFonts w:hint="eastAsia" w:ascii="仿宋_GB2312" w:eastAsia="仿宋_GB2312"/>
          <w:sz w:val="32"/>
          <w:szCs w:val="32"/>
        </w:rPr>
        <w:t>研究制定贯彻落实上级党委和市委关于政法工作的方针、政策和维护社会政治稳定的指示措施，及时向市委提出意见和建议，对一定时期内的政法工作、社会治安综合治理工作、维护社会政治稳定工作做出全局性的部署,并督促检查，抓好贯彻落实。</w:t>
      </w:r>
    </w:p>
    <w:p w14:paraId="04603F24">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（三）</w:t>
      </w:r>
      <w:r>
        <w:rPr>
          <w:rFonts w:hint="eastAsia" w:ascii="仿宋_GB2312" w:eastAsia="仿宋_GB2312"/>
          <w:sz w:val="32"/>
          <w:szCs w:val="32"/>
        </w:rPr>
        <w:t>组织推动政法工作的调查研究，推动政法工作改革。</w:t>
      </w:r>
    </w:p>
    <w:p w14:paraId="153FBA2C">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（四）</w:t>
      </w:r>
      <w:r>
        <w:rPr>
          <w:rFonts w:hint="eastAsia" w:ascii="仿宋_GB2312" w:eastAsia="仿宋_GB2312"/>
          <w:sz w:val="32"/>
          <w:szCs w:val="32"/>
        </w:rPr>
        <w:t>监督检查政法部门执行宪法、法律、法规和公正司法情况，研究制定严格执法、维护司法公正的具体措施。支持和监督政法各部门依法行使职权,指导和协调政法部门工作，研究和协调有争议的重大疑难案件。</w:t>
      </w:r>
    </w:p>
    <w:p w14:paraId="2105BB33">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（五）</w:t>
      </w:r>
      <w:r>
        <w:rPr>
          <w:rFonts w:hint="eastAsia" w:ascii="仿宋_GB2312" w:eastAsia="仿宋_GB2312"/>
          <w:sz w:val="32"/>
          <w:szCs w:val="32"/>
        </w:rPr>
        <w:t>研究加强全市政法队伍建设的措施，会同市委组织部考察、管理政法部门领导班子和领导干部，协助纪检、监察部门查处政法干警违法违纪的案件。</w:t>
      </w:r>
    </w:p>
    <w:p w14:paraId="3D6E806F">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（六）</w:t>
      </w:r>
      <w:r>
        <w:rPr>
          <w:rFonts w:hint="eastAsia" w:ascii="仿宋_GB2312" w:eastAsia="仿宋_GB2312"/>
          <w:sz w:val="32"/>
          <w:szCs w:val="32"/>
        </w:rPr>
        <w:t>组织、协调、指导全市社会治安综合治理工作，推动各项综治措施的落实。</w:t>
      </w:r>
    </w:p>
    <w:p w14:paraId="54F0EAF8">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（七）</w:t>
      </w:r>
      <w:r>
        <w:rPr>
          <w:rFonts w:hint="eastAsia" w:ascii="仿宋_GB2312" w:eastAsia="仿宋_GB2312"/>
          <w:sz w:val="32"/>
          <w:szCs w:val="32"/>
        </w:rPr>
        <w:t>组织、协调、指导全市维护社会政治稳定工作。</w:t>
      </w:r>
    </w:p>
    <w:p w14:paraId="1CE5F094">
      <w:pPr>
        <w:adjustRightInd w:val="0"/>
        <w:snapToGrid w:val="0"/>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kern w:val="0"/>
          <w:sz w:val="32"/>
          <w:szCs w:val="32"/>
          <w:lang w:eastAsia="zh-CN"/>
        </w:rPr>
        <w:t>（八）</w:t>
      </w:r>
      <w:r>
        <w:rPr>
          <w:rFonts w:hint="eastAsia" w:ascii="仿宋_GB2312" w:eastAsia="仿宋_GB2312"/>
          <w:sz w:val="32"/>
          <w:szCs w:val="32"/>
        </w:rPr>
        <w:t>指导下级政法委员会的工作。</w:t>
      </w:r>
    </w:p>
    <w:p w14:paraId="40BD5784">
      <w:pPr>
        <w:adjustRightInd w:val="0"/>
        <w:snapToGrid w:val="0"/>
        <w:spacing w:line="560" w:lineRule="exact"/>
        <w:ind w:firstLine="640" w:firstLineChars="200"/>
        <w:rPr>
          <w:rFonts w:hint="eastAsia" w:ascii="楷体_GB2312" w:hAnsi="楷体_GB2312" w:eastAsia="楷体_GB2312" w:cs="楷体_GB2312"/>
          <w:b/>
          <w:bCs w:val="0"/>
          <w:kern w:val="0"/>
          <w:sz w:val="32"/>
          <w:szCs w:val="32"/>
          <w:lang w:eastAsia="zh-CN"/>
        </w:rPr>
      </w:pPr>
      <w:r>
        <w:rPr>
          <w:rFonts w:hint="eastAsia" w:ascii="楷体_GB2312" w:hAnsi="楷体_GB2312" w:eastAsia="楷体_GB2312" w:cs="楷体_GB2312"/>
          <w:b w:val="0"/>
          <w:bCs/>
          <w:kern w:val="0"/>
          <w:sz w:val="32"/>
          <w:szCs w:val="32"/>
          <w:lang w:eastAsia="zh-CN"/>
        </w:rPr>
        <w:t>（九）</w:t>
      </w:r>
      <w:r>
        <w:rPr>
          <w:rFonts w:hint="eastAsia" w:ascii="仿宋_GB2312" w:eastAsia="仿宋_GB2312"/>
          <w:sz w:val="32"/>
          <w:szCs w:val="32"/>
        </w:rPr>
        <w:t>完成市委和省党委政法委员会交办的其他事项。</w:t>
      </w:r>
    </w:p>
    <w:p w14:paraId="3C7C989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2D3BE53">
      <w:pPr>
        <w:widowControl/>
        <w:spacing w:line="600" w:lineRule="exact"/>
        <w:ind w:firstLine="640" w:firstLineChars="200"/>
        <w:rPr>
          <w:rFonts w:hint="eastAsia" w:ascii="仿宋_GB2312" w:hAnsi="仿宋_GB2312" w:eastAsia="仿宋_GB2312" w:cs="仿宋_GB2312"/>
          <w:b/>
          <w:bCs w:val="0"/>
          <w:color w:val="000000" w:themeColor="text1"/>
          <w:kern w:val="0"/>
          <w:sz w:val="32"/>
          <w:szCs w:val="32"/>
          <w:highlight w:val="none"/>
          <w14:textFill>
            <w14:solidFill>
              <w14:schemeClr w14:val="tx1"/>
            </w14:solidFill>
          </w14:textFill>
        </w:rPr>
      </w:pPr>
      <w:r>
        <w:rPr>
          <w:rFonts w:ascii="Times New Roman" w:hAnsi="Times New Roman" w:eastAsia="仿宋_GB2312" w:cs="Times New Roman"/>
          <w:bCs/>
          <w:color w:val="000000" w:themeColor="text1"/>
          <w:kern w:val="0"/>
          <w:sz w:val="32"/>
          <w:szCs w:val="32"/>
          <w:highlight w:val="none"/>
          <w14:textFill>
            <w14:solidFill>
              <w14:schemeClr w14:val="tx1"/>
            </w14:solidFill>
          </w14:textFill>
        </w:rPr>
        <w:t>（一）内设机构设置。</w:t>
      </w:r>
      <w:r>
        <w:rPr>
          <w:rFonts w:hint="eastAsia" w:ascii="仿宋_GB2312" w:eastAsia="仿宋_GB2312"/>
          <w:color w:val="000000" w:themeColor="text1"/>
          <w:sz w:val="32"/>
          <w:szCs w:val="32"/>
          <w:highlight w:val="none"/>
          <w14:textFill>
            <w14:solidFill>
              <w14:schemeClr w14:val="tx1"/>
            </w14:solidFill>
          </w14:textFill>
        </w:rPr>
        <w:t>中</w:t>
      </w:r>
      <w:r>
        <w:rPr>
          <w:rFonts w:hint="eastAsia" w:ascii="仿宋_GB2312" w:eastAsia="仿宋_GB2312"/>
          <w:color w:val="000000" w:themeColor="text1"/>
          <w:sz w:val="32"/>
          <w:szCs w:val="32"/>
          <w:highlight w:val="none"/>
          <w:lang w:eastAsia="zh-CN"/>
          <w14:textFill>
            <w14:solidFill>
              <w14:schemeClr w14:val="tx1"/>
            </w14:solidFill>
          </w14:textFill>
        </w:rPr>
        <w:t>国共产党</w:t>
      </w:r>
      <w:r>
        <w:rPr>
          <w:rFonts w:hint="eastAsia" w:ascii="仿宋_GB2312" w:eastAsia="仿宋_GB2312"/>
          <w:color w:val="000000" w:themeColor="text1"/>
          <w:sz w:val="32"/>
          <w:szCs w:val="32"/>
          <w:highlight w:val="none"/>
          <w14:textFill>
            <w14:solidFill>
              <w14:schemeClr w14:val="tx1"/>
            </w14:solidFill>
          </w14:textFill>
        </w:rPr>
        <w:t>永州市委政法委员会内设机构包括：办公室、政治部、政策研究室、宣传教育科、政治安全科、反邪教协调科、维稳指导科、法治科、综治督导科、基层社会治理科、执法监督室、扫黑</w:t>
      </w:r>
      <w:r>
        <w:rPr>
          <w:rFonts w:hint="eastAsia" w:ascii="仿宋_GB2312" w:eastAsia="仿宋_GB2312"/>
          <w:color w:val="000000" w:themeColor="text1"/>
          <w:sz w:val="32"/>
          <w:szCs w:val="32"/>
          <w:highlight w:val="none"/>
          <w:lang w:eastAsia="zh-CN"/>
          <w14:textFill>
            <w14:solidFill>
              <w14:schemeClr w14:val="tx1"/>
            </w14:solidFill>
          </w14:textFill>
        </w:rPr>
        <w:t>除恶指导科</w:t>
      </w:r>
      <w:r>
        <w:rPr>
          <w:rFonts w:hint="eastAsia" w:ascii="仿宋_GB2312" w:eastAsia="仿宋_GB2312"/>
          <w:color w:val="000000" w:themeColor="text1"/>
          <w:sz w:val="32"/>
          <w:szCs w:val="32"/>
          <w:highlight w:val="none"/>
          <w14:textFill>
            <w14:solidFill>
              <w14:schemeClr w14:val="tx1"/>
            </w14:solidFill>
          </w14:textFill>
        </w:rPr>
        <w:t>等1</w:t>
      </w:r>
      <w:r>
        <w:rPr>
          <w:rFonts w:hint="eastAsia" w:ascii="仿宋_GB2312" w:eastAsia="仿宋_GB2312"/>
          <w:color w:val="000000" w:themeColor="text1"/>
          <w:sz w:val="32"/>
          <w:szCs w:val="32"/>
          <w:highlight w:val="none"/>
          <w:lang w:val="en-US" w:eastAsia="zh-CN"/>
          <w14:textFill>
            <w14:solidFill>
              <w14:schemeClr w14:val="tx1"/>
            </w14:solidFill>
          </w14:textFill>
        </w:rPr>
        <w:t>2</w:t>
      </w:r>
      <w:r>
        <w:rPr>
          <w:rFonts w:hint="eastAsia" w:ascii="仿宋_GB2312" w:eastAsia="仿宋_GB2312"/>
          <w:color w:val="000000" w:themeColor="text1"/>
          <w:sz w:val="32"/>
          <w:szCs w:val="32"/>
          <w:highlight w:val="none"/>
          <w14:textFill>
            <w14:solidFill>
              <w14:schemeClr w14:val="tx1"/>
            </w14:solidFill>
          </w14:textFill>
        </w:rPr>
        <w:t>个职能科室</w:t>
      </w:r>
      <w:r>
        <w:rPr>
          <w:rFonts w:hint="eastAsia" w:ascii="仿宋_GB2312" w:eastAsia="仿宋_GB2312"/>
          <w:color w:val="000000" w:themeColor="text1"/>
          <w:sz w:val="32"/>
          <w:szCs w:val="32"/>
          <w:highlight w:val="none"/>
          <w:lang w:eastAsia="zh-CN"/>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人员编制</w:t>
      </w:r>
      <w:r>
        <w:rPr>
          <w:rFonts w:hint="eastAsia" w:ascii="仿宋_GB2312" w:eastAsia="仿宋_GB2312"/>
          <w:color w:val="000000" w:themeColor="text1"/>
          <w:sz w:val="32"/>
          <w:szCs w:val="32"/>
          <w:highlight w:val="none"/>
          <w:lang w:val="en-US" w:eastAsia="zh-CN"/>
          <w14:textFill>
            <w14:solidFill>
              <w14:schemeClr w14:val="tx1"/>
            </w14:solidFill>
          </w14:textFill>
        </w:rPr>
        <w:t>36</w:t>
      </w:r>
      <w:r>
        <w:rPr>
          <w:rFonts w:hint="eastAsia" w:ascii="仿宋_GB2312" w:eastAsia="仿宋_GB2312"/>
          <w:color w:val="000000" w:themeColor="text1"/>
          <w:sz w:val="32"/>
          <w:szCs w:val="32"/>
          <w:highlight w:val="none"/>
          <w14:textFill>
            <w14:solidFill>
              <w14:schemeClr w14:val="tx1"/>
            </w14:solidFill>
          </w14:textFill>
        </w:rPr>
        <w:t>人</w:t>
      </w:r>
      <w:r>
        <w:rPr>
          <w:rFonts w:hint="eastAsia" w:ascii="仿宋_GB2312" w:eastAsia="仿宋_GB2312"/>
          <w:color w:val="000000" w:themeColor="text1"/>
          <w:sz w:val="32"/>
          <w:szCs w:val="32"/>
          <w:highlight w:val="none"/>
          <w:lang w:eastAsia="zh-CN"/>
          <w14:textFill>
            <w14:solidFill>
              <w14:schemeClr w14:val="tx1"/>
            </w14:solidFill>
          </w14:textFill>
        </w:rPr>
        <w:t>（含市级领导单列编制</w:t>
      </w:r>
      <w:r>
        <w:rPr>
          <w:rFonts w:hint="eastAsia" w:ascii="仿宋_GB2312" w:eastAsia="仿宋_GB2312"/>
          <w:color w:val="000000" w:themeColor="text1"/>
          <w:sz w:val="32"/>
          <w:szCs w:val="32"/>
          <w:highlight w:val="none"/>
          <w:lang w:val="en-US" w:eastAsia="zh-CN"/>
          <w14:textFill>
            <w14:solidFill>
              <w14:schemeClr w14:val="tx1"/>
            </w14:solidFill>
          </w14:textFill>
        </w:rPr>
        <w:t>1个）</w:t>
      </w:r>
      <w:r>
        <w:rPr>
          <w:rFonts w:hint="eastAsia" w:ascii="仿宋_GB2312" w:eastAsia="仿宋_GB2312"/>
          <w:color w:val="000000" w:themeColor="text1"/>
          <w:sz w:val="32"/>
          <w:szCs w:val="32"/>
          <w:highlight w:val="none"/>
          <w14:textFill>
            <w14:solidFill>
              <w14:schemeClr w14:val="tx1"/>
            </w14:solidFill>
          </w14:textFill>
        </w:rPr>
        <w:t>，实有在职人数</w:t>
      </w:r>
      <w:r>
        <w:rPr>
          <w:rFonts w:hint="eastAsia" w:ascii="仿宋_GB2312" w:eastAsia="仿宋_GB2312"/>
          <w:color w:val="000000" w:themeColor="text1"/>
          <w:sz w:val="32"/>
          <w:szCs w:val="32"/>
          <w:highlight w:val="none"/>
          <w:lang w:val="en-US" w:eastAsia="zh-CN"/>
          <w14:textFill>
            <w14:solidFill>
              <w14:schemeClr w14:val="tx1"/>
            </w14:solidFill>
          </w14:textFill>
        </w:rPr>
        <w:t>33</w:t>
      </w:r>
      <w:r>
        <w:rPr>
          <w:rFonts w:hint="eastAsia" w:ascii="仿宋_GB2312" w:eastAsia="仿宋_GB2312"/>
          <w:color w:val="000000" w:themeColor="text1"/>
          <w:sz w:val="32"/>
          <w:szCs w:val="32"/>
          <w:highlight w:val="none"/>
          <w14:textFill>
            <w14:solidFill>
              <w14:schemeClr w14:val="tx1"/>
            </w14:solidFill>
          </w14:textFill>
        </w:rPr>
        <w:t>人</w:t>
      </w:r>
      <w:r>
        <w:rPr>
          <w:rFonts w:hint="eastAsia" w:ascii="仿宋_GB2312" w:eastAsia="仿宋_GB2312"/>
          <w:color w:val="000000" w:themeColor="text1"/>
          <w:sz w:val="32"/>
          <w:szCs w:val="32"/>
          <w:highlight w:val="none"/>
          <w:lang w:eastAsia="zh-CN"/>
          <w14:textFill>
            <w14:solidFill>
              <w14:schemeClr w14:val="tx1"/>
            </w14:solidFill>
          </w14:textFill>
        </w:rPr>
        <w:t>；下属人财物非独立公益一类事业单位</w:t>
      </w:r>
      <w:r>
        <w:rPr>
          <w:rFonts w:hint="eastAsia" w:ascii="仿宋_GB2312" w:eastAsia="仿宋_GB2312"/>
          <w:color w:val="000000" w:themeColor="text1"/>
          <w:sz w:val="32"/>
          <w:szCs w:val="32"/>
          <w:highlight w:val="none"/>
          <w:lang w:val="en-US" w:eastAsia="zh-CN"/>
          <w14:textFill>
            <w14:solidFill>
              <w14:schemeClr w14:val="tx1"/>
            </w14:solidFill>
          </w14:textFill>
        </w:rPr>
        <w:t>2</w:t>
      </w:r>
      <w:r>
        <w:rPr>
          <w:rFonts w:hint="eastAsia" w:ascii="仿宋_GB2312" w:eastAsia="仿宋_GB2312"/>
          <w:color w:val="000000" w:themeColor="text1"/>
          <w:sz w:val="32"/>
          <w:szCs w:val="32"/>
          <w:highlight w:val="none"/>
          <w:lang w:eastAsia="zh-CN"/>
          <w14:textFill>
            <w14:solidFill>
              <w14:schemeClr w14:val="tx1"/>
            </w14:solidFill>
          </w14:textFill>
        </w:rPr>
        <w:t>个：市</w:t>
      </w:r>
      <w:r>
        <w:rPr>
          <w:rFonts w:hint="eastAsia" w:ascii="仿宋_GB2312" w:eastAsia="仿宋_GB2312"/>
          <w:color w:val="000000" w:themeColor="text1"/>
          <w:sz w:val="32"/>
          <w:szCs w:val="32"/>
          <w:highlight w:val="none"/>
          <w14:textFill>
            <w14:solidFill>
              <w14:schemeClr w14:val="tx1"/>
            </w14:solidFill>
          </w14:textFill>
        </w:rPr>
        <w:t>法学会、</w:t>
      </w:r>
      <w:r>
        <w:rPr>
          <w:rFonts w:hint="eastAsia" w:ascii="仿宋_GB2312" w:eastAsia="仿宋_GB2312"/>
          <w:color w:val="000000" w:themeColor="text1"/>
          <w:sz w:val="32"/>
          <w:szCs w:val="32"/>
          <w:highlight w:val="none"/>
          <w:lang w:eastAsia="zh-CN"/>
          <w14:textFill>
            <w14:solidFill>
              <w14:schemeClr w14:val="tx1"/>
            </w14:solidFill>
          </w14:textFill>
        </w:rPr>
        <w:t>市综治中心，</w:t>
      </w:r>
      <w:r>
        <w:rPr>
          <w:rFonts w:hint="eastAsia" w:ascii="仿宋_GB2312" w:eastAsia="仿宋_GB2312"/>
          <w:color w:val="000000" w:themeColor="text1"/>
          <w:sz w:val="32"/>
          <w:szCs w:val="32"/>
          <w:highlight w:val="none"/>
          <w14:textFill>
            <w14:solidFill>
              <w14:schemeClr w14:val="tx1"/>
            </w14:solidFill>
          </w14:textFill>
        </w:rPr>
        <w:t>人员编制</w:t>
      </w:r>
      <w:r>
        <w:rPr>
          <w:rFonts w:hint="eastAsia" w:ascii="仿宋_GB2312" w:eastAsia="仿宋_GB2312"/>
          <w:color w:val="000000" w:themeColor="text1"/>
          <w:sz w:val="32"/>
          <w:szCs w:val="32"/>
          <w:highlight w:val="none"/>
          <w:lang w:val="en-US" w:eastAsia="zh-CN"/>
          <w14:textFill>
            <w14:solidFill>
              <w14:schemeClr w14:val="tx1"/>
            </w14:solidFill>
          </w14:textFill>
        </w:rPr>
        <w:t>9</w:t>
      </w:r>
      <w:r>
        <w:rPr>
          <w:rFonts w:hint="eastAsia" w:ascii="仿宋_GB2312" w:eastAsia="仿宋_GB2312"/>
          <w:color w:val="000000" w:themeColor="text1"/>
          <w:sz w:val="32"/>
          <w:szCs w:val="32"/>
          <w:highlight w:val="none"/>
          <w14:textFill>
            <w14:solidFill>
              <w14:schemeClr w14:val="tx1"/>
            </w14:solidFill>
          </w14:textFill>
        </w:rPr>
        <w:t>人，实有在职人数</w:t>
      </w:r>
      <w:r>
        <w:rPr>
          <w:rFonts w:hint="eastAsia" w:ascii="仿宋_GB2312" w:eastAsia="仿宋_GB2312"/>
          <w:color w:val="000000" w:themeColor="text1"/>
          <w:sz w:val="32"/>
          <w:szCs w:val="32"/>
          <w:highlight w:val="none"/>
          <w:lang w:val="en-US" w:eastAsia="zh-CN"/>
          <w14:textFill>
            <w14:solidFill>
              <w14:schemeClr w14:val="tx1"/>
            </w14:solidFill>
          </w14:textFill>
        </w:rPr>
        <w:t>8</w:t>
      </w:r>
      <w:r>
        <w:rPr>
          <w:rFonts w:hint="eastAsia" w:ascii="仿宋_GB2312" w:eastAsia="仿宋_GB2312"/>
          <w:color w:val="000000" w:themeColor="text1"/>
          <w:sz w:val="32"/>
          <w:szCs w:val="32"/>
          <w:highlight w:val="none"/>
          <w14:textFill>
            <w14:solidFill>
              <w14:schemeClr w14:val="tx1"/>
            </w14:solidFill>
          </w14:textFill>
        </w:rPr>
        <w:t>人。</w:t>
      </w:r>
      <w:r>
        <w:rPr>
          <w:rFonts w:hint="eastAsia" w:ascii="仿宋_GB2312" w:eastAsia="仿宋_GB2312"/>
          <w:color w:val="000000" w:themeColor="text1"/>
          <w:sz w:val="32"/>
          <w:szCs w:val="32"/>
          <w:highlight w:val="none"/>
          <w:lang w:eastAsia="zh-CN"/>
          <w14:textFill>
            <w14:solidFill>
              <w14:schemeClr w14:val="tx1"/>
            </w14:solidFill>
          </w14:textFill>
        </w:rPr>
        <w:t>机关聘用</w:t>
      </w:r>
      <w:r>
        <w:rPr>
          <w:rFonts w:hint="eastAsia" w:ascii="仿宋_GB2312" w:eastAsia="仿宋_GB2312"/>
          <w:color w:val="000000" w:themeColor="text1"/>
          <w:sz w:val="32"/>
          <w:szCs w:val="32"/>
          <w:highlight w:val="none"/>
          <w14:textFill>
            <w14:solidFill>
              <w14:schemeClr w14:val="tx1"/>
            </w14:solidFill>
          </w14:textFill>
        </w:rPr>
        <w:t>临时工</w:t>
      </w:r>
      <w:r>
        <w:rPr>
          <w:rFonts w:hint="eastAsia" w:ascii="仿宋_GB2312" w:eastAsia="仿宋_GB2312"/>
          <w:color w:val="000000" w:themeColor="text1"/>
          <w:sz w:val="32"/>
          <w:szCs w:val="32"/>
          <w:highlight w:val="none"/>
          <w:lang w:val="en-US" w:eastAsia="zh-CN"/>
          <w14:textFill>
            <w14:solidFill>
              <w14:schemeClr w14:val="tx1"/>
            </w14:solidFill>
          </w14:textFill>
        </w:rPr>
        <w:t>3</w:t>
      </w:r>
      <w:r>
        <w:rPr>
          <w:rFonts w:hint="eastAsia" w:ascii="仿宋_GB2312" w:eastAsia="仿宋_GB2312"/>
          <w:color w:val="000000" w:themeColor="text1"/>
          <w:sz w:val="32"/>
          <w:szCs w:val="32"/>
          <w:highlight w:val="none"/>
          <w14:textFill>
            <w14:solidFill>
              <w14:schemeClr w14:val="tx1"/>
            </w14:solidFill>
          </w14:textFill>
        </w:rPr>
        <w:t>人。</w:t>
      </w:r>
    </w:p>
    <w:p w14:paraId="644D268F">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中共永州市委政法委员会202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年部门决算汇总公开只包括中共永州市委政法委员会本级。</w:t>
      </w:r>
    </w:p>
    <w:p w14:paraId="1A3FE9AF">
      <w:pPr>
        <w:jc w:val="left"/>
        <w:rPr>
          <w:rFonts w:ascii="Times New Roman" w:hAnsi="Times New Roman" w:eastAsia="仿宋_GB2312" w:cs="Times New Roman"/>
          <w:sz w:val="28"/>
          <w:szCs w:val="32"/>
        </w:rPr>
      </w:pPr>
    </w:p>
    <w:p w14:paraId="4294099C">
      <w:pPr>
        <w:jc w:val="center"/>
        <w:rPr>
          <w:rFonts w:ascii="Times New Roman" w:hAnsi="Times New Roman" w:eastAsia="黑体" w:cs="Times New Roman"/>
          <w:sz w:val="28"/>
          <w:szCs w:val="28"/>
        </w:rPr>
      </w:pPr>
    </w:p>
    <w:p w14:paraId="568A1B66">
      <w:pPr>
        <w:jc w:val="center"/>
        <w:rPr>
          <w:rFonts w:ascii="Times New Roman" w:hAnsi="Times New Roman" w:eastAsia="黑体" w:cs="Times New Roman"/>
          <w:sz w:val="28"/>
          <w:szCs w:val="28"/>
        </w:rPr>
      </w:pPr>
    </w:p>
    <w:p w14:paraId="1C9DD045">
      <w:pPr>
        <w:jc w:val="center"/>
        <w:rPr>
          <w:rFonts w:ascii="Times New Roman" w:hAnsi="Times New Roman" w:eastAsia="黑体" w:cs="Times New Roman"/>
          <w:sz w:val="28"/>
          <w:szCs w:val="28"/>
        </w:rPr>
      </w:pPr>
    </w:p>
    <w:p w14:paraId="7664B9A2">
      <w:pPr>
        <w:jc w:val="center"/>
        <w:rPr>
          <w:rFonts w:ascii="Times New Roman" w:hAnsi="Times New Roman" w:eastAsia="黑体" w:cs="Times New Roman"/>
          <w:sz w:val="28"/>
          <w:szCs w:val="28"/>
        </w:rPr>
      </w:pPr>
    </w:p>
    <w:p w14:paraId="26C5B05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F04026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B86939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6AEA21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7B1D66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中国共产党永州市委员会政法委员会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8075A9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457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9E8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C45E4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01F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AEFE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7FE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C40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9EAE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DC4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D95AA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330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208B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5C3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EA7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AEC9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20E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F152F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90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6F6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4E62">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996.04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6B6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32D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E61C">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770.01</w:t>
            </w:r>
          </w:p>
        </w:tc>
      </w:tr>
      <w:tr w14:paraId="2558D9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528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962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49E6">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DF5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E50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8B5D">
            <w:pPr>
              <w:jc w:val="center"/>
              <w:rPr>
                <w:rFonts w:hint="eastAsia" w:ascii="仿宋" w:hAnsi="仿宋" w:eastAsia="仿宋" w:cs="仿宋"/>
                <w:color w:val="000000"/>
                <w:sz w:val="20"/>
                <w:szCs w:val="20"/>
              </w:rPr>
            </w:pPr>
          </w:p>
        </w:tc>
      </w:tr>
      <w:tr w14:paraId="43998F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57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777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5E8D6">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812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07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3678">
            <w:pPr>
              <w:jc w:val="center"/>
              <w:rPr>
                <w:rFonts w:hint="eastAsia" w:ascii="仿宋" w:hAnsi="仿宋" w:eastAsia="仿宋" w:cs="仿宋"/>
                <w:color w:val="000000"/>
                <w:sz w:val="20"/>
                <w:szCs w:val="20"/>
              </w:rPr>
            </w:pPr>
          </w:p>
        </w:tc>
      </w:tr>
      <w:tr w14:paraId="2663DA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F72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057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8863">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A0D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E60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0759">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28.99</w:t>
            </w:r>
          </w:p>
        </w:tc>
      </w:tr>
      <w:tr w14:paraId="648370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286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435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FB17">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10C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FD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B253">
            <w:pPr>
              <w:jc w:val="center"/>
              <w:rPr>
                <w:rFonts w:hint="eastAsia" w:ascii="仿宋" w:hAnsi="仿宋" w:eastAsia="仿宋" w:cs="仿宋"/>
                <w:color w:val="000000"/>
                <w:sz w:val="20"/>
                <w:szCs w:val="20"/>
              </w:rPr>
            </w:pPr>
          </w:p>
        </w:tc>
      </w:tr>
      <w:tr w14:paraId="1831C3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D7E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723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1B19">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466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C74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0D3C">
            <w:pPr>
              <w:jc w:val="center"/>
              <w:rPr>
                <w:rFonts w:hint="eastAsia" w:ascii="仿宋" w:hAnsi="仿宋" w:eastAsia="仿宋" w:cs="仿宋"/>
                <w:color w:val="000000"/>
                <w:sz w:val="20"/>
                <w:szCs w:val="20"/>
              </w:rPr>
            </w:pPr>
          </w:p>
        </w:tc>
      </w:tr>
      <w:tr w14:paraId="2DEEFC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CD4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BB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A368">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DA05">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7CD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C818">
            <w:pPr>
              <w:keepNext w:val="0"/>
              <w:keepLines w:val="0"/>
              <w:widowControl/>
              <w:suppressLineNumbers w:val="0"/>
              <w:jc w:val="center"/>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108.16</w:t>
            </w:r>
          </w:p>
        </w:tc>
      </w:tr>
      <w:tr w14:paraId="2FD9EC2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F12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EBF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1E56">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4370">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eastAsia="zh-CN"/>
              </w:rPr>
              <w:t>八</w:t>
            </w:r>
            <w:r>
              <w:rPr>
                <w:rFonts w:hint="eastAsia" w:ascii="Times New Roman" w:hAnsi="Times New Roman" w:eastAsia="仿宋_GB2312" w:cs="Times New Roman"/>
                <w:color w:val="00000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A8F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1C59">
            <w:pPr>
              <w:keepNext w:val="0"/>
              <w:keepLines w:val="0"/>
              <w:widowControl/>
              <w:suppressLineNumbers w:val="0"/>
              <w:jc w:val="center"/>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31.40</w:t>
            </w:r>
          </w:p>
        </w:tc>
      </w:tr>
      <w:tr w14:paraId="4B6E62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2C5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78B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B1BEE">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6165">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506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4257">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57.48</w:t>
            </w:r>
          </w:p>
        </w:tc>
      </w:tr>
      <w:tr w14:paraId="214340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F4F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077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44AD">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996.04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958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2F3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96D5">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996.04</w:t>
            </w:r>
          </w:p>
        </w:tc>
      </w:tr>
      <w:tr w14:paraId="027D1A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B4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84B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0C34">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1E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71C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E026">
            <w:pPr>
              <w:jc w:val="center"/>
              <w:rPr>
                <w:rFonts w:hint="eastAsia" w:ascii="仿宋" w:hAnsi="仿宋" w:eastAsia="仿宋" w:cs="仿宋"/>
                <w:color w:val="000000"/>
                <w:sz w:val="20"/>
                <w:szCs w:val="20"/>
              </w:rPr>
            </w:pPr>
          </w:p>
        </w:tc>
      </w:tr>
      <w:tr w14:paraId="5C681AC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AA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EA6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13437">
            <w:pPr>
              <w:jc w:val="center"/>
              <w:rPr>
                <w:rFonts w:hint="eastAsia" w:ascii="仿宋" w:hAnsi="仿宋" w:eastAsia="仿宋" w:cs="仿宋"/>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F6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9DF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51CB">
            <w:pPr>
              <w:jc w:val="center"/>
              <w:rPr>
                <w:rFonts w:hint="eastAsia" w:ascii="仿宋" w:hAnsi="仿宋" w:eastAsia="仿宋" w:cs="仿宋"/>
                <w:color w:val="000000"/>
                <w:sz w:val="20"/>
                <w:szCs w:val="20"/>
              </w:rPr>
            </w:pPr>
          </w:p>
        </w:tc>
      </w:tr>
      <w:tr w14:paraId="1EC548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669C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05E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BCD7">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996.04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4FB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69E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E0B7">
            <w:pPr>
              <w:keepNext w:val="0"/>
              <w:keepLines w:val="0"/>
              <w:widowControl/>
              <w:suppressLineNumbers w:val="0"/>
              <w:jc w:val="center"/>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996.04</w:t>
            </w:r>
          </w:p>
        </w:tc>
      </w:tr>
    </w:tbl>
    <w:p w14:paraId="012C3B10">
      <w:pPr>
        <w:widowControl/>
        <w:jc w:val="left"/>
        <w:textAlignment w:val="center"/>
        <w:rPr>
          <w:rFonts w:ascii="Times New Roman" w:hAnsi="Times New Roman" w:eastAsia="宋体" w:cs="Times New Roman"/>
          <w:color w:val="000000"/>
          <w:kern w:val="0"/>
          <w:sz w:val="24"/>
          <w:szCs w:val="24"/>
          <w:lang w:bidi="ar"/>
        </w:rPr>
      </w:pPr>
    </w:p>
    <w:p w14:paraId="1A47071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F3FE9A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5D061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ADA6C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56E493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1A63F7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中国共产党永州市委员会政法委员会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71"/>
        <w:gridCol w:w="2250"/>
        <w:gridCol w:w="1505"/>
        <w:gridCol w:w="1640"/>
        <w:gridCol w:w="1640"/>
        <w:gridCol w:w="1640"/>
        <w:gridCol w:w="1640"/>
        <w:gridCol w:w="1897"/>
        <w:gridCol w:w="1383"/>
      </w:tblGrid>
      <w:tr w14:paraId="2F8D3D15">
        <w:tblPrEx>
          <w:tblCellMar>
            <w:top w:w="0" w:type="dxa"/>
            <w:left w:w="0" w:type="dxa"/>
            <w:bottom w:w="0" w:type="dxa"/>
            <w:right w:w="0" w:type="dxa"/>
          </w:tblCellMar>
        </w:tblPrEx>
        <w:trPr>
          <w:trHeight w:val="450" w:hRule="atLeast"/>
          <w:jc w:val="center"/>
        </w:trPr>
        <w:tc>
          <w:tcPr>
            <w:tcW w:w="332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9E4C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A87F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8B02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C3E0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9D11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1CC8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2F02B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281C1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E0E0225">
        <w:tblPrEx>
          <w:tblCellMar>
            <w:top w:w="0" w:type="dxa"/>
            <w:left w:w="0" w:type="dxa"/>
            <w:bottom w:w="0" w:type="dxa"/>
            <w:right w:w="0" w:type="dxa"/>
          </w:tblCellMar>
        </w:tblPrEx>
        <w:trPr>
          <w:trHeight w:val="334" w:hRule="exact"/>
          <w:jc w:val="center"/>
        </w:trPr>
        <w:tc>
          <w:tcPr>
            <w:tcW w:w="10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D07B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14FF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5" w:type="dxa"/>
            <w:vMerge w:val="continue"/>
            <w:tcBorders>
              <w:top w:val="single" w:color="auto" w:sz="4" w:space="0"/>
              <w:left w:val="single" w:color="auto" w:sz="4" w:space="0"/>
              <w:bottom w:val="single" w:color="auto" w:sz="4" w:space="0"/>
              <w:right w:val="single" w:color="auto" w:sz="4" w:space="0"/>
            </w:tcBorders>
            <w:vAlign w:val="center"/>
          </w:tcPr>
          <w:p w14:paraId="47B0899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32694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9AE89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7B8AB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FF19F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E2B0AB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7A71592">
            <w:pPr>
              <w:rPr>
                <w:rFonts w:ascii="Times New Roman" w:hAnsi="Times New Roman" w:eastAsia="仿宋_GB2312" w:cs="Times New Roman"/>
                <w:sz w:val="24"/>
                <w:szCs w:val="24"/>
              </w:rPr>
            </w:pPr>
          </w:p>
        </w:tc>
      </w:tr>
      <w:tr w14:paraId="002B314C">
        <w:tblPrEx>
          <w:tblCellMar>
            <w:top w:w="0" w:type="dxa"/>
            <w:left w:w="0" w:type="dxa"/>
            <w:bottom w:w="0" w:type="dxa"/>
            <w:right w:w="0" w:type="dxa"/>
          </w:tblCellMar>
        </w:tblPrEx>
        <w:trPr>
          <w:trHeight w:val="312" w:hRule="atLeast"/>
          <w:jc w:val="center"/>
        </w:trPr>
        <w:tc>
          <w:tcPr>
            <w:tcW w:w="1071" w:type="dxa"/>
            <w:vMerge w:val="continue"/>
            <w:tcBorders>
              <w:top w:val="single" w:color="auto" w:sz="4" w:space="0"/>
              <w:left w:val="single" w:color="auto" w:sz="4" w:space="0"/>
              <w:bottom w:val="single" w:color="auto" w:sz="4" w:space="0"/>
              <w:right w:val="single" w:color="auto" w:sz="4" w:space="0"/>
            </w:tcBorders>
            <w:vAlign w:val="center"/>
          </w:tcPr>
          <w:p w14:paraId="309C6CEA">
            <w:pPr>
              <w:rPr>
                <w:rFonts w:ascii="Times New Roman" w:hAnsi="Times New Roman" w:eastAsia="仿宋_GB2312" w:cs="Times New Roman"/>
                <w:sz w:val="24"/>
                <w:szCs w:val="24"/>
              </w:rPr>
            </w:pPr>
          </w:p>
        </w:tc>
        <w:tc>
          <w:tcPr>
            <w:tcW w:w="2250" w:type="dxa"/>
            <w:vMerge w:val="continue"/>
            <w:tcBorders>
              <w:top w:val="nil"/>
              <w:left w:val="single" w:color="auto" w:sz="4" w:space="0"/>
              <w:bottom w:val="single" w:color="auto" w:sz="4" w:space="0"/>
              <w:right w:val="single" w:color="auto" w:sz="4" w:space="0"/>
            </w:tcBorders>
            <w:vAlign w:val="center"/>
          </w:tcPr>
          <w:p w14:paraId="605EBD95">
            <w:pPr>
              <w:rPr>
                <w:rFonts w:ascii="Times New Roman" w:hAnsi="Times New Roman" w:eastAsia="仿宋_GB2312" w:cs="Times New Roman"/>
                <w:sz w:val="24"/>
                <w:szCs w:val="24"/>
              </w:rPr>
            </w:pPr>
          </w:p>
        </w:tc>
        <w:tc>
          <w:tcPr>
            <w:tcW w:w="1505" w:type="dxa"/>
            <w:vMerge w:val="continue"/>
            <w:tcBorders>
              <w:top w:val="single" w:color="auto" w:sz="4" w:space="0"/>
              <w:left w:val="single" w:color="auto" w:sz="4" w:space="0"/>
              <w:bottom w:val="single" w:color="auto" w:sz="4" w:space="0"/>
              <w:right w:val="single" w:color="auto" w:sz="4" w:space="0"/>
            </w:tcBorders>
            <w:vAlign w:val="center"/>
          </w:tcPr>
          <w:p w14:paraId="72D2CA0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8A878E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0A358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358D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C2920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5F1DD4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476A9CB">
            <w:pPr>
              <w:rPr>
                <w:rFonts w:ascii="Times New Roman" w:hAnsi="Times New Roman" w:eastAsia="仿宋_GB2312" w:cs="Times New Roman"/>
                <w:sz w:val="24"/>
                <w:szCs w:val="24"/>
              </w:rPr>
            </w:pPr>
          </w:p>
        </w:tc>
      </w:tr>
      <w:tr w14:paraId="16F7D4D1">
        <w:tblPrEx>
          <w:tblCellMar>
            <w:top w:w="0" w:type="dxa"/>
            <w:left w:w="0" w:type="dxa"/>
            <w:bottom w:w="0" w:type="dxa"/>
            <w:right w:w="0" w:type="dxa"/>
          </w:tblCellMar>
        </w:tblPrEx>
        <w:trPr>
          <w:trHeight w:val="450" w:hRule="atLeast"/>
          <w:jc w:val="center"/>
        </w:trPr>
        <w:tc>
          <w:tcPr>
            <w:tcW w:w="33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8F9F7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C6A3A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BF20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7EBAD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F84F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AF19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630B1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B0FAC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C0A6E9F">
        <w:tblPrEx>
          <w:tblCellMar>
            <w:top w:w="0" w:type="dxa"/>
            <w:left w:w="0" w:type="dxa"/>
            <w:bottom w:w="0" w:type="dxa"/>
            <w:right w:w="0" w:type="dxa"/>
          </w:tblCellMar>
        </w:tblPrEx>
        <w:trPr>
          <w:trHeight w:val="450" w:hRule="atLeast"/>
          <w:jc w:val="center"/>
        </w:trPr>
        <w:tc>
          <w:tcPr>
            <w:tcW w:w="33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2258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FDD165">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b/>
                <w:i w:val="0"/>
                <w:color w:val="000000"/>
                <w:kern w:val="0"/>
                <w:sz w:val="20"/>
                <w:szCs w:val="20"/>
                <w:u w:val="none"/>
                <w:lang w:val="en-US" w:eastAsia="zh-CN" w:bidi="ar"/>
              </w:rPr>
              <w:t xml:space="preserve">996.04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2EDCE">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b/>
                <w:i w:val="0"/>
                <w:color w:val="000000"/>
                <w:kern w:val="0"/>
                <w:sz w:val="20"/>
                <w:szCs w:val="20"/>
                <w:u w:val="none"/>
                <w:lang w:val="en-US" w:eastAsia="zh-CN" w:bidi="ar"/>
              </w:rPr>
              <w:t xml:space="preserve">996.04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D77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65C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48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23E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86F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E77C8EB">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9907C">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201</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A7A44">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一般公共服务支出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88138">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CE255">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376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9F1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BE4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3A9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6A0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3E7DAA">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DBD9B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20136</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3A257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其他共产党事务支出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FE667">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770.01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BFF1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770.01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DC17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5C49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6924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7C50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89EC4">
            <w:pPr>
              <w:jc w:val="right"/>
              <w:rPr>
                <w:rFonts w:ascii="Times New Roman" w:hAnsi="Times New Roman" w:eastAsia="仿宋_GB2312" w:cs="Times New Roman"/>
              </w:rPr>
            </w:pPr>
          </w:p>
        </w:tc>
      </w:tr>
      <w:tr w14:paraId="439823A8">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7EF0A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2013601</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FBF31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行政运行</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80643">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708.05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3D57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708.05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1644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E07C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CCBB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49531">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6EC13">
            <w:pPr>
              <w:jc w:val="right"/>
              <w:rPr>
                <w:rFonts w:ascii="Times New Roman" w:hAnsi="Times New Roman" w:eastAsia="仿宋_GB2312" w:cs="Times New Roman"/>
              </w:rPr>
            </w:pPr>
          </w:p>
        </w:tc>
      </w:tr>
      <w:tr w14:paraId="2BF5A201">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AD515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2013699</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BA6A3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其他共产党事务支出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78BC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61.97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78D5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61.97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389E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AE048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4D15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18DD2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6F664">
            <w:pPr>
              <w:jc w:val="right"/>
              <w:rPr>
                <w:rFonts w:ascii="Times New Roman" w:hAnsi="Times New Roman" w:eastAsia="仿宋_GB2312" w:cs="Times New Roman"/>
              </w:rPr>
            </w:pPr>
          </w:p>
        </w:tc>
      </w:tr>
      <w:tr w14:paraId="1330140E">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C45C4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E92E9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公共安全支出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7C2FC">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4526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5D68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A9AF0">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EE8C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F95C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43BCA">
            <w:pPr>
              <w:jc w:val="right"/>
              <w:rPr>
                <w:rFonts w:ascii="Times New Roman" w:hAnsi="Times New Roman" w:eastAsia="仿宋_GB2312" w:cs="Times New Roman"/>
              </w:rPr>
            </w:pPr>
          </w:p>
        </w:tc>
      </w:tr>
      <w:tr w14:paraId="1D5640EC">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C5EFF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20406</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D57C4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司法</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0EA29">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74330">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D5AF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9DEA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1862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ADB4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4A6F0">
            <w:pPr>
              <w:jc w:val="right"/>
              <w:rPr>
                <w:rFonts w:ascii="Times New Roman" w:hAnsi="Times New Roman" w:eastAsia="仿宋_GB2312" w:cs="Times New Roman"/>
              </w:rPr>
            </w:pPr>
          </w:p>
        </w:tc>
      </w:tr>
      <w:tr w14:paraId="68FD981C">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EE1B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2040602</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561E1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一般行政管理事务</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02E6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63AE2">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09413">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5C059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05D7DE">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2912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66722">
            <w:pPr>
              <w:jc w:val="right"/>
              <w:rPr>
                <w:rFonts w:ascii="Times New Roman" w:hAnsi="Times New Roman" w:eastAsia="仿宋_GB2312" w:cs="Times New Roman"/>
              </w:rPr>
            </w:pPr>
          </w:p>
        </w:tc>
      </w:tr>
      <w:tr w14:paraId="6E02EBFA">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8AB10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9983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社会保障和就业支出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1F4AA">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670E7">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8F17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A255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E766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16684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128DA">
            <w:pPr>
              <w:jc w:val="right"/>
              <w:rPr>
                <w:rFonts w:ascii="Times New Roman" w:hAnsi="Times New Roman" w:eastAsia="仿宋_GB2312" w:cs="Times New Roman"/>
              </w:rPr>
            </w:pPr>
          </w:p>
        </w:tc>
      </w:tr>
      <w:tr w14:paraId="13EC18AA">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F695A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F5FFA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行政事业单位养老支出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650515">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D5203">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D9B6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FAA0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6D82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822C9">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78044">
            <w:pPr>
              <w:jc w:val="right"/>
              <w:rPr>
                <w:rFonts w:ascii="Times New Roman" w:hAnsi="Times New Roman" w:eastAsia="仿宋_GB2312" w:cs="Times New Roman"/>
              </w:rPr>
            </w:pPr>
          </w:p>
        </w:tc>
      </w:tr>
      <w:tr w14:paraId="5AD1F2C1">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9E45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2080505</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73BE8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机关事业单位基本养老保险缴费支出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7738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68.25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DB8C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68.25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D2EC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24F5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6B7A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6066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43C39">
            <w:pPr>
              <w:jc w:val="right"/>
              <w:rPr>
                <w:rFonts w:ascii="Times New Roman" w:hAnsi="Times New Roman" w:eastAsia="仿宋_GB2312" w:cs="Times New Roman"/>
              </w:rPr>
            </w:pPr>
          </w:p>
        </w:tc>
      </w:tr>
      <w:tr w14:paraId="27096496">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1DEAA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2080599</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17166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其他行政事业单位养老支出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0292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2850C">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3592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66CB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8C24A">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856B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7CC97">
            <w:pPr>
              <w:jc w:val="right"/>
              <w:rPr>
                <w:rFonts w:ascii="Times New Roman" w:hAnsi="Times New Roman" w:eastAsia="仿宋_GB2312" w:cs="Times New Roman"/>
              </w:rPr>
            </w:pPr>
          </w:p>
        </w:tc>
      </w:tr>
      <w:tr w14:paraId="55D0B0FF">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B2168">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210</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DB7103">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卫生健康支出</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D3172">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1E628">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AD9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ED4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032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E46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261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30BF71">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8CCC64">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21011</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91C303">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行政事业单位医疗</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055880">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B3AF5">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F79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B2C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C79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16E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5F8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9BECE0D">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51EDBC">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2101101</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BF65B">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行政单位医疗</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A9F9C">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78AB6">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4C8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24D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B67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1EE8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7955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AE70F6F">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AF397C">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2101103</w:t>
            </w:r>
          </w:p>
        </w:tc>
        <w:tc>
          <w:tcPr>
            <w:tcW w:w="22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107890">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公务员医疗补助</w:t>
            </w:r>
          </w:p>
        </w:tc>
        <w:tc>
          <w:tcPr>
            <w:tcW w:w="15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CF103">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2.85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54545">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2.85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065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15A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CC5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00F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F63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F2FA6B5">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E98D5">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221</w:t>
            </w:r>
          </w:p>
        </w:tc>
        <w:tc>
          <w:tcPr>
            <w:tcW w:w="22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623B22">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住房保障支出</w:t>
            </w:r>
          </w:p>
        </w:tc>
        <w:tc>
          <w:tcPr>
            <w:tcW w:w="15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A8E355">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A0423A">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4F709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FA8D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FFF9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9186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9F62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5FC00C8">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8485A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22102</w:t>
            </w:r>
          </w:p>
        </w:tc>
        <w:tc>
          <w:tcPr>
            <w:tcW w:w="22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C18ED6">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住房改革支出</w:t>
            </w:r>
          </w:p>
        </w:tc>
        <w:tc>
          <w:tcPr>
            <w:tcW w:w="15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999526">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2D9FB1">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38AD4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93E7A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ABC48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4FC0C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C6322F">
            <w:pPr>
              <w:jc w:val="right"/>
              <w:rPr>
                <w:rFonts w:ascii="Times New Roman" w:hAnsi="Times New Roman" w:eastAsia="仿宋_GB2312" w:cs="Times New Roman"/>
              </w:rPr>
            </w:pPr>
          </w:p>
        </w:tc>
      </w:tr>
      <w:tr w14:paraId="7109CF2D">
        <w:tblPrEx>
          <w:tblCellMar>
            <w:top w:w="0" w:type="dxa"/>
            <w:left w:w="0" w:type="dxa"/>
            <w:bottom w:w="0" w:type="dxa"/>
            <w:right w:w="0" w:type="dxa"/>
          </w:tblCellMar>
        </w:tblPrEx>
        <w:trPr>
          <w:trHeight w:val="450" w:hRule="atLeast"/>
          <w:jc w:val="center"/>
        </w:trPr>
        <w:tc>
          <w:tcPr>
            <w:tcW w:w="107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47C6C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2210201</w:t>
            </w:r>
          </w:p>
        </w:tc>
        <w:tc>
          <w:tcPr>
            <w:tcW w:w="225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2D4529">
            <w:pPr>
              <w:keepNext w:val="0"/>
              <w:keepLines w:val="0"/>
              <w:widowControl/>
              <w:suppressLineNumbers w:val="0"/>
              <w:jc w:val="lef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住房公积金</w:t>
            </w:r>
          </w:p>
        </w:tc>
        <w:tc>
          <w:tcPr>
            <w:tcW w:w="15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62C60C">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DF0664">
            <w:pPr>
              <w:keepNext w:val="0"/>
              <w:keepLines w:val="0"/>
              <w:widowControl/>
              <w:suppressLineNumbers w:val="0"/>
              <w:jc w:val="right"/>
              <w:textAlignment w:val="center"/>
              <w:rPr>
                <w:rFonts w:hint="eastAsia" w:ascii="仿宋" w:hAnsi="仿宋" w:eastAsia="仿宋" w:cs="仿宋"/>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C84EA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A0947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539C0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59E41">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2836A1">
            <w:pPr>
              <w:jc w:val="right"/>
              <w:rPr>
                <w:rFonts w:ascii="Times New Roman" w:hAnsi="Times New Roman" w:eastAsia="仿宋_GB2312" w:cs="Times New Roman"/>
              </w:rPr>
            </w:pPr>
          </w:p>
        </w:tc>
      </w:tr>
    </w:tbl>
    <w:p w14:paraId="287FE8B0">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A5BAB3E">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br w:type="page"/>
      </w:r>
    </w:p>
    <w:p w14:paraId="4CA2879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6D4ACF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B5EE80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中国共产党永州市委员会政法委员会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219"/>
        <w:gridCol w:w="2685"/>
        <w:gridCol w:w="1732"/>
        <w:gridCol w:w="1334"/>
        <w:gridCol w:w="1334"/>
        <w:gridCol w:w="1877"/>
        <w:gridCol w:w="1334"/>
        <w:gridCol w:w="2696"/>
      </w:tblGrid>
      <w:tr w14:paraId="7DD5C6CD">
        <w:tblPrEx>
          <w:tblCellMar>
            <w:top w:w="0" w:type="dxa"/>
            <w:left w:w="108" w:type="dxa"/>
            <w:bottom w:w="0" w:type="dxa"/>
            <w:right w:w="108" w:type="dxa"/>
          </w:tblCellMar>
        </w:tblPrEx>
        <w:trPr>
          <w:trHeight w:val="595" w:hRule="atLeast"/>
          <w:jc w:val="center"/>
        </w:trPr>
        <w:tc>
          <w:tcPr>
            <w:tcW w:w="137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E51378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2EB9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4834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9C2F7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C31CE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DD57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B62DE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0F8E1D7">
        <w:tblPrEx>
          <w:tblCellMar>
            <w:top w:w="0" w:type="dxa"/>
            <w:left w:w="108" w:type="dxa"/>
            <w:bottom w:w="0" w:type="dxa"/>
            <w:right w:w="108" w:type="dxa"/>
          </w:tblCellMar>
        </w:tblPrEx>
        <w:trPr>
          <w:trHeight w:val="312" w:hRule="exact"/>
          <w:jc w:val="center"/>
        </w:trPr>
        <w:tc>
          <w:tcPr>
            <w:tcW w:w="4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B07A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44" w:type="pct"/>
            <w:vMerge w:val="restart"/>
            <w:tcBorders>
              <w:top w:val="nil"/>
              <w:left w:val="single" w:color="auto" w:sz="4" w:space="0"/>
              <w:bottom w:val="single" w:color="auto" w:sz="4" w:space="0"/>
              <w:right w:val="single" w:color="auto" w:sz="4" w:space="0"/>
            </w:tcBorders>
            <w:shd w:val="clear" w:color="000000" w:fill="FFFFFF"/>
            <w:vAlign w:val="center"/>
          </w:tcPr>
          <w:p w14:paraId="1F5B6AD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09" w:type="pct"/>
            <w:vMerge w:val="continue"/>
            <w:tcBorders>
              <w:top w:val="single" w:color="auto" w:sz="4" w:space="0"/>
              <w:left w:val="single" w:color="auto" w:sz="4" w:space="0"/>
              <w:bottom w:val="single" w:color="auto" w:sz="4" w:space="0"/>
              <w:right w:val="single" w:color="auto" w:sz="4" w:space="0"/>
            </w:tcBorders>
            <w:vAlign w:val="center"/>
          </w:tcPr>
          <w:p w14:paraId="730D440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052C9F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7419B0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A9487D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39E163C">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752886">
            <w:pPr>
              <w:widowControl/>
              <w:jc w:val="left"/>
              <w:rPr>
                <w:rFonts w:ascii="Times New Roman" w:hAnsi="Times New Roman" w:eastAsia="仿宋_GB2312" w:cs="Times New Roman"/>
                <w:b/>
                <w:bCs/>
                <w:kern w:val="0"/>
                <w:sz w:val="24"/>
                <w:szCs w:val="24"/>
              </w:rPr>
            </w:pPr>
          </w:p>
        </w:tc>
      </w:tr>
      <w:tr w14:paraId="7A22DF18">
        <w:tblPrEx>
          <w:tblCellMar>
            <w:top w:w="0" w:type="dxa"/>
            <w:left w:w="108" w:type="dxa"/>
            <w:bottom w:w="0" w:type="dxa"/>
            <w:right w:w="108" w:type="dxa"/>
          </w:tblCellMar>
        </w:tblPrEx>
        <w:trPr>
          <w:trHeight w:val="595" w:hRule="atLeast"/>
          <w:jc w:val="center"/>
        </w:trPr>
        <w:tc>
          <w:tcPr>
            <w:tcW w:w="428" w:type="pct"/>
            <w:vMerge w:val="continue"/>
            <w:tcBorders>
              <w:top w:val="single" w:color="auto" w:sz="4" w:space="0"/>
              <w:left w:val="single" w:color="auto" w:sz="4" w:space="0"/>
              <w:bottom w:val="single" w:color="auto" w:sz="4" w:space="0"/>
              <w:right w:val="single" w:color="auto" w:sz="4" w:space="0"/>
            </w:tcBorders>
            <w:vAlign w:val="center"/>
          </w:tcPr>
          <w:p w14:paraId="05939E78">
            <w:pPr>
              <w:widowControl/>
              <w:jc w:val="left"/>
              <w:rPr>
                <w:rFonts w:ascii="Times New Roman" w:hAnsi="Times New Roman" w:eastAsia="仿宋_GB2312" w:cs="Times New Roman"/>
                <w:kern w:val="0"/>
                <w:sz w:val="24"/>
                <w:szCs w:val="24"/>
              </w:rPr>
            </w:pPr>
          </w:p>
        </w:tc>
        <w:tc>
          <w:tcPr>
            <w:tcW w:w="944" w:type="pct"/>
            <w:vMerge w:val="continue"/>
            <w:tcBorders>
              <w:top w:val="nil"/>
              <w:left w:val="single" w:color="auto" w:sz="4" w:space="0"/>
              <w:bottom w:val="single" w:color="auto" w:sz="4" w:space="0"/>
              <w:right w:val="single" w:color="auto" w:sz="4" w:space="0"/>
            </w:tcBorders>
            <w:vAlign w:val="center"/>
          </w:tcPr>
          <w:p w14:paraId="72313A2F">
            <w:pPr>
              <w:widowControl/>
              <w:jc w:val="left"/>
              <w:rPr>
                <w:rFonts w:ascii="Times New Roman" w:hAnsi="Times New Roman" w:eastAsia="仿宋_GB2312" w:cs="Times New Roman"/>
                <w:kern w:val="0"/>
                <w:sz w:val="24"/>
                <w:szCs w:val="24"/>
              </w:rPr>
            </w:pPr>
          </w:p>
        </w:tc>
        <w:tc>
          <w:tcPr>
            <w:tcW w:w="609" w:type="pct"/>
            <w:vMerge w:val="continue"/>
            <w:tcBorders>
              <w:top w:val="single" w:color="auto" w:sz="4" w:space="0"/>
              <w:left w:val="single" w:color="auto" w:sz="4" w:space="0"/>
              <w:bottom w:val="single" w:color="auto" w:sz="4" w:space="0"/>
              <w:right w:val="single" w:color="auto" w:sz="4" w:space="0"/>
            </w:tcBorders>
            <w:vAlign w:val="center"/>
          </w:tcPr>
          <w:p w14:paraId="6EE60DE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EBCBDF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DBA8CE7">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06A86B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C4099D8">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384F1C2">
            <w:pPr>
              <w:widowControl/>
              <w:jc w:val="left"/>
              <w:rPr>
                <w:rFonts w:ascii="Times New Roman" w:hAnsi="Times New Roman" w:eastAsia="仿宋_GB2312" w:cs="Times New Roman"/>
                <w:kern w:val="0"/>
                <w:sz w:val="24"/>
                <w:szCs w:val="24"/>
              </w:rPr>
            </w:pPr>
          </w:p>
        </w:tc>
      </w:tr>
      <w:tr w14:paraId="296CDF5A">
        <w:tblPrEx>
          <w:tblCellMar>
            <w:top w:w="0" w:type="dxa"/>
            <w:left w:w="108" w:type="dxa"/>
            <w:bottom w:w="0" w:type="dxa"/>
            <w:right w:w="108" w:type="dxa"/>
          </w:tblCellMar>
        </w:tblPrEx>
        <w:trPr>
          <w:trHeight w:val="595" w:hRule="atLeast"/>
          <w:jc w:val="center"/>
        </w:trPr>
        <w:tc>
          <w:tcPr>
            <w:tcW w:w="137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40191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09" w:type="pct"/>
            <w:tcBorders>
              <w:top w:val="nil"/>
              <w:left w:val="nil"/>
              <w:bottom w:val="single" w:color="auto" w:sz="4" w:space="0"/>
              <w:right w:val="single" w:color="auto" w:sz="4" w:space="0"/>
            </w:tcBorders>
            <w:shd w:val="clear" w:color="000000" w:fill="FFFFFF"/>
            <w:noWrap/>
            <w:vAlign w:val="center"/>
          </w:tcPr>
          <w:p w14:paraId="14108A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7040F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72BCC1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66CBD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A94CB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7E3032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F605D9C">
        <w:tblPrEx>
          <w:tblCellMar>
            <w:top w:w="0" w:type="dxa"/>
            <w:left w:w="108" w:type="dxa"/>
            <w:bottom w:w="0" w:type="dxa"/>
            <w:right w:w="108" w:type="dxa"/>
          </w:tblCellMar>
        </w:tblPrEx>
        <w:trPr>
          <w:trHeight w:val="595" w:hRule="atLeast"/>
          <w:jc w:val="center"/>
        </w:trPr>
        <w:tc>
          <w:tcPr>
            <w:tcW w:w="137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CF44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32" w:type="dxa"/>
            <w:tcBorders>
              <w:top w:val="nil"/>
              <w:left w:val="nil"/>
              <w:bottom w:val="single" w:color="auto" w:sz="4" w:space="0"/>
              <w:right w:val="single" w:color="auto" w:sz="4" w:space="0"/>
            </w:tcBorders>
            <w:shd w:val="clear" w:color="auto" w:fill="auto"/>
            <w:noWrap/>
            <w:vAlign w:val="center"/>
          </w:tcPr>
          <w:p w14:paraId="72CBF2B1">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996.04 </w:t>
            </w:r>
          </w:p>
        </w:tc>
        <w:tc>
          <w:tcPr>
            <w:tcW w:w="1334" w:type="dxa"/>
            <w:tcBorders>
              <w:top w:val="nil"/>
              <w:left w:val="nil"/>
              <w:bottom w:val="single" w:color="auto" w:sz="4" w:space="0"/>
              <w:right w:val="single" w:color="auto" w:sz="4" w:space="0"/>
            </w:tcBorders>
            <w:shd w:val="clear" w:color="auto" w:fill="auto"/>
            <w:noWrap/>
            <w:vAlign w:val="center"/>
          </w:tcPr>
          <w:p w14:paraId="6493567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862.32 </w:t>
            </w:r>
          </w:p>
        </w:tc>
        <w:tc>
          <w:tcPr>
            <w:tcW w:w="1334" w:type="dxa"/>
            <w:tcBorders>
              <w:top w:val="nil"/>
              <w:left w:val="nil"/>
              <w:bottom w:val="single" w:color="auto" w:sz="4" w:space="0"/>
              <w:right w:val="single" w:color="auto" w:sz="4" w:space="0"/>
            </w:tcBorders>
            <w:shd w:val="clear" w:color="auto" w:fill="auto"/>
            <w:noWrap/>
            <w:vAlign w:val="center"/>
          </w:tcPr>
          <w:p w14:paraId="37CCE51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133.72 </w:t>
            </w:r>
          </w:p>
        </w:tc>
        <w:tc>
          <w:tcPr>
            <w:tcW w:w="660" w:type="pct"/>
            <w:tcBorders>
              <w:top w:val="nil"/>
              <w:left w:val="nil"/>
              <w:bottom w:val="single" w:color="auto" w:sz="4" w:space="0"/>
              <w:right w:val="single" w:color="auto" w:sz="4" w:space="0"/>
            </w:tcBorders>
            <w:shd w:val="clear" w:color="auto" w:fill="auto"/>
            <w:noWrap/>
            <w:vAlign w:val="center"/>
          </w:tcPr>
          <w:p w14:paraId="65FFFB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5D9F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2C88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D5ECD1">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A9CDCF">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w:t>
            </w:r>
          </w:p>
        </w:tc>
        <w:tc>
          <w:tcPr>
            <w:tcW w:w="2685" w:type="dxa"/>
            <w:tcBorders>
              <w:top w:val="nil"/>
              <w:left w:val="nil"/>
              <w:bottom w:val="single" w:color="auto" w:sz="4" w:space="0"/>
              <w:right w:val="single" w:color="auto" w:sz="4" w:space="0"/>
            </w:tcBorders>
            <w:shd w:val="clear" w:color="000000" w:fill="FFFFFF"/>
            <w:noWrap/>
            <w:vAlign w:val="center"/>
          </w:tcPr>
          <w:p w14:paraId="3BED1EE1">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一般公共服务支出</w:t>
            </w:r>
          </w:p>
        </w:tc>
        <w:tc>
          <w:tcPr>
            <w:tcW w:w="1732" w:type="dxa"/>
            <w:tcBorders>
              <w:top w:val="nil"/>
              <w:left w:val="nil"/>
              <w:bottom w:val="single" w:color="auto" w:sz="4" w:space="0"/>
              <w:right w:val="single" w:color="auto" w:sz="4" w:space="0"/>
            </w:tcBorders>
            <w:shd w:val="clear" w:color="auto" w:fill="auto"/>
            <w:noWrap/>
            <w:vAlign w:val="center"/>
          </w:tcPr>
          <w:p w14:paraId="58849751">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1334" w:type="dxa"/>
            <w:tcBorders>
              <w:top w:val="nil"/>
              <w:left w:val="nil"/>
              <w:bottom w:val="single" w:color="auto" w:sz="4" w:space="0"/>
              <w:right w:val="single" w:color="auto" w:sz="4" w:space="0"/>
            </w:tcBorders>
            <w:shd w:val="clear" w:color="auto" w:fill="auto"/>
            <w:noWrap/>
            <w:vAlign w:val="center"/>
          </w:tcPr>
          <w:p w14:paraId="22F7ADF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1334" w:type="dxa"/>
            <w:tcBorders>
              <w:top w:val="nil"/>
              <w:left w:val="nil"/>
              <w:bottom w:val="single" w:color="auto" w:sz="4" w:space="0"/>
              <w:right w:val="single" w:color="auto" w:sz="4" w:space="0"/>
            </w:tcBorders>
            <w:shd w:val="clear" w:color="auto" w:fill="auto"/>
            <w:noWrap/>
            <w:vAlign w:val="center"/>
          </w:tcPr>
          <w:p w14:paraId="60DD216D">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c>
          <w:tcPr>
            <w:tcW w:w="660" w:type="pct"/>
            <w:tcBorders>
              <w:top w:val="nil"/>
              <w:left w:val="nil"/>
              <w:bottom w:val="single" w:color="auto" w:sz="4" w:space="0"/>
              <w:right w:val="single" w:color="auto" w:sz="4" w:space="0"/>
            </w:tcBorders>
            <w:shd w:val="clear" w:color="auto" w:fill="auto"/>
            <w:noWrap/>
            <w:vAlign w:val="center"/>
          </w:tcPr>
          <w:p w14:paraId="4F6632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D91F6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B4C64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8B6597">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003C92">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20136</w:t>
            </w:r>
          </w:p>
        </w:tc>
        <w:tc>
          <w:tcPr>
            <w:tcW w:w="2685" w:type="dxa"/>
            <w:tcBorders>
              <w:top w:val="nil"/>
              <w:left w:val="nil"/>
              <w:bottom w:val="single" w:color="auto" w:sz="4" w:space="0"/>
              <w:right w:val="single" w:color="auto" w:sz="4" w:space="0"/>
            </w:tcBorders>
            <w:shd w:val="clear" w:color="000000" w:fill="FFFFFF"/>
            <w:noWrap/>
            <w:vAlign w:val="center"/>
          </w:tcPr>
          <w:p w14:paraId="0A8C7D6B">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其他共产党事务支出</w:t>
            </w:r>
          </w:p>
        </w:tc>
        <w:tc>
          <w:tcPr>
            <w:tcW w:w="1732" w:type="dxa"/>
            <w:tcBorders>
              <w:top w:val="nil"/>
              <w:left w:val="nil"/>
              <w:bottom w:val="single" w:color="auto" w:sz="4" w:space="0"/>
              <w:right w:val="single" w:color="auto" w:sz="4" w:space="0"/>
            </w:tcBorders>
            <w:shd w:val="clear" w:color="auto" w:fill="auto"/>
            <w:noWrap/>
            <w:vAlign w:val="center"/>
          </w:tcPr>
          <w:p w14:paraId="562850D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1334" w:type="dxa"/>
            <w:tcBorders>
              <w:top w:val="nil"/>
              <w:left w:val="nil"/>
              <w:bottom w:val="single" w:color="auto" w:sz="4" w:space="0"/>
              <w:right w:val="single" w:color="auto" w:sz="4" w:space="0"/>
            </w:tcBorders>
            <w:shd w:val="clear" w:color="auto" w:fill="auto"/>
            <w:noWrap/>
            <w:vAlign w:val="center"/>
          </w:tcPr>
          <w:p w14:paraId="39DC1CE2">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1334" w:type="dxa"/>
            <w:tcBorders>
              <w:top w:val="nil"/>
              <w:left w:val="nil"/>
              <w:bottom w:val="single" w:color="auto" w:sz="4" w:space="0"/>
              <w:right w:val="single" w:color="auto" w:sz="4" w:space="0"/>
            </w:tcBorders>
            <w:shd w:val="clear" w:color="auto" w:fill="auto"/>
            <w:noWrap/>
            <w:vAlign w:val="center"/>
          </w:tcPr>
          <w:p w14:paraId="7B22E5A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c>
          <w:tcPr>
            <w:tcW w:w="660" w:type="pct"/>
            <w:tcBorders>
              <w:top w:val="nil"/>
              <w:left w:val="nil"/>
              <w:bottom w:val="single" w:color="auto" w:sz="4" w:space="0"/>
              <w:right w:val="single" w:color="auto" w:sz="4" w:space="0"/>
            </w:tcBorders>
            <w:shd w:val="clear" w:color="auto" w:fill="auto"/>
            <w:noWrap/>
            <w:vAlign w:val="center"/>
          </w:tcPr>
          <w:p w14:paraId="44BE5F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CC789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05B4B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5A7D69D">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3B2672">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2013601</w:t>
            </w:r>
          </w:p>
        </w:tc>
        <w:tc>
          <w:tcPr>
            <w:tcW w:w="2685" w:type="dxa"/>
            <w:tcBorders>
              <w:top w:val="nil"/>
              <w:left w:val="nil"/>
              <w:bottom w:val="single" w:color="auto" w:sz="4" w:space="0"/>
              <w:right w:val="single" w:color="auto" w:sz="4" w:space="0"/>
            </w:tcBorders>
            <w:shd w:val="clear" w:color="000000" w:fill="FFFFFF"/>
            <w:noWrap/>
            <w:vAlign w:val="center"/>
          </w:tcPr>
          <w:p w14:paraId="3AD6FA07">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行政运行</w:t>
            </w:r>
          </w:p>
        </w:tc>
        <w:tc>
          <w:tcPr>
            <w:tcW w:w="1732" w:type="dxa"/>
            <w:tcBorders>
              <w:top w:val="nil"/>
              <w:left w:val="nil"/>
              <w:bottom w:val="single" w:color="auto" w:sz="4" w:space="0"/>
              <w:right w:val="single" w:color="auto" w:sz="4" w:space="0"/>
            </w:tcBorders>
            <w:shd w:val="clear" w:color="auto" w:fill="auto"/>
            <w:noWrap/>
            <w:vAlign w:val="center"/>
          </w:tcPr>
          <w:p w14:paraId="6233BCF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1334" w:type="dxa"/>
            <w:tcBorders>
              <w:top w:val="nil"/>
              <w:left w:val="nil"/>
              <w:bottom w:val="single" w:color="auto" w:sz="4" w:space="0"/>
              <w:right w:val="single" w:color="auto" w:sz="4" w:space="0"/>
            </w:tcBorders>
            <w:shd w:val="clear" w:color="auto" w:fill="auto"/>
            <w:noWrap/>
            <w:vAlign w:val="center"/>
          </w:tcPr>
          <w:p w14:paraId="48021EC1">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1334" w:type="dxa"/>
            <w:tcBorders>
              <w:top w:val="nil"/>
              <w:left w:val="nil"/>
              <w:bottom w:val="single" w:color="auto" w:sz="4" w:space="0"/>
              <w:right w:val="single" w:color="auto" w:sz="4" w:space="0"/>
            </w:tcBorders>
            <w:shd w:val="clear" w:color="auto" w:fill="auto"/>
            <w:noWrap/>
            <w:vAlign w:val="center"/>
          </w:tcPr>
          <w:p w14:paraId="292875F3">
            <w:pPr>
              <w:jc w:val="right"/>
              <w:rPr>
                <w:rFonts w:hint="eastAsia" w:ascii="仿宋" w:hAnsi="仿宋" w:eastAsia="仿宋" w:cs="仿宋"/>
                <w:kern w:val="0"/>
                <w:sz w:val="20"/>
                <w:szCs w:val="20"/>
              </w:rPr>
            </w:pPr>
          </w:p>
        </w:tc>
        <w:tc>
          <w:tcPr>
            <w:tcW w:w="660" w:type="pct"/>
            <w:tcBorders>
              <w:top w:val="nil"/>
              <w:left w:val="nil"/>
              <w:bottom w:val="single" w:color="auto" w:sz="4" w:space="0"/>
              <w:right w:val="single" w:color="auto" w:sz="4" w:space="0"/>
            </w:tcBorders>
            <w:shd w:val="clear" w:color="auto" w:fill="auto"/>
            <w:noWrap/>
            <w:vAlign w:val="center"/>
          </w:tcPr>
          <w:p w14:paraId="0F603A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1A26C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5A72E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3FF7BC8">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5C5857">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2013699</w:t>
            </w:r>
          </w:p>
        </w:tc>
        <w:tc>
          <w:tcPr>
            <w:tcW w:w="2685" w:type="dxa"/>
            <w:tcBorders>
              <w:top w:val="nil"/>
              <w:left w:val="nil"/>
              <w:bottom w:val="single" w:color="auto" w:sz="4" w:space="0"/>
              <w:right w:val="single" w:color="auto" w:sz="4" w:space="0"/>
            </w:tcBorders>
            <w:shd w:val="clear" w:color="000000" w:fill="FFFFFF"/>
            <w:noWrap/>
            <w:vAlign w:val="center"/>
          </w:tcPr>
          <w:p w14:paraId="7232A95D">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其他共产党事务支出</w:t>
            </w:r>
          </w:p>
        </w:tc>
        <w:tc>
          <w:tcPr>
            <w:tcW w:w="1732" w:type="dxa"/>
            <w:tcBorders>
              <w:top w:val="nil"/>
              <w:left w:val="nil"/>
              <w:bottom w:val="single" w:color="auto" w:sz="4" w:space="0"/>
              <w:right w:val="single" w:color="auto" w:sz="4" w:space="0"/>
            </w:tcBorders>
            <w:shd w:val="clear" w:color="auto" w:fill="auto"/>
            <w:noWrap/>
            <w:vAlign w:val="center"/>
          </w:tcPr>
          <w:p w14:paraId="79A56E9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c>
          <w:tcPr>
            <w:tcW w:w="1334" w:type="dxa"/>
            <w:tcBorders>
              <w:top w:val="nil"/>
              <w:left w:val="nil"/>
              <w:bottom w:val="single" w:color="auto" w:sz="4" w:space="0"/>
              <w:right w:val="single" w:color="auto" w:sz="4" w:space="0"/>
            </w:tcBorders>
            <w:shd w:val="clear" w:color="auto" w:fill="auto"/>
            <w:noWrap/>
            <w:vAlign w:val="center"/>
          </w:tcPr>
          <w:p w14:paraId="77E729DC">
            <w:pPr>
              <w:jc w:val="right"/>
              <w:rPr>
                <w:rFonts w:hint="eastAsia" w:ascii="仿宋" w:hAnsi="仿宋" w:eastAsia="仿宋" w:cs="仿宋"/>
                <w:kern w:val="0"/>
                <w:sz w:val="20"/>
                <w:szCs w:val="20"/>
              </w:rPr>
            </w:pPr>
          </w:p>
        </w:tc>
        <w:tc>
          <w:tcPr>
            <w:tcW w:w="1334" w:type="dxa"/>
            <w:tcBorders>
              <w:top w:val="nil"/>
              <w:left w:val="nil"/>
              <w:bottom w:val="single" w:color="auto" w:sz="4" w:space="0"/>
              <w:right w:val="single" w:color="auto" w:sz="4" w:space="0"/>
            </w:tcBorders>
            <w:shd w:val="clear" w:color="auto" w:fill="auto"/>
            <w:noWrap/>
            <w:vAlign w:val="center"/>
          </w:tcPr>
          <w:p w14:paraId="0B362F5B">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c>
          <w:tcPr>
            <w:tcW w:w="660" w:type="pct"/>
            <w:tcBorders>
              <w:top w:val="nil"/>
              <w:left w:val="nil"/>
              <w:bottom w:val="single" w:color="auto" w:sz="4" w:space="0"/>
              <w:right w:val="single" w:color="auto" w:sz="4" w:space="0"/>
            </w:tcBorders>
            <w:shd w:val="clear" w:color="auto" w:fill="auto"/>
            <w:noWrap/>
            <w:vAlign w:val="center"/>
          </w:tcPr>
          <w:p w14:paraId="19D001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82521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8DFBD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2F8956">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243524">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204</w:t>
            </w:r>
          </w:p>
        </w:tc>
        <w:tc>
          <w:tcPr>
            <w:tcW w:w="2685" w:type="dxa"/>
            <w:tcBorders>
              <w:top w:val="nil"/>
              <w:left w:val="nil"/>
              <w:bottom w:val="single" w:color="auto" w:sz="4" w:space="0"/>
              <w:right w:val="single" w:color="auto" w:sz="4" w:space="0"/>
            </w:tcBorders>
            <w:shd w:val="clear" w:color="000000" w:fill="FFFFFF"/>
            <w:noWrap/>
            <w:vAlign w:val="center"/>
          </w:tcPr>
          <w:p w14:paraId="328205E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公共安全支出</w:t>
            </w:r>
          </w:p>
        </w:tc>
        <w:tc>
          <w:tcPr>
            <w:tcW w:w="1732" w:type="dxa"/>
            <w:tcBorders>
              <w:top w:val="nil"/>
              <w:left w:val="nil"/>
              <w:bottom w:val="single" w:color="auto" w:sz="4" w:space="0"/>
              <w:right w:val="single" w:color="auto" w:sz="4" w:space="0"/>
            </w:tcBorders>
            <w:shd w:val="clear" w:color="auto" w:fill="auto"/>
            <w:noWrap/>
            <w:vAlign w:val="center"/>
          </w:tcPr>
          <w:p w14:paraId="71EABDC9">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334" w:type="dxa"/>
            <w:tcBorders>
              <w:top w:val="nil"/>
              <w:left w:val="nil"/>
              <w:bottom w:val="single" w:color="auto" w:sz="4" w:space="0"/>
              <w:right w:val="single" w:color="auto" w:sz="4" w:space="0"/>
            </w:tcBorders>
            <w:shd w:val="clear" w:color="auto" w:fill="auto"/>
            <w:noWrap/>
            <w:vAlign w:val="center"/>
          </w:tcPr>
          <w:p w14:paraId="381BB974">
            <w:pPr>
              <w:jc w:val="right"/>
              <w:rPr>
                <w:rFonts w:hint="eastAsia" w:ascii="仿宋" w:hAnsi="仿宋" w:eastAsia="仿宋" w:cs="仿宋"/>
                <w:kern w:val="0"/>
                <w:sz w:val="20"/>
                <w:szCs w:val="20"/>
              </w:rPr>
            </w:pPr>
          </w:p>
        </w:tc>
        <w:tc>
          <w:tcPr>
            <w:tcW w:w="1334" w:type="dxa"/>
            <w:tcBorders>
              <w:top w:val="nil"/>
              <w:left w:val="nil"/>
              <w:bottom w:val="single" w:color="auto" w:sz="4" w:space="0"/>
              <w:right w:val="single" w:color="auto" w:sz="4" w:space="0"/>
            </w:tcBorders>
            <w:shd w:val="clear" w:color="auto" w:fill="auto"/>
            <w:noWrap/>
            <w:vAlign w:val="center"/>
          </w:tcPr>
          <w:p w14:paraId="33BE1D76">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660" w:type="pct"/>
            <w:tcBorders>
              <w:top w:val="nil"/>
              <w:left w:val="nil"/>
              <w:bottom w:val="single" w:color="auto" w:sz="4" w:space="0"/>
              <w:right w:val="single" w:color="auto" w:sz="4" w:space="0"/>
            </w:tcBorders>
            <w:shd w:val="clear" w:color="auto" w:fill="auto"/>
            <w:noWrap/>
            <w:vAlign w:val="center"/>
          </w:tcPr>
          <w:p w14:paraId="1564EEA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A0EFCD4">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51516BE">
            <w:pPr>
              <w:widowControl/>
              <w:jc w:val="right"/>
              <w:rPr>
                <w:rFonts w:ascii="Times New Roman" w:hAnsi="Times New Roman" w:eastAsia="仿宋_GB2312" w:cs="Times New Roman"/>
                <w:kern w:val="0"/>
                <w:sz w:val="24"/>
                <w:szCs w:val="24"/>
              </w:rPr>
            </w:pPr>
          </w:p>
        </w:tc>
      </w:tr>
      <w:tr w14:paraId="70755C0E">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9CB0CE">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20406</w:t>
            </w:r>
          </w:p>
        </w:tc>
        <w:tc>
          <w:tcPr>
            <w:tcW w:w="2685" w:type="dxa"/>
            <w:tcBorders>
              <w:top w:val="nil"/>
              <w:left w:val="nil"/>
              <w:bottom w:val="single" w:color="auto" w:sz="4" w:space="0"/>
              <w:right w:val="single" w:color="auto" w:sz="4" w:space="0"/>
            </w:tcBorders>
            <w:shd w:val="clear" w:color="000000" w:fill="FFFFFF"/>
            <w:noWrap/>
            <w:vAlign w:val="center"/>
          </w:tcPr>
          <w:p w14:paraId="1841AB3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司法</w:t>
            </w:r>
          </w:p>
        </w:tc>
        <w:tc>
          <w:tcPr>
            <w:tcW w:w="1732" w:type="dxa"/>
            <w:tcBorders>
              <w:top w:val="nil"/>
              <w:left w:val="nil"/>
              <w:bottom w:val="single" w:color="auto" w:sz="4" w:space="0"/>
              <w:right w:val="single" w:color="auto" w:sz="4" w:space="0"/>
            </w:tcBorders>
            <w:shd w:val="clear" w:color="auto" w:fill="auto"/>
            <w:noWrap/>
            <w:vAlign w:val="center"/>
          </w:tcPr>
          <w:p w14:paraId="1AE5991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334" w:type="dxa"/>
            <w:tcBorders>
              <w:top w:val="nil"/>
              <w:left w:val="nil"/>
              <w:bottom w:val="single" w:color="auto" w:sz="4" w:space="0"/>
              <w:right w:val="single" w:color="auto" w:sz="4" w:space="0"/>
            </w:tcBorders>
            <w:shd w:val="clear" w:color="auto" w:fill="auto"/>
            <w:noWrap/>
            <w:vAlign w:val="center"/>
          </w:tcPr>
          <w:p w14:paraId="2F6AFA2D">
            <w:pPr>
              <w:jc w:val="right"/>
              <w:rPr>
                <w:rFonts w:hint="eastAsia" w:ascii="仿宋" w:hAnsi="仿宋" w:eastAsia="仿宋" w:cs="仿宋"/>
                <w:kern w:val="0"/>
                <w:sz w:val="20"/>
                <w:szCs w:val="20"/>
              </w:rPr>
            </w:pPr>
          </w:p>
        </w:tc>
        <w:tc>
          <w:tcPr>
            <w:tcW w:w="1334" w:type="dxa"/>
            <w:tcBorders>
              <w:top w:val="nil"/>
              <w:left w:val="nil"/>
              <w:bottom w:val="single" w:color="auto" w:sz="4" w:space="0"/>
              <w:right w:val="single" w:color="auto" w:sz="4" w:space="0"/>
            </w:tcBorders>
            <w:shd w:val="clear" w:color="auto" w:fill="auto"/>
            <w:noWrap/>
            <w:vAlign w:val="center"/>
          </w:tcPr>
          <w:p w14:paraId="23DAC1B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660" w:type="pct"/>
            <w:tcBorders>
              <w:top w:val="nil"/>
              <w:left w:val="nil"/>
              <w:bottom w:val="single" w:color="auto" w:sz="4" w:space="0"/>
              <w:right w:val="single" w:color="auto" w:sz="4" w:space="0"/>
            </w:tcBorders>
            <w:shd w:val="clear" w:color="auto" w:fill="auto"/>
            <w:noWrap/>
            <w:vAlign w:val="center"/>
          </w:tcPr>
          <w:p w14:paraId="6625E3E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608521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6D7C854">
            <w:pPr>
              <w:widowControl/>
              <w:jc w:val="right"/>
              <w:rPr>
                <w:rFonts w:ascii="Times New Roman" w:hAnsi="Times New Roman" w:eastAsia="仿宋_GB2312" w:cs="Times New Roman"/>
                <w:kern w:val="0"/>
                <w:sz w:val="24"/>
                <w:szCs w:val="24"/>
              </w:rPr>
            </w:pPr>
          </w:p>
        </w:tc>
      </w:tr>
      <w:tr w14:paraId="29FC2FD6">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DD606F">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2040602</w:t>
            </w:r>
          </w:p>
        </w:tc>
        <w:tc>
          <w:tcPr>
            <w:tcW w:w="2685" w:type="dxa"/>
            <w:tcBorders>
              <w:top w:val="nil"/>
              <w:left w:val="nil"/>
              <w:bottom w:val="single" w:color="auto" w:sz="4" w:space="0"/>
              <w:right w:val="single" w:color="auto" w:sz="4" w:space="0"/>
            </w:tcBorders>
            <w:shd w:val="clear" w:color="000000" w:fill="FFFFFF"/>
            <w:noWrap/>
            <w:vAlign w:val="center"/>
          </w:tcPr>
          <w:p w14:paraId="4F9A51A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一般行政管理事务</w:t>
            </w:r>
          </w:p>
        </w:tc>
        <w:tc>
          <w:tcPr>
            <w:tcW w:w="1732" w:type="dxa"/>
            <w:tcBorders>
              <w:top w:val="nil"/>
              <w:left w:val="nil"/>
              <w:bottom w:val="single" w:color="auto" w:sz="4" w:space="0"/>
              <w:right w:val="single" w:color="auto" w:sz="4" w:space="0"/>
            </w:tcBorders>
            <w:shd w:val="clear" w:color="auto" w:fill="auto"/>
            <w:noWrap/>
            <w:vAlign w:val="center"/>
          </w:tcPr>
          <w:p w14:paraId="6B0DC3D5">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1334" w:type="dxa"/>
            <w:tcBorders>
              <w:top w:val="nil"/>
              <w:left w:val="nil"/>
              <w:bottom w:val="single" w:color="auto" w:sz="4" w:space="0"/>
              <w:right w:val="single" w:color="auto" w:sz="4" w:space="0"/>
            </w:tcBorders>
            <w:shd w:val="clear" w:color="auto" w:fill="auto"/>
            <w:noWrap/>
            <w:vAlign w:val="center"/>
          </w:tcPr>
          <w:p w14:paraId="5EB42A76">
            <w:pPr>
              <w:jc w:val="right"/>
              <w:rPr>
                <w:rFonts w:hint="eastAsia" w:ascii="仿宋" w:hAnsi="仿宋" w:eastAsia="仿宋" w:cs="仿宋"/>
                <w:kern w:val="0"/>
                <w:sz w:val="20"/>
                <w:szCs w:val="20"/>
              </w:rPr>
            </w:pPr>
          </w:p>
        </w:tc>
        <w:tc>
          <w:tcPr>
            <w:tcW w:w="1334" w:type="dxa"/>
            <w:tcBorders>
              <w:top w:val="nil"/>
              <w:left w:val="nil"/>
              <w:bottom w:val="single" w:color="auto" w:sz="4" w:space="0"/>
              <w:right w:val="single" w:color="auto" w:sz="4" w:space="0"/>
            </w:tcBorders>
            <w:shd w:val="clear" w:color="auto" w:fill="auto"/>
            <w:noWrap/>
            <w:vAlign w:val="center"/>
          </w:tcPr>
          <w:p w14:paraId="6007EE3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660" w:type="pct"/>
            <w:tcBorders>
              <w:top w:val="nil"/>
              <w:left w:val="nil"/>
              <w:bottom w:val="single" w:color="auto" w:sz="4" w:space="0"/>
              <w:right w:val="single" w:color="auto" w:sz="4" w:space="0"/>
            </w:tcBorders>
            <w:shd w:val="clear" w:color="auto" w:fill="auto"/>
            <w:noWrap/>
            <w:vAlign w:val="center"/>
          </w:tcPr>
          <w:p w14:paraId="49D8D16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3F20967">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E0C1353">
            <w:pPr>
              <w:widowControl/>
              <w:jc w:val="right"/>
              <w:rPr>
                <w:rFonts w:ascii="Times New Roman" w:hAnsi="Times New Roman" w:eastAsia="仿宋_GB2312" w:cs="Times New Roman"/>
                <w:kern w:val="0"/>
                <w:sz w:val="24"/>
                <w:szCs w:val="24"/>
              </w:rPr>
            </w:pPr>
          </w:p>
        </w:tc>
      </w:tr>
      <w:tr w14:paraId="1751AF35">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21D4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w:t>
            </w:r>
          </w:p>
        </w:tc>
        <w:tc>
          <w:tcPr>
            <w:tcW w:w="2685" w:type="dxa"/>
            <w:tcBorders>
              <w:top w:val="nil"/>
              <w:left w:val="nil"/>
              <w:bottom w:val="single" w:color="auto" w:sz="4" w:space="0"/>
              <w:right w:val="single" w:color="auto" w:sz="4" w:space="0"/>
            </w:tcBorders>
            <w:shd w:val="clear" w:color="000000" w:fill="FFFFFF"/>
            <w:noWrap/>
            <w:vAlign w:val="center"/>
          </w:tcPr>
          <w:p w14:paraId="6447FCC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社会保障和就业支出</w:t>
            </w:r>
          </w:p>
        </w:tc>
        <w:tc>
          <w:tcPr>
            <w:tcW w:w="1732" w:type="dxa"/>
            <w:tcBorders>
              <w:top w:val="nil"/>
              <w:left w:val="nil"/>
              <w:bottom w:val="single" w:color="auto" w:sz="4" w:space="0"/>
              <w:right w:val="single" w:color="auto" w:sz="4" w:space="0"/>
            </w:tcBorders>
            <w:shd w:val="clear" w:color="auto" w:fill="auto"/>
            <w:noWrap/>
            <w:vAlign w:val="center"/>
          </w:tcPr>
          <w:p w14:paraId="5AB912E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334" w:type="dxa"/>
            <w:tcBorders>
              <w:top w:val="nil"/>
              <w:left w:val="nil"/>
              <w:bottom w:val="single" w:color="auto" w:sz="4" w:space="0"/>
              <w:right w:val="single" w:color="auto" w:sz="4" w:space="0"/>
            </w:tcBorders>
            <w:shd w:val="clear" w:color="auto" w:fill="auto"/>
            <w:noWrap/>
            <w:vAlign w:val="center"/>
          </w:tcPr>
          <w:p w14:paraId="031155E2">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1334" w:type="dxa"/>
            <w:tcBorders>
              <w:top w:val="nil"/>
              <w:left w:val="nil"/>
              <w:bottom w:val="single" w:color="auto" w:sz="4" w:space="0"/>
              <w:right w:val="single" w:color="auto" w:sz="4" w:space="0"/>
            </w:tcBorders>
            <w:shd w:val="clear" w:color="auto" w:fill="auto"/>
            <w:noWrap/>
            <w:vAlign w:val="center"/>
          </w:tcPr>
          <w:p w14:paraId="1D935D2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660" w:type="pct"/>
            <w:tcBorders>
              <w:top w:val="nil"/>
              <w:left w:val="nil"/>
              <w:bottom w:val="single" w:color="auto" w:sz="4" w:space="0"/>
              <w:right w:val="single" w:color="auto" w:sz="4" w:space="0"/>
            </w:tcBorders>
            <w:shd w:val="clear" w:color="auto" w:fill="auto"/>
            <w:noWrap/>
            <w:vAlign w:val="center"/>
          </w:tcPr>
          <w:p w14:paraId="48EC5DB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BA3AB9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DBA1FD6">
            <w:pPr>
              <w:widowControl/>
              <w:jc w:val="right"/>
              <w:rPr>
                <w:rFonts w:ascii="Times New Roman" w:hAnsi="Times New Roman" w:eastAsia="仿宋_GB2312" w:cs="Times New Roman"/>
                <w:kern w:val="0"/>
                <w:sz w:val="24"/>
                <w:szCs w:val="24"/>
              </w:rPr>
            </w:pPr>
          </w:p>
        </w:tc>
      </w:tr>
      <w:tr w14:paraId="55D804CD">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4F662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w:t>
            </w:r>
          </w:p>
        </w:tc>
        <w:tc>
          <w:tcPr>
            <w:tcW w:w="2685" w:type="dxa"/>
            <w:tcBorders>
              <w:top w:val="nil"/>
              <w:left w:val="nil"/>
              <w:bottom w:val="single" w:color="auto" w:sz="4" w:space="0"/>
              <w:right w:val="single" w:color="auto" w:sz="4" w:space="0"/>
            </w:tcBorders>
            <w:shd w:val="clear" w:color="000000" w:fill="FFFFFF"/>
            <w:noWrap/>
            <w:vAlign w:val="center"/>
          </w:tcPr>
          <w:p w14:paraId="3681D59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行政事业单位养老支出</w:t>
            </w:r>
          </w:p>
        </w:tc>
        <w:tc>
          <w:tcPr>
            <w:tcW w:w="1732" w:type="dxa"/>
            <w:tcBorders>
              <w:top w:val="nil"/>
              <w:left w:val="nil"/>
              <w:bottom w:val="single" w:color="auto" w:sz="4" w:space="0"/>
              <w:right w:val="single" w:color="auto" w:sz="4" w:space="0"/>
            </w:tcBorders>
            <w:shd w:val="clear" w:color="auto" w:fill="auto"/>
            <w:noWrap/>
            <w:vAlign w:val="center"/>
          </w:tcPr>
          <w:p w14:paraId="02E440E8">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1334" w:type="dxa"/>
            <w:tcBorders>
              <w:top w:val="nil"/>
              <w:left w:val="nil"/>
              <w:bottom w:val="single" w:color="auto" w:sz="4" w:space="0"/>
              <w:right w:val="single" w:color="auto" w:sz="4" w:space="0"/>
            </w:tcBorders>
            <w:shd w:val="clear" w:color="auto" w:fill="auto"/>
            <w:noWrap/>
            <w:vAlign w:val="center"/>
          </w:tcPr>
          <w:p w14:paraId="4DE24EBB">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1334" w:type="dxa"/>
            <w:tcBorders>
              <w:top w:val="nil"/>
              <w:left w:val="nil"/>
              <w:bottom w:val="single" w:color="auto" w:sz="4" w:space="0"/>
              <w:right w:val="single" w:color="auto" w:sz="4" w:space="0"/>
            </w:tcBorders>
            <w:shd w:val="clear" w:color="auto" w:fill="auto"/>
            <w:noWrap/>
            <w:vAlign w:val="center"/>
          </w:tcPr>
          <w:p w14:paraId="48F86EC2">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660" w:type="pct"/>
            <w:tcBorders>
              <w:top w:val="nil"/>
              <w:left w:val="nil"/>
              <w:bottom w:val="single" w:color="auto" w:sz="4" w:space="0"/>
              <w:right w:val="single" w:color="auto" w:sz="4" w:space="0"/>
            </w:tcBorders>
            <w:shd w:val="clear" w:color="auto" w:fill="auto"/>
            <w:noWrap/>
            <w:vAlign w:val="center"/>
          </w:tcPr>
          <w:p w14:paraId="22FAE74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76B66E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C67514F">
            <w:pPr>
              <w:widowControl/>
              <w:jc w:val="right"/>
              <w:rPr>
                <w:rFonts w:ascii="Times New Roman" w:hAnsi="Times New Roman" w:eastAsia="仿宋_GB2312" w:cs="Times New Roman"/>
                <w:kern w:val="0"/>
                <w:sz w:val="24"/>
                <w:szCs w:val="24"/>
              </w:rPr>
            </w:pPr>
          </w:p>
        </w:tc>
      </w:tr>
      <w:tr w14:paraId="3894222A">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56968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2080505</w:t>
            </w:r>
          </w:p>
        </w:tc>
        <w:tc>
          <w:tcPr>
            <w:tcW w:w="2685" w:type="dxa"/>
            <w:tcBorders>
              <w:top w:val="nil"/>
              <w:left w:val="nil"/>
              <w:bottom w:val="single" w:color="auto" w:sz="4" w:space="0"/>
              <w:right w:val="single" w:color="auto" w:sz="4" w:space="0"/>
            </w:tcBorders>
            <w:shd w:val="clear" w:color="000000" w:fill="FFFFFF"/>
            <w:noWrap/>
            <w:vAlign w:val="center"/>
          </w:tcPr>
          <w:p w14:paraId="5DBC1FF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机关事业单位基本养老保险缴费支出</w:t>
            </w:r>
          </w:p>
        </w:tc>
        <w:tc>
          <w:tcPr>
            <w:tcW w:w="1732" w:type="dxa"/>
            <w:tcBorders>
              <w:top w:val="nil"/>
              <w:left w:val="nil"/>
              <w:bottom w:val="single" w:color="auto" w:sz="4" w:space="0"/>
              <w:right w:val="single" w:color="auto" w:sz="4" w:space="0"/>
            </w:tcBorders>
            <w:shd w:val="clear" w:color="auto" w:fill="auto"/>
            <w:noWrap/>
            <w:vAlign w:val="center"/>
          </w:tcPr>
          <w:p w14:paraId="16988488">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68.25 </w:t>
            </w:r>
          </w:p>
        </w:tc>
        <w:tc>
          <w:tcPr>
            <w:tcW w:w="1334" w:type="dxa"/>
            <w:tcBorders>
              <w:top w:val="nil"/>
              <w:left w:val="nil"/>
              <w:bottom w:val="single" w:color="auto" w:sz="4" w:space="0"/>
              <w:right w:val="single" w:color="auto" w:sz="4" w:space="0"/>
            </w:tcBorders>
            <w:shd w:val="clear" w:color="auto" w:fill="auto"/>
            <w:noWrap/>
            <w:vAlign w:val="center"/>
          </w:tcPr>
          <w:p w14:paraId="58C5EA2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1334" w:type="dxa"/>
            <w:tcBorders>
              <w:top w:val="nil"/>
              <w:left w:val="nil"/>
              <w:bottom w:val="single" w:color="auto" w:sz="4" w:space="0"/>
              <w:right w:val="single" w:color="auto" w:sz="4" w:space="0"/>
            </w:tcBorders>
            <w:shd w:val="clear" w:color="auto" w:fill="auto"/>
            <w:noWrap/>
            <w:vAlign w:val="center"/>
          </w:tcPr>
          <w:p w14:paraId="567C71D8">
            <w:pPr>
              <w:jc w:val="right"/>
              <w:rPr>
                <w:rFonts w:hint="eastAsia" w:ascii="仿宋" w:hAnsi="仿宋" w:eastAsia="仿宋" w:cs="仿宋"/>
                <w:i w:val="0"/>
                <w:iCs w:val="0"/>
                <w:color w:val="000000"/>
                <w:kern w:val="0"/>
                <w:sz w:val="20"/>
                <w:szCs w:val="20"/>
                <w:u w:val="none"/>
                <w:lang w:val="en-US" w:eastAsia="zh-CN" w:bidi="ar"/>
              </w:rPr>
            </w:pPr>
          </w:p>
        </w:tc>
        <w:tc>
          <w:tcPr>
            <w:tcW w:w="660" w:type="pct"/>
            <w:tcBorders>
              <w:top w:val="nil"/>
              <w:left w:val="nil"/>
              <w:bottom w:val="single" w:color="auto" w:sz="4" w:space="0"/>
              <w:right w:val="single" w:color="auto" w:sz="4" w:space="0"/>
            </w:tcBorders>
            <w:shd w:val="clear" w:color="auto" w:fill="auto"/>
            <w:noWrap/>
            <w:vAlign w:val="center"/>
          </w:tcPr>
          <w:p w14:paraId="17EFDF2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51DD52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E317421">
            <w:pPr>
              <w:widowControl/>
              <w:jc w:val="right"/>
              <w:rPr>
                <w:rFonts w:ascii="Times New Roman" w:hAnsi="Times New Roman" w:eastAsia="仿宋_GB2312" w:cs="Times New Roman"/>
                <w:kern w:val="0"/>
                <w:sz w:val="24"/>
                <w:szCs w:val="24"/>
              </w:rPr>
            </w:pPr>
          </w:p>
        </w:tc>
      </w:tr>
      <w:tr w14:paraId="36A6D219">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960E8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2080599</w:t>
            </w:r>
          </w:p>
        </w:tc>
        <w:tc>
          <w:tcPr>
            <w:tcW w:w="2685" w:type="dxa"/>
            <w:tcBorders>
              <w:top w:val="nil"/>
              <w:left w:val="nil"/>
              <w:bottom w:val="single" w:color="auto" w:sz="4" w:space="0"/>
              <w:right w:val="single" w:color="auto" w:sz="4" w:space="0"/>
            </w:tcBorders>
            <w:shd w:val="clear" w:color="000000" w:fill="FFFFFF"/>
            <w:noWrap/>
            <w:vAlign w:val="center"/>
          </w:tcPr>
          <w:p w14:paraId="2D3FC8F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其他行政事业单位养老支出</w:t>
            </w:r>
          </w:p>
        </w:tc>
        <w:tc>
          <w:tcPr>
            <w:tcW w:w="1732" w:type="dxa"/>
            <w:tcBorders>
              <w:top w:val="nil"/>
              <w:left w:val="nil"/>
              <w:bottom w:val="single" w:color="auto" w:sz="4" w:space="0"/>
              <w:right w:val="single" w:color="auto" w:sz="4" w:space="0"/>
            </w:tcBorders>
            <w:shd w:val="clear" w:color="auto" w:fill="auto"/>
            <w:noWrap/>
            <w:vAlign w:val="center"/>
          </w:tcPr>
          <w:p w14:paraId="70F053F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1334" w:type="dxa"/>
            <w:tcBorders>
              <w:top w:val="nil"/>
              <w:left w:val="nil"/>
              <w:bottom w:val="single" w:color="auto" w:sz="4" w:space="0"/>
              <w:right w:val="single" w:color="auto" w:sz="4" w:space="0"/>
            </w:tcBorders>
            <w:shd w:val="clear" w:color="auto" w:fill="auto"/>
            <w:noWrap/>
            <w:vAlign w:val="center"/>
          </w:tcPr>
          <w:p w14:paraId="2631F0A4">
            <w:pPr>
              <w:jc w:val="right"/>
              <w:rPr>
                <w:rFonts w:hint="eastAsia" w:ascii="仿宋" w:hAnsi="仿宋" w:eastAsia="仿宋" w:cs="仿宋"/>
                <w:kern w:val="0"/>
                <w:sz w:val="20"/>
                <w:szCs w:val="20"/>
              </w:rPr>
            </w:pPr>
          </w:p>
        </w:tc>
        <w:tc>
          <w:tcPr>
            <w:tcW w:w="1334" w:type="dxa"/>
            <w:tcBorders>
              <w:top w:val="nil"/>
              <w:left w:val="nil"/>
              <w:bottom w:val="single" w:color="auto" w:sz="4" w:space="0"/>
              <w:right w:val="single" w:color="auto" w:sz="4" w:space="0"/>
            </w:tcBorders>
            <w:shd w:val="clear" w:color="auto" w:fill="auto"/>
            <w:noWrap/>
            <w:vAlign w:val="center"/>
          </w:tcPr>
          <w:p w14:paraId="7FF431B5">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c>
          <w:tcPr>
            <w:tcW w:w="660" w:type="pct"/>
            <w:tcBorders>
              <w:top w:val="nil"/>
              <w:left w:val="nil"/>
              <w:bottom w:val="single" w:color="auto" w:sz="4" w:space="0"/>
              <w:right w:val="single" w:color="auto" w:sz="4" w:space="0"/>
            </w:tcBorders>
            <w:shd w:val="clear" w:color="auto" w:fill="auto"/>
            <w:noWrap/>
            <w:vAlign w:val="center"/>
          </w:tcPr>
          <w:p w14:paraId="6DC2850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B4068DE">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09216B8">
            <w:pPr>
              <w:widowControl/>
              <w:jc w:val="right"/>
              <w:rPr>
                <w:rFonts w:ascii="Times New Roman" w:hAnsi="Times New Roman" w:eastAsia="仿宋_GB2312" w:cs="Times New Roman"/>
                <w:kern w:val="0"/>
                <w:sz w:val="24"/>
                <w:szCs w:val="24"/>
              </w:rPr>
            </w:pPr>
          </w:p>
        </w:tc>
      </w:tr>
      <w:tr w14:paraId="1AF6EAF6">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D7802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210</w:t>
            </w:r>
          </w:p>
        </w:tc>
        <w:tc>
          <w:tcPr>
            <w:tcW w:w="2685" w:type="dxa"/>
            <w:tcBorders>
              <w:top w:val="nil"/>
              <w:left w:val="nil"/>
              <w:bottom w:val="single" w:color="auto" w:sz="4" w:space="0"/>
              <w:right w:val="single" w:color="auto" w:sz="4" w:space="0"/>
            </w:tcBorders>
            <w:shd w:val="clear" w:color="000000" w:fill="FFFFFF"/>
            <w:noWrap/>
            <w:vAlign w:val="center"/>
          </w:tcPr>
          <w:p w14:paraId="3D62B5B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卫生健康支出</w:t>
            </w:r>
          </w:p>
        </w:tc>
        <w:tc>
          <w:tcPr>
            <w:tcW w:w="1732" w:type="dxa"/>
            <w:tcBorders>
              <w:top w:val="nil"/>
              <w:left w:val="nil"/>
              <w:bottom w:val="single" w:color="auto" w:sz="4" w:space="0"/>
              <w:right w:val="single" w:color="auto" w:sz="4" w:space="0"/>
            </w:tcBorders>
            <w:shd w:val="clear" w:color="auto" w:fill="auto"/>
            <w:noWrap/>
            <w:vAlign w:val="center"/>
          </w:tcPr>
          <w:p w14:paraId="27FDD96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31.40 </w:t>
            </w:r>
          </w:p>
        </w:tc>
        <w:tc>
          <w:tcPr>
            <w:tcW w:w="1334" w:type="dxa"/>
            <w:tcBorders>
              <w:top w:val="nil"/>
              <w:left w:val="nil"/>
              <w:bottom w:val="single" w:color="auto" w:sz="4" w:space="0"/>
              <w:right w:val="single" w:color="auto" w:sz="4" w:space="0"/>
            </w:tcBorders>
            <w:shd w:val="clear" w:color="auto" w:fill="auto"/>
            <w:noWrap/>
            <w:vAlign w:val="center"/>
          </w:tcPr>
          <w:p w14:paraId="793FE6C8">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334" w:type="dxa"/>
            <w:tcBorders>
              <w:top w:val="nil"/>
              <w:left w:val="nil"/>
              <w:bottom w:val="single" w:color="auto" w:sz="4" w:space="0"/>
              <w:right w:val="single" w:color="auto" w:sz="4" w:space="0"/>
            </w:tcBorders>
            <w:shd w:val="clear" w:color="auto" w:fill="auto"/>
            <w:noWrap/>
            <w:vAlign w:val="center"/>
          </w:tcPr>
          <w:p w14:paraId="61460A4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2.85 </w:t>
            </w:r>
          </w:p>
        </w:tc>
        <w:tc>
          <w:tcPr>
            <w:tcW w:w="660" w:type="pct"/>
            <w:tcBorders>
              <w:top w:val="nil"/>
              <w:left w:val="nil"/>
              <w:bottom w:val="single" w:color="auto" w:sz="4" w:space="0"/>
              <w:right w:val="single" w:color="auto" w:sz="4" w:space="0"/>
            </w:tcBorders>
            <w:shd w:val="clear" w:color="auto" w:fill="auto"/>
            <w:noWrap/>
            <w:vAlign w:val="center"/>
          </w:tcPr>
          <w:p w14:paraId="78AAE42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861A104">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786B3B3">
            <w:pPr>
              <w:widowControl/>
              <w:jc w:val="right"/>
              <w:rPr>
                <w:rFonts w:ascii="Times New Roman" w:hAnsi="Times New Roman" w:eastAsia="仿宋_GB2312" w:cs="Times New Roman"/>
                <w:kern w:val="0"/>
                <w:sz w:val="24"/>
                <w:szCs w:val="24"/>
              </w:rPr>
            </w:pPr>
          </w:p>
        </w:tc>
      </w:tr>
      <w:tr w14:paraId="3D959758">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FB694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21011</w:t>
            </w:r>
          </w:p>
        </w:tc>
        <w:tc>
          <w:tcPr>
            <w:tcW w:w="2685" w:type="dxa"/>
            <w:tcBorders>
              <w:top w:val="nil"/>
              <w:left w:val="nil"/>
              <w:bottom w:val="single" w:color="auto" w:sz="4" w:space="0"/>
              <w:right w:val="single" w:color="auto" w:sz="4" w:space="0"/>
            </w:tcBorders>
            <w:shd w:val="clear" w:color="000000" w:fill="FFFFFF"/>
            <w:noWrap/>
            <w:vAlign w:val="center"/>
          </w:tcPr>
          <w:p w14:paraId="7E74A67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行政事业单位医疗</w:t>
            </w:r>
          </w:p>
        </w:tc>
        <w:tc>
          <w:tcPr>
            <w:tcW w:w="1732" w:type="dxa"/>
            <w:tcBorders>
              <w:top w:val="nil"/>
              <w:left w:val="nil"/>
              <w:bottom w:val="single" w:color="auto" w:sz="4" w:space="0"/>
              <w:right w:val="single" w:color="auto" w:sz="4" w:space="0"/>
            </w:tcBorders>
            <w:shd w:val="clear" w:color="auto" w:fill="auto"/>
            <w:noWrap/>
            <w:vAlign w:val="center"/>
          </w:tcPr>
          <w:p w14:paraId="0E932FE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31.40 </w:t>
            </w:r>
          </w:p>
        </w:tc>
        <w:tc>
          <w:tcPr>
            <w:tcW w:w="1334" w:type="dxa"/>
            <w:tcBorders>
              <w:top w:val="nil"/>
              <w:left w:val="nil"/>
              <w:bottom w:val="single" w:color="auto" w:sz="4" w:space="0"/>
              <w:right w:val="single" w:color="auto" w:sz="4" w:space="0"/>
            </w:tcBorders>
            <w:shd w:val="clear" w:color="auto" w:fill="auto"/>
            <w:noWrap/>
            <w:vAlign w:val="center"/>
          </w:tcPr>
          <w:p w14:paraId="12E647B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334" w:type="dxa"/>
            <w:tcBorders>
              <w:top w:val="nil"/>
              <w:left w:val="nil"/>
              <w:bottom w:val="single" w:color="auto" w:sz="4" w:space="0"/>
              <w:right w:val="single" w:color="auto" w:sz="4" w:space="0"/>
            </w:tcBorders>
            <w:shd w:val="clear" w:color="auto" w:fill="auto"/>
            <w:noWrap/>
            <w:vAlign w:val="center"/>
          </w:tcPr>
          <w:p w14:paraId="49DEED19">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2.85 </w:t>
            </w:r>
          </w:p>
        </w:tc>
        <w:tc>
          <w:tcPr>
            <w:tcW w:w="660" w:type="pct"/>
            <w:tcBorders>
              <w:top w:val="nil"/>
              <w:left w:val="nil"/>
              <w:bottom w:val="single" w:color="auto" w:sz="4" w:space="0"/>
              <w:right w:val="single" w:color="auto" w:sz="4" w:space="0"/>
            </w:tcBorders>
            <w:shd w:val="clear" w:color="auto" w:fill="auto"/>
            <w:noWrap/>
            <w:vAlign w:val="center"/>
          </w:tcPr>
          <w:p w14:paraId="38BCEA1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EB69AD1">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B0AAE07">
            <w:pPr>
              <w:widowControl/>
              <w:jc w:val="right"/>
              <w:rPr>
                <w:rFonts w:ascii="Times New Roman" w:hAnsi="Times New Roman" w:eastAsia="仿宋_GB2312" w:cs="Times New Roman"/>
                <w:kern w:val="0"/>
                <w:sz w:val="24"/>
                <w:szCs w:val="24"/>
              </w:rPr>
            </w:pPr>
          </w:p>
        </w:tc>
      </w:tr>
      <w:tr w14:paraId="2727DC0F">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4D03A7">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2101101</w:t>
            </w:r>
          </w:p>
        </w:tc>
        <w:tc>
          <w:tcPr>
            <w:tcW w:w="2685" w:type="dxa"/>
            <w:tcBorders>
              <w:top w:val="nil"/>
              <w:left w:val="nil"/>
              <w:bottom w:val="single" w:color="auto" w:sz="4" w:space="0"/>
              <w:right w:val="single" w:color="auto" w:sz="4" w:space="0"/>
            </w:tcBorders>
            <w:shd w:val="clear" w:color="000000" w:fill="FFFFFF"/>
            <w:noWrap/>
            <w:vAlign w:val="center"/>
          </w:tcPr>
          <w:p w14:paraId="1224899C">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行政单位医疗</w:t>
            </w:r>
          </w:p>
        </w:tc>
        <w:tc>
          <w:tcPr>
            <w:tcW w:w="1732" w:type="dxa"/>
            <w:tcBorders>
              <w:top w:val="nil"/>
              <w:left w:val="nil"/>
              <w:bottom w:val="single" w:color="auto" w:sz="4" w:space="0"/>
              <w:right w:val="single" w:color="auto" w:sz="4" w:space="0"/>
            </w:tcBorders>
            <w:shd w:val="clear" w:color="auto" w:fill="auto"/>
            <w:noWrap/>
            <w:vAlign w:val="center"/>
          </w:tcPr>
          <w:p w14:paraId="57D060B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334" w:type="dxa"/>
            <w:tcBorders>
              <w:top w:val="nil"/>
              <w:left w:val="nil"/>
              <w:bottom w:val="single" w:color="auto" w:sz="4" w:space="0"/>
              <w:right w:val="single" w:color="auto" w:sz="4" w:space="0"/>
            </w:tcBorders>
            <w:shd w:val="clear" w:color="auto" w:fill="auto"/>
            <w:noWrap/>
            <w:vAlign w:val="center"/>
          </w:tcPr>
          <w:p w14:paraId="5BEAA4C6">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1334" w:type="dxa"/>
            <w:tcBorders>
              <w:top w:val="nil"/>
              <w:left w:val="nil"/>
              <w:bottom w:val="single" w:color="auto" w:sz="4" w:space="0"/>
              <w:right w:val="single" w:color="auto" w:sz="4" w:space="0"/>
            </w:tcBorders>
            <w:shd w:val="clear" w:color="auto" w:fill="auto"/>
            <w:noWrap/>
            <w:vAlign w:val="center"/>
          </w:tcPr>
          <w:p w14:paraId="2D22EF9B">
            <w:pPr>
              <w:jc w:val="right"/>
              <w:rPr>
                <w:rFonts w:hint="eastAsia" w:ascii="仿宋" w:hAnsi="仿宋" w:eastAsia="仿宋" w:cs="仿宋"/>
                <w:kern w:val="0"/>
                <w:sz w:val="20"/>
                <w:szCs w:val="20"/>
              </w:rPr>
            </w:pPr>
          </w:p>
        </w:tc>
        <w:tc>
          <w:tcPr>
            <w:tcW w:w="660" w:type="pct"/>
            <w:tcBorders>
              <w:top w:val="nil"/>
              <w:left w:val="nil"/>
              <w:bottom w:val="single" w:color="auto" w:sz="4" w:space="0"/>
              <w:right w:val="single" w:color="auto" w:sz="4" w:space="0"/>
            </w:tcBorders>
            <w:shd w:val="clear" w:color="auto" w:fill="auto"/>
            <w:noWrap/>
            <w:vAlign w:val="center"/>
          </w:tcPr>
          <w:p w14:paraId="6010F14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26A60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FE9FE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15E5A4">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74D80A">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2101103</w:t>
            </w:r>
          </w:p>
        </w:tc>
        <w:tc>
          <w:tcPr>
            <w:tcW w:w="26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CE11DE">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公务员医疗补助</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BB27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2C7EB">
            <w:pPr>
              <w:jc w:val="right"/>
              <w:rPr>
                <w:rFonts w:hint="eastAsia" w:ascii="仿宋" w:hAnsi="仿宋" w:eastAsia="仿宋" w:cs="仿宋"/>
                <w:kern w:val="0"/>
                <w:sz w:val="20"/>
                <w:szCs w:val="20"/>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A409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7057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E37A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66B1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0C4189">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32AE8A">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221</w:t>
            </w:r>
          </w:p>
        </w:tc>
        <w:tc>
          <w:tcPr>
            <w:tcW w:w="26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52BEBB">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住房保障支出</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9217E">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DDAE9">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43E83">
            <w:pPr>
              <w:jc w:val="right"/>
              <w:rPr>
                <w:rFonts w:hint="eastAsia" w:ascii="仿宋" w:hAnsi="仿宋" w:eastAsia="仿宋" w:cs="仿宋"/>
                <w:kern w:val="0"/>
                <w:sz w:val="20"/>
                <w:szCs w:val="20"/>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701FC0">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32FBBD">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9FA3C1">
            <w:pPr>
              <w:widowControl/>
              <w:jc w:val="right"/>
              <w:rPr>
                <w:rFonts w:ascii="Times New Roman" w:hAnsi="Times New Roman" w:eastAsia="仿宋_GB2312" w:cs="Times New Roman"/>
                <w:kern w:val="0"/>
                <w:sz w:val="24"/>
                <w:szCs w:val="24"/>
              </w:rPr>
            </w:pPr>
          </w:p>
        </w:tc>
      </w:tr>
      <w:tr w14:paraId="14B71244">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5BFC3E">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22102</w:t>
            </w:r>
          </w:p>
        </w:tc>
        <w:tc>
          <w:tcPr>
            <w:tcW w:w="26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BAEE6B">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住房改革支出</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74E84">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5B10E">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F5EF5">
            <w:pPr>
              <w:jc w:val="right"/>
              <w:rPr>
                <w:rFonts w:hint="eastAsia" w:ascii="仿宋" w:hAnsi="仿宋" w:eastAsia="仿宋" w:cs="仿宋"/>
                <w:kern w:val="0"/>
                <w:sz w:val="20"/>
                <w:szCs w:val="20"/>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CBDE4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9556D">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606F3">
            <w:pPr>
              <w:widowControl/>
              <w:jc w:val="right"/>
              <w:rPr>
                <w:rFonts w:ascii="Times New Roman" w:hAnsi="Times New Roman" w:eastAsia="仿宋_GB2312" w:cs="Times New Roman"/>
                <w:kern w:val="0"/>
                <w:sz w:val="24"/>
                <w:szCs w:val="24"/>
              </w:rPr>
            </w:pPr>
          </w:p>
        </w:tc>
      </w:tr>
      <w:tr w14:paraId="7F2C5B10">
        <w:tblPrEx>
          <w:tblCellMar>
            <w:top w:w="0" w:type="dxa"/>
            <w:left w:w="108" w:type="dxa"/>
            <w:bottom w:w="0" w:type="dxa"/>
            <w:right w:w="108" w:type="dxa"/>
          </w:tblCellMar>
        </w:tblPrEx>
        <w:trPr>
          <w:trHeight w:val="595" w:hRule="atLeast"/>
          <w:jc w:val="center"/>
        </w:trPr>
        <w:tc>
          <w:tcPr>
            <w:tcW w:w="121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0364F0">
            <w:pPr>
              <w:keepNext w:val="0"/>
              <w:keepLines w:val="0"/>
              <w:widowControl/>
              <w:suppressLineNumbers w:val="0"/>
              <w:jc w:val="left"/>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2210201</w:t>
            </w:r>
          </w:p>
        </w:tc>
        <w:tc>
          <w:tcPr>
            <w:tcW w:w="26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09B38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住房公积金</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B0B2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2D930">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57.48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47D12">
            <w:pPr>
              <w:jc w:val="right"/>
              <w:rPr>
                <w:rFonts w:hint="eastAsia" w:ascii="仿宋" w:hAnsi="仿宋" w:eastAsia="仿宋" w:cs="仿宋"/>
                <w:kern w:val="0"/>
                <w:sz w:val="20"/>
                <w:szCs w:val="20"/>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DF4F3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8CA302">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286DFF">
            <w:pPr>
              <w:widowControl/>
              <w:jc w:val="right"/>
              <w:rPr>
                <w:rFonts w:ascii="Times New Roman" w:hAnsi="Times New Roman" w:eastAsia="仿宋_GB2312" w:cs="Times New Roman"/>
                <w:kern w:val="0"/>
                <w:sz w:val="24"/>
                <w:szCs w:val="24"/>
              </w:rPr>
            </w:pPr>
          </w:p>
        </w:tc>
      </w:tr>
    </w:tbl>
    <w:p w14:paraId="5D72B784">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p>
    <w:p w14:paraId="0C5BC81F">
      <w:pPr>
        <w:pStyle w:val="7"/>
      </w:pPr>
    </w:p>
    <w:p w14:paraId="11A1FBA0">
      <w:pPr>
        <w:pStyle w:val="3"/>
      </w:pPr>
    </w:p>
    <w:p w14:paraId="2C7CBAE1"/>
    <w:p w14:paraId="454F8377"/>
    <w:p w14:paraId="34166D0F"/>
    <w:p w14:paraId="600BDE65"/>
    <w:p w14:paraId="0060BD72"/>
    <w:p w14:paraId="2F0CE0BC"/>
    <w:p w14:paraId="61413F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14C58B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14:paraId="3BD903E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16"/>
        <w:gridCol w:w="2636"/>
        <w:gridCol w:w="616"/>
        <w:gridCol w:w="876"/>
        <w:gridCol w:w="1678"/>
        <w:gridCol w:w="1672"/>
        <w:gridCol w:w="1794"/>
      </w:tblGrid>
      <w:tr w14:paraId="769CD90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90162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7EB0C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6469151">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6F0B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D7CC9E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20401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4CEBB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1EE5A7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1D25B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8C1F2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EC621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6385A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1629BA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BE20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8E580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DFCA8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9B7AF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85368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99BBA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1979B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CB87D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0DF21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1B134E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C1A7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C3931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DB89789">
            <w:pPr>
              <w:keepNext w:val="0"/>
              <w:keepLines w:val="0"/>
              <w:widowControl/>
              <w:suppressLineNumbers w:val="0"/>
              <w:jc w:val="right"/>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 xml:space="preserve">996.04 </w:t>
            </w:r>
          </w:p>
        </w:tc>
        <w:tc>
          <w:tcPr>
            <w:tcW w:w="0" w:type="auto"/>
            <w:tcBorders>
              <w:top w:val="nil"/>
              <w:left w:val="nil"/>
              <w:bottom w:val="single" w:color="auto" w:sz="4" w:space="0"/>
              <w:right w:val="single" w:color="auto" w:sz="4" w:space="0"/>
            </w:tcBorders>
            <w:shd w:val="clear" w:color="auto" w:fill="auto"/>
            <w:noWrap/>
            <w:vAlign w:val="center"/>
          </w:tcPr>
          <w:p w14:paraId="06E1A8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7BB2B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76" w:type="dxa"/>
            <w:tcBorders>
              <w:top w:val="nil"/>
              <w:left w:val="nil"/>
              <w:bottom w:val="single" w:color="auto" w:sz="4" w:space="0"/>
              <w:right w:val="single" w:color="auto" w:sz="4" w:space="0"/>
            </w:tcBorders>
            <w:shd w:val="clear" w:color="auto" w:fill="auto"/>
            <w:noWrap/>
            <w:vAlign w:val="center"/>
          </w:tcPr>
          <w:p w14:paraId="41EC2415">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1678" w:type="dxa"/>
            <w:tcBorders>
              <w:top w:val="nil"/>
              <w:left w:val="nil"/>
              <w:bottom w:val="single" w:color="auto" w:sz="4" w:space="0"/>
              <w:right w:val="single" w:color="auto" w:sz="4" w:space="0"/>
            </w:tcBorders>
            <w:shd w:val="clear" w:color="auto" w:fill="auto"/>
            <w:noWrap/>
            <w:vAlign w:val="center"/>
          </w:tcPr>
          <w:p w14:paraId="12B1E70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0" w:type="auto"/>
            <w:tcBorders>
              <w:top w:val="nil"/>
              <w:left w:val="nil"/>
              <w:bottom w:val="single" w:color="auto" w:sz="4" w:space="0"/>
              <w:right w:val="single" w:color="auto" w:sz="4" w:space="0"/>
            </w:tcBorders>
            <w:shd w:val="clear" w:color="auto" w:fill="auto"/>
            <w:noWrap/>
            <w:vAlign w:val="center"/>
          </w:tcPr>
          <w:p w14:paraId="028022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28200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16CB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87C7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00734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0F838E5">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3024F0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1DEA6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B30BD7B">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50C90469">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02C938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D0AD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E55E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17EC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721DE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D8D84C4">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56A023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1380D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0B2584A">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395EF438">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353762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9C44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B8C18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4F99C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DF4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56CC1C4">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0EB4D8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590CA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76" w:type="dxa"/>
            <w:tcBorders>
              <w:top w:val="nil"/>
              <w:left w:val="nil"/>
              <w:bottom w:val="single" w:color="auto" w:sz="4" w:space="0"/>
              <w:right w:val="single" w:color="auto" w:sz="4" w:space="0"/>
            </w:tcBorders>
            <w:shd w:val="clear" w:color="auto" w:fill="auto"/>
            <w:noWrap/>
            <w:vAlign w:val="center"/>
          </w:tcPr>
          <w:p w14:paraId="4DB0BDE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28.99 </w:t>
            </w:r>
          </w:p>
        </w:tc>
        <w:tc>
          <w:tcPr>
            <w:tcW w:w="1678" w:type="dxa"/>
            <w:tcBorders>
              <w:top w:val="nil"/>
              <w:left w:val="nil"/>
              <w:bottom w:val="single" w:color="auto" w:sz="4" w:space="0"/>
              <w:right w:val="single" w:color="auto" w:sz="4" w:space="0"/>
            </w:tcBorders>
            <w:shd w:val="clear" w:color="auto" w:fill="auto"/>
            <w:noWrap/>
            <w:vAlign w:val="center"/>
          </w:tcPr>
          <w:p w14:paraId="7C7A96CD">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28.99 </w:t>
            </w:r>
          </w:p>
        </w:tc>
        <w:tc>
          <w:tcPr>
            <w:tcW w:w="0" w:type="auto"/>
            <w:tcBorders>
              <w:top w:val="nil"/>
              <w:left w:val="nil"/>
              <w:bottom w:val="single" w:color="auto" w:sz="4" w:space="0"/>
              <w:right w:val="single" w:color="auto" w:sz="4" w:space="0"/>
            </w:tcBorders>
            <w:shd w:val="clear" w:color="auto" w:fill="auto"/>
            <w:noWrap/>
            <w:vAlign w:val="center"/>
          </w:tcPr>
          <w:p w14:paraId="3B4726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0F3D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3ADB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4A69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4B54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145EE06">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6E0888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E9C04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48DAE93">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0F7CB2A8">
            <w:pPr>
              <w:widowControl/>
              <w:jc w:val="center"/>
              <w:rPr>
                <w:rFonts w:hint="eastAsia" w:ascii="仿宋" w:hAnsi="仿宋" w:eastAsia="仿宋" w:cs="仿宋"/>
                <w:kern w:val="0"/>
                <w:sz w:val="20"/>
                <w:szCs w:val="20"/>
              </w:rPr>
            </w:pPr>
          </w:p>
        </w:tc>
        <w:tc>
          <w:tcPr>
            <w:tcW w:w="0" w:type="auto"/>
            <w:tcBorders>
              <w:top w:val="nil"/>
              <w:left w:val="nil"/>
              <w:bottom w:val="single" w:color="auto" w:sz="4" w:space="0"/>
              <w:right w:val="single" w:color="auto" w:sz="4" w:space="0"/>
            </w:tcBorders>
            <w:shd w:val="clear" w:color="auto" w:fill="auto"/>
            <w:noWrap/>
            <w:vAlign w:val="center"/>
          </w:tcPr>
          <w:p w14:paraId="1D37A7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0D32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15F8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6E01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2F1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A641A9C">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4016BFF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5D301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76" w:type="dxa"/>
            <w:tcBorders>
              <w:top w:val="nil"/>
              <w:left w:val="nil"/>
              <w:bottom w:val="single" w:color="auto" w:sz="4" w:space="0"/>
              <w:right w:val="single" w:color="auto" w:sz="4" w:space="0"/>
            </w:tcBorders>
            <w:shd w:val="clear" w:color="auto" w:fill="auto"/>
            <w:noWrap/>
            <w:vAlign w:val="center"/>
          </w:tcPr>
          <w:p w14:paraId="089E48B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108.16 </w:t>
            </w:r>
          </w:p>
        </w:tc>
        <w:tc>
          <w:tcPr>
            <w:tcW w:w="1678" w:type="dxa"/>
            <w:tcBorders>
              <w:top w:val="nil"/>
              <w:left w:val="nil"/>
              <w:bottom w:val="single" w:color="auto" w:sz="4" w:space="0"/>
              <w:right w:val="single" w:color="auto" w:sz="4" w:space="0"/>
            </w:tcBorders>
            <w:shd w:val="clear" w:color="auto" w:fill="auto"/>
            <w:noWrap/>
            <w:vAlign w:val="center"/>
          </w:tcPr>
          <w:p w14:paraId="31759B60">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108.16 </w:t>
            </w:r>
          </w:p>
        </w:tc>
        <w:tc>
          <w:tcPr>
            <w:tcW w:w="0" w:type="auto"/>
            <w:tcBorders>
              <w:top w:val="nil"/>
              <w:left w:val="nil"/>
              <w:bottom w:val="single" w:color="auto" w:sz="4" w:space="0"/>
              <w:right w:val="single" w:color="auto" w:sz="4" w:space="0"/>
            </w:tcBorders>
            <w:shd w:val="clear" w:color="auto" w:fill="auto"/>
            <w:noWrap/>
            <w:vAlign w:val="center"/>
          </w:tcPr>
          <w:p w14:paraId="7DC43F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DB0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B7C9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20B2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21BF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DAE11AE">
            <w:pPr>
              <w:widowControl/>
              <w:jc w:val="righ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11E73BC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6D15F0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76" w:type="dxa"/>
            <w:tcBorders>
              <w:top w:val="nil"/>
              <w:left w:val="nil"/>
              <w:bottom w:val="single" w:color="auto" w:sz="4" w:space="0"/>
              <w:right w:val="single" w:color="auto" w:sz="4" w:space="0"/>
            </w:tcBorders>
            <w:shd w:val="clear" w:color="auto" w:fill="auto"/>
            <w:noWrap/>
            <w:vAlign w:val="center"/>
          </w:tcPr>
          <w:p w14:paraId="7DB11A68">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1678" w:type="dxa"/>
            <w:tcBorders>
              <w:top w:val="nil"/>
              <w:left w:val="nil"/>
              <w:bottom w:val="single" w:color="auto" w:sz="4" w:space="0"/>
              <w:right w:val="single" w:color="auto" w:sz="4" w:space="0"/>
            </w:tcBorders>
            <w:shd w:val="clear" w:color="auto" w:fill="auto"/>
            <w:noWrap/>
            <w:vAlign w:val="center"/>
          </w:tcPr>
          <w:p w14:paraId="0AB5CA5D">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0" w:type="auto"/>
            <w:tcBorders>
              <w:top w:val="nil"/>
              <w:left w:val="nil"/>
              <w:bottom w:val="single" w:color="auto" w:sz="4" w:space="0"/>
              <w:right w:val="single" w:color="auto" w:sz="4" w:space="0"/>
            </w:tcBorders>
            <w:shd w:val="clear" w:color="auto" w:fill="auto"/>
            <w:noWrap/>
            <w:vAlign w:val="center"/>
          </w:tcPr>
          <w:p w14:paraId="3F6409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34C9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DE4C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27C7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64A2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18FB423">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732D147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43C30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76" w:type="dxa"/>
            <w:tcBorders>
              <w:top w:val="nil"/>
              <w:left w:val="nil"/>
              <w:bottom w:val="single" w:color="auto" w:sz="4" w:space="0"/>
              <w:right w:val="single" w:color="auto" w:sz="4" w:space="0"/>
            </w:tcBorders>
            <w:shd w:val="clear" w:color="auto" w:fill="auto"/>
            <w:noWrap/>
            <w:vAlign w:val="center"/>
          </w:tcPr>
          <w:p w14:paraId="070DD62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678" w:type="dxa"/>
            <w:tcBorders>
              <w:top w:val="nil"/>
              <w:left w:val="nil"/>
              <w:bottom w:val="single" w:color="auto" w:sz="4" w:space="0"/>
              <w:right w:val="single" w:color="auto" w:sz="4" w:space="0"/>
            </w:tcBorders>
            <w:shd w:val="clear" w:color="auto" w:fill="auto"/>
            <w:noWrap/>
            <w:vAlign w:val="center"/>
          </w:tcPr>
          <w:p w14:paraId="39013D9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0" w:type="auto"/>
            <w:tcBorders>
              <w:top w:val="nil"/>
              <w:left w:val="nil"/>
              <w:bottom w:val="single" w:color="auto" w:sz="4" w:space="0"/>
              <w:right w:val="single" w:color="auto" w:sz="4" w:space="0"/>
            </w:tcBorders>
            <w:shd w:val="clear" w:color="auto" w:fill="auto"/>
            <w:noWrap/>
            <w:vAlign w:val="center"/>
          </w:tcPr>
          <w:p w14:paraId="783046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EFF6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B5EF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7D052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E38E3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7C2CC177">
            <w:pPr>
              <w:keepNext w:val="0"/>
              <w:keepLines w:val="0"/>
              <w:widowControl/>
              <w:suppressLineNumbers w:val="0"/>
              <w:jc w:val="right"/>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 xml:space="preserve">996.04 </w:t>
            </w:r>
          </w:p>
        </w:tc>
        <w:tc>
          <w:tcPr>
            <w:tcW w:w="0" w:type="auto"/>
            <w:tcBorders>
              <w:top w:val="nil"/>
              <w:left w:val="nil"/>
              <w:bottom w:val="single" w:color="auto" w:sz="4" w:space="0"/>
              <w:right w:val="single" w:color="auto" w:sz="4" w:space="0"/>
            </w:tcBorders>
            <w:shd w:val="clear" w:color="auto" w:fill="auto"/>
            <w:noWrap/>
            <w:vAlign w:val="center"/>
          </w:tcPr>
          <w:p w14:paraId="5DC04E3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BCE85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76" w:type="dxa"/>
            <w:tcBorders>
              <w:top w:val="nil"/>
              <w:left w:val="nil"/>
              <w:bottom w:val="single" w:color="auto" w:sz="4" w:space="0"/>
              <w:right w:val="single" w:color="auto" w:sz="4" w:space="0"/>
            </w:tcBorders>
            <w:shd w:val="clear" w:color="auto" w:fill="auto"/>
            <w:noWrap/>
            <w:vAlign w:val="center"/>
          </w:tcPr>
          <w:p w14:paraId="5A0E817B">
            <w:pPr>
              <w:keepNext w:val="0"/>
              <w:keepLines w:val="0"/>
              <w:widowControl/>
              <w:suppressLineNumbers w:val="0"/>
              <w:jc w:val="right"/>
              <w:textAlignment w:val="center"/>
              <w:rPr>
                <w:rFonts w:hint="eastAsia" w:ascii="仿宋" w:hAnsi="仿宋" w:eastAsia="仿宋" w:cs="仿宋"/>
                <w:b/>
                <w:bCs/>
                <w:kern w:val="0"/>
                <w:sz w:val="20"/>
                <w:szCs w:val="20"/>
              </w:rPr>
            </w:pPr>
            <w:r>
              <w:rPr>
                <w:rFonts w:hint="eastAsia" w:ascii="仿宋" w:hAnsi="仿宋" w:eastAsia="仿宋" w:cs="仿宋"/>
                <w:i w:val="0"/>
                <w:color w:val="000000"/>
                <w:kern w:val="0"/>
                <w:sz w:val="20"/>
                <w:szCs w:val="20"/>
                <w:u w:val="none"/>
                <w:lang w:val="en-US" w:eastAsia="zh-CN" w:bidi="ar"/>
              </w:rPr>
              <w:t xml:space="preserve">996.04 </w:t>
            </w:r>
          </w:p>
        </w:tc>
        <w:tc>
          <w:tcPr>
            <w:tcW w:w="1678" w:type="dxa"/>
            <w:tcBorders>
              <w:top w:val="nil"/>
              <w:left w:val="nil"/>
              <w:bottom w:val="single" w:color="auto" w:sz="4" w:space="0"/>
              <w:right w:val="single" w:color="auto" w:sz="4" w:space="0"/>
            </w:tcBorders>
            <w:shd w:val="clear" w:color="auto" w:fill="auto"/>
            <w:noWrap/>
            <w:vAlign w:val="center"/>
          </w:tcPr>
          <w:p w14:paraId="5E70D4E6">
            <w:pPr>
              <w:keepNext w:val="0"/>
              <w:keepLines w:val="0"/>
              <w:widowControl/>
              <w:suppressLineNumbers w:val="0"/>
              <w:jc w:val="right"/>
              <w:textAlignment w:val="center"/>
              <w:rPr>
                <w:rFonts w:hint="eastAsia" w:ascii="仿宋" w:hAnsi="仿宋" w:eastAsia="仿宋" w:cs="仿宋"/>
                <w:b/>
                <w:bCs/>
                <w:kern w:val="0"/>
                <w:sz w:val="20"/>
                <w:szCs w:val="20"/>
              </w:rPr>
            </w:pPr>
            <w:r>
              <w:rPr>
                <w:rFonts w:hint="eastAsia" w:ascii="仿宋" w:hAnsi="仿宋" w:eastAsia="仿宋" w:cs="仿宋"/>
                <w:i w:val="0"/>
                <w:color w:val="000000"/>
                <w:kern w:val="0"/>
                <w:sz w:val="20"/>
                <w:szCs w:val="20"/>
                <w:u w:val="none"/>
                <w:lang w:val="en-US" w:eastAsia="zh-CN" w:bidi="ar"/>
              </w:rPr>
              <w:t xml:space="preserve">996.04 </w:t>
            </w:r>
          </w:p>
        </w:tc>
        <w:tc>
          <w:tcPr>
            <w:tcW w:w="0" w:type="auto"/>
            <w:tcBorders>
              <w:top w:val="nil"/>
              <w:left w:val="nil"/>
              <w:bottom w:val="single" w:color="auto" w:sz="4" w:space="0"/>
              <w:right w:val="single" w:color="auto" w:sz="4" w:space="0"/>
            </w:tcBorders>
            <w:shd w:val="clear" w:color="auto" w:fill="auto"/>
            <w:noWrap/>
            <w:vAlign w:val="center"/>
          </w:tcPr>
          <w:p w14:paraId="6C4B97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E6D6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73BBFD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4936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C19BB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985E90A">
            <w:pPr>
              <w:widowControl/>
              <w:jc w:val="right"/>
              <w:rPr>
                <w:rFonts w:hint="eastAsia" w:ascii="仿宋" w:hAnsi="仿宋" w:eastAsia="仿宋" w:cs="仿宋"/>
                <w:b/>
                <w:bCs/>
                <w:kern w:val="0"/>
                <w:sz w:val="20"/>
                <w:szCs w:val="20"/>
              </w:rPr>
            </w:pPr>
            <w:r>
              <w:rPr>
                <w:rFonts w:hint="eastAsia" w:ascii="仿宋" w:hAnsi="仿宋" w:eastAsia="仿宋" w:cs="仿宋"/>
                <w:b/>
                <w:bCs/>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2E063F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BFB5C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5093AB2A">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472A3FE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78F237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B0BA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7B61C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286A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D0D7C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B3B584C">
            <w:pPr>
              <w:widowControl/>
              <w:jc w:val="right"/>
              <w:rPr>
                <w:rFonts w:hint="eastAsia" w:ascii="仿宋" w:hAnsi="仿宋" w:eastAsia="仿宋" w:cs="仿宋"/>
                <w:b/>
                <w:bCs/>
                <w:kern w:val="0"/>
                <w:sz w:val="20"/>
                <w:szCs w:val="20"/>
              </w:rPr>
            </w:pPr>
            <w:r>
              <w:rPr>
                <w:rFonts w:hint="eastAsia" w:ascii="仿宋" w:hAnsi="仿宋" w:eastAsia="仿宋" w:cs="仿宋"/>
                <w:b/>
                <w:bCs/>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00A501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072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9BFD26A">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1023DB7B">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2F78CB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952F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AB01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CF14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28A29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1BF74C6">
            <w:pPr>
              <w:widowControl/>
              <w:jc w:val="right"/>
              <w:rPr>
                <w:rFonts w:hint="eastAsia" w:ascii="仿宋" w:hAnsi="仿宋" w:eastAsia="仿宋" w:cs="仿宋"/>
                <w:b/>
                <w:bCs/>
                <w:kern w:val="0"/>
                <w:sz w:val="20"/>
                <w:szCs w:val="20"/>
              </w:rPr>
            </w:pPr>
            <w:r>
              <w:rPr>
                <w:rFonts w:hint="eastAsia" w:ascii="仿宋" w:hAnsi="仿宋" w:eastAsia="仿宋" w:cs="仿宋"/>
                <w:b/>
                <w:bCs/>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507AB4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C0E7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3737ED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2F1EF2A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453713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AFAE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6D5D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3C2D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9FA4F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AF9D364">
            <w:pPr>
              <w:widowControl/>
              <w:jc w:val="right"/>
              <w:rPr>
                <w:rFonts w:hint="eastAsia" w:ascii="仿宋" w:hAnsi="仿宋" w:eastAsia="仿宋" w:cs="仿宋"/>
                <w:b/>
                <w:bCs/>
                <w:kern w:val="0"/>
                <w:sz w:val="20"/>
                <w:szCs w:val="20"/>
              </w:rPr>
            </w:pPr>
            <w:r>
              <w:rPr>
                <w:rFonts w:hint="eastAsia" w:ascii="仿宋" w:hAnsi="仿宋" w:eastAsia="仿宋" w:cs="仿宋"/>
                <w:b/>
                <w:bCs/>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1BF274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4E55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D9756F7">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38CF986D">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0696A4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EF66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8E846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9FDB5E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6979C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34CD9F6D">
            <w:pPr>
              <w:keepNext w:val="0"/>
              <w:keepLines w:val="0"/>
              <w:widowControl/>
              <w:suppressLineNumbers w:val="0"/>
              <w:jc w:val="right"/>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 xml:space="preserve">996.04 </w:t>
            </w:r>
          </w:p>
        </w:tc>
        <w:tc>
          <w:tcPr>
            <w:tcW w:w="0" w:type="auto"/>
            <w:tcBorders>
              <w:top w:val="nil"/>
              <w:left w:val="nil"/>
              <w:bottom w:val="single" w:color="auto" w:sz="4" w:space="0"/>
              <w:right w:val="single" w:color="auto" w:sz="4" w:space="0"/>
            </w:tcBorders>
            <w:shd w:val="clear" w:color="000000" w:fill="FFFFFF"/>
            <w:noWrap/>
            <w:vAlign w:val="center"/>
          </w:tcPr>
          <w:p w14:paraId="5CB7E33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8DC5A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76" w:type="dxa"/>
            <w:tcBorders>
              <w:top w:val="nil"/>
              <w:left w:val="nil"/>
              <w:bottom w:val="single" w:color="auto" w:sz="4" w:space="0"/>
              <w:right w:val="single" w:color="auto" w:sz="4" w:space="0"/>
            </w:tcBorders>
            <w:shd w:val="clear" w:color="000000" w:fill="FFFFFF"/>
            <w:noWrap/>
            <w:vAlign w:val="center"/>
          </w:tcPr>
          <w:p w14:paraId="31CBA50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996.04 </w:t>
            </w:r>
          </w:p>
        </w:tc>
        <w:tc>
          <w:tcPr>
            <w:tcW w:w="1678" w:type="dxa"/>
            <w:tcBorders>
              <w:top w:val="nil"/>
              <w:left w:val="nil"/>
              <w:bottom w:val="single" w:color="auto" w:sz="4" w:space="0"/>
              <w:right w:val="single" w:color="auto" w:sz="4" w:space="0"/>
            </w:tcBorders>
            <w:shd w:val="clear" w:color="000000" w:fill="FFFFFF"/>
            <w:noWrap/>
            <w:vAlign w:val="center"/>
          </w:tcPr>
          <w:p w14:paraId="6B79B292">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996.04 </w:t>
            </w:r>
          </w:p>
        </w:tc>
        <w:tc>
          <w:tcPr>
            <w:tcW w:w="0" w:type="auto"/>
            <w:tcBorders>
              <w:top w:val="nil"/>
              <w:left w:val="nil"/>
              <w:bottom w:val="single" w:color="auto" w:sz="4" w:space="0"/>
              <w:right w:val="single" w:color="auto" w:sz="4" w:space="0"/>
            </w:tcBorders>
            <w:shd w:val="clear" w:color="auto" w:fill="auto"/>
            <w:noWrap/>
            <w:vAlign w:val="center"/>
          </w:tcPr>
          <w:p w14:paraId="5A13AA8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BC545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F70C781">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CF92B1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1D4891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D3C3EB3">
      <w:pPr>
        <w:widowControl/>
        <w:spacing w:before="156" w:beforeLines="50"/>
        <w:ind w:left="11550" w:hanging="11550" w:hangingChars="55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Cs w:val="21"/>
        </w:rPr>
        <w:t xml:space="preserve">                                                                                                公开05表</w:t>
      </w:r>
    </w:p>
    <w:p w14:paraId="39769F93">
      <w:pPr>
        <w:widowControl/>
        <w:ind w:left="11970" w:hanging="11970" w:hangingChars="57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52D6D8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30596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556900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8EA215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6755D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DEFB5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12670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7F8674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031952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42CBC6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D09BBA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122C3A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EDBBEC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F1F1B9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B7FDE77">
            <w:pPr>
              <w:widowControl/>
              <w:jc w:val="left"/>
              <w:rPr>
                <w:rFonts w:ascii="Times New Roman" w:hAnsi="Times New Roman" w:eastAsia="仿宋_GB2312" w:cs="Times New Roman"/>
                <w:kern w:val="0"/>
                <w:szCs w:val="21"/>
              </w:rPr>
            </w:pPr>
          </w:p>
        </w:tc>
      </w:tr>
      <w:tr w14:paraId="21A1A3EC">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8AE195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9F6517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214B36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653F33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D034019">
            <w:pPr>
              <w:widowControl/>
              <w:jc w:val="left"/>
              <w:rPr>
                <w:rFonts w:ascii="Times New Roman" w:hAnsi="Times New Roman" w:eastAsia="仿宋_GB2312" w:cs="Times New Roman"/>
                <w:kern w:val="0"/>
                <w:szCs w:val="21"/>
              </w:rPr>
            </w:pPr>
          </w:p>
        </w:tc>
      </w:tr>
      <w:tr w14:paraId="157C46B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7ECD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D3B5C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069ED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F7E52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5A3245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360F2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BB55BAB">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996.04 </w:t>
            </w:r>
          </w:p>
        </w:tc>
        <w:tc>
          <w:tcPr>
            <w:tcW w:w="3492" w:type="dxa"/>
            <w:tcBorders>
              <w:top w:val="nil"/>
              <w:left w:val="nil"/>
              <w:bottom w:val="single" w:color="auto" w:sz="4" w:space="0"/>
              <w:right w:val="single" w:color="auto" w:sz="4" w:space="0"/>
            </w:tcBorders>
            <w:shd w:val="clear" w:color="auto" w:fill="auto"/>
            <w:vAlign w:val="center"/>
          </w:tcPr>
          <w:p w14:paraId="1DA3621E">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862.32 </w:t>
            </w:r>
          </w:p>
        </w:tc>
        <w:tc>
          <w:tcPr>
            <w:tcW w:w="3000" w:type="dxa"/>
            <w:tcBorders>
              <w:top w:val="nil"/>
              <w:left w:val="nil"/>
              <w:bottom w:val="single" w:color="auto" w:sz="4" w:space="0"/>
              <w:right w:val="single" w:color="auto" w:sz="8" w:space="0"/>
            </w:tcBorders>
            <w:shd w:val="clear" w:color="auto" w:fill="auto"/>
            <w:vAlign w:val="center"/>
          </w:tcPr>
          <w:p w14:paraId="4DC16940">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b/>
                <w:i w:val="0"/>
                <w:color w:val="000000"/>
                <w:kern w:val="0"/>
                <w:sz w:val="20"/>
                <w:szCs w:val="20"/>
                <w:u w:val="none"/>
                <w:lang w:val="en-US" w:eastAsia="zh-CN" w:bidi="ar"/>
              </w:rPr>
              <w:t xml:space="preserve">133.72 </w:t>
            </w:r>
          </w:p>
        </w:tc>
      </w:tr>
      <w:tr w14:paraId="73FF06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8DB0C6">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2FDA8F1F">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A1E8CB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3492" w:type="dxa"/>
            <w:tcBorders>
              <w:top w:val="nil"/>
              <w:left w:val="nil"/>
              <w:bottom w:val="single" w:color="auto" w:sz="4" w:space="0"/>
              <w:right w:val="single" w:color="auto" w:sz="4" w:space="0"/>
            </w:tcBorders>
            <w:shd w:val="clear" w:color="auto" w:fill="auto"/>
            <w:vAlign w:val="center"/>
          </w:tcPr>
          <w:p w14:paraId="2739937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3000" w:type="dxa"/>
            <w:tcBorders>
              <w:top w:val="nil"/>
              <w:left w:val="nil"/>
              <w:bottom w:val="single" w:color="auto" w:sz="4" w:space="0"/>
              <w:right w:val="single" w:color="auto" w:sz="8" w:space="0"/>
            </w:tcBorders>
            <w:shd w:val="clear" w:color="auto" w:fill="auto"/>
            <w:vAlign w:val="center"/>
          </w:tcPr>
          <w:p w14:paraId="4473F102">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r>
      <w:tr w14:paraId="28F269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9872DA">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20136</w:t>
            </w:r>
          </w:p>
        </w:tc>
        <w:tc>
          <w:tcPr>
            <w:tcW w:w="3527" w:type="dxa"/>
            <w:tcBorders>
              <w:top w:val="nil"/>
              <w:left w:val="nil"/>
              <w:bottom w:val="single" w:color="auto" w:sz="4" w:space="0"/>
              <w:right w:val="single" w:color="auto" w:sz="4" w:space="0"/>
            </w:tcBorders>
            <w:shd w:val="clear" w:color="auto" w:fill="auto"/>
            <w:vAlign w:val="center"/>
          </w:tcPr>
          <w:p w14:paraId="511B54F8">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14:paraId="46700CFE">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770.01 </w:t>
            </w:r>
          </w:p>
        </w:tc>
        <w:tc>
          <w:tcPr>
            <w:tcW w:w="3492" w:type="dxa"/>
            <w:tcBorders>
              <w:top w:val="nil"/>
              <w:left w:val="nil"/>
              <w:bottom w:val="single" w:color="auto" w:sz="4" w:space="0"/>
              <w:right w:val="single" w:color="auto" w:sz="4" w:space="0"/>
            </w:tcBorders>
            <w:shd w:val="clear" w:color="auto" w:fill="auto"/>
            <w:vAlign w:val="center"/>
          </w:tcPr>
          <w:p w14:paraId="0C6AF6A6">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3000" w:type="dxa"/>
            <w:tcBorders>
              <w:top w:val="nil"/>
              <w:left w:val="nil"/>
              <w:bottom w:val="single" w:color="auto" w:sz="4" w:space="0"/>
              <w:right w:val="single" w:color="auto" w:sz="8" w:space="0"/>
            </w:tcBorders>
            <w:shd w:val="clear" w:color="auto" w:fill="auto"/>
            <w:vAlign w:val="center"/>
          </w:tcPr>
          <w:p w14:paraId="3BA2A0C5">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61.97 </w:t>
            </w:r>
          </w:p>
        </w:tc>
      </w:tr>
      <w:tr w14:paraId="2A3BE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F95F6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2013601</w:t>
            </w:r>
          </w:p>
        </w:tc>
        <w:tc>
          <w:tcPr>
            <w:tcW w:w="3527" w:type="dxa"/>
            <w:tcBorders>
              <w:top w:val="nil"/>
              <w:left w:val="nil"/>
              <w:bottom w:val="single" w:color="auto" w:sz="4" w:space="0"/>
              <w:right w:val="single" w:color="auto" w:sz="4" w:space="0"/>
            </w:tcBorders>
            <w:shd w:val="clear" w:color="auto" w:fill="auto"/>
            <w:vAlign w:val="center"/>
          </w:tcPr>
          <w:p w14:paraId="22FC48D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E903996">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708.05 </w:t>
            </w:r>
          </w:p>
        </w:tc>
        <w:tc>
          <w:tcPr>
            <w:tcW w:w="3492" w:type="dxa"/>
            <w:tcBorders>
              <w:top w:val="nil"/>
              <w:left w:val="nil"/>
              <w:bottom w:val="single" w:color="auto" w:sz="4" w:space="0"/>
              <w:right w:val="single" w:color="auto" w:sz="4" w:space="0"/>
            </w:tcBorders>
            <w:shd w:val="clear" w:color="auto" w:fill="auto"/>
            <w:vAlign w:val="center"/>
          </w:tcPr>
          <w:p w14:paraId="16D4E87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708.05 </w:t>
            </w:r>
          </w:p>
        </w:tc>
        <w:tc>
          <w:tcPr>
            <w:tcW w:w="3000" w:type="dxa"/>
            <w:tcBorders>
              <w:top w:val="nil"/>
              <w:left w:val="nil"/>
              <w:bottom w:val="single" w:color="auto" w:sz="4" w:space="0"/>
              <w:right w:val="single" w:color="auto" w:sz="8" w:space="0"/>
            </w:tcBorders>
            <w:shd w:val="clear" w:color="auto" w:fill="auto"/>
            <w:vAlign w:val="center"/>
          </w:tcPr>
          <w:p w14:paraId="09F14082">
            <w:pPr>
              <w:jc w:val="right"/>
              <w:rPr>
                <w:rFonts w:hint="eastAsia" w:ascii="仿宋" w:hAnsi="仿宋" w:eastAsia="仿宋" w:cs="仿宋"/>
                <w:i w:val="0"/>
                <w:iCs w:val="0"/>
                <w:color w:val="000000"/>
                <w:kern w:val="0"/>
                <w:sz w:val="20"/>
                <w:szCs w:val="20"/>
                <w:u w:val="none"/>
                <w:lang w:val="en-US" w:eastAsia="zh-CN" w:bidi="ar"/>
              </w:rPr>
            </w:pPr>
          </w:p>
        </w:tc>
      </w:tr>
      <w:tr w14:paraId="28D157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BC8A9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2013699</w:t>
            </w:r>
          </w:p>
        </w:tc>
        <w:tc>
          <w:tcPr>
            <w:tcW w:w="3527" w:type="dxa"/>
            <w:tcBorders>
              <w:top w:val="nil"/>
              <w:left w:val="nil"/>
              <w:bottom w:val="single" w:color="auto" w:sz="4" w:space="0"/>
              <w:right w:val="single" w:color="auto" w:sz="4" w:space="0"/>
            </w:tcBorders>
            <w:shd w:val="clear" w:color="auto" w:fill="auto"/>
            <w:vAlign w:val="center"/>
          </w:tcPr>
          <w:p w14:paraId="3612182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其他共产党事务支出</w:t>
            </w:r>
          </w:p>
        </w:tc>
        <w:tc>
          <w:tcPr>
            <w:tcW w:w="3000" w:type="dxa"/>
            <w:tcBorders>
              <w:top w:val="nil"/>
              <w:left w:val="nil"/>
              <w:bottom w:val="single" w:color="auto" w:sz="4" w:space="0"/>
              <w:right w:val="single" w:color="auto" w:sz="4" w:space="0"/>
            </w:tcBorders>
            <w:shd w:val="clear" w:color="auto" w:fill="auto"/>
            <w:vAlign w:val="center"/>
          </w:tcPr>
          <w:p w14:paraId="3504DCC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61.97 </w:t>
            </w:r>
          </w:p>
        </w:tc>
        <w:tc>
          <w:tcPr>
            <w:tcW w:w="3492" w:type="dxa"/>
            <w:tcBorders>
              <w:top w:val="nil"/>
              <w:left w:val="nil"/>
              <w:bottom w:val="single" w:color="auto" w:sz="4" w:space="0"/>
              <w:right w:val="single" w:color="auto" w:sz="4" w:space="0"/>
            </w:tcBorders>
            <w:shd w:val="clear" w:color="auto" w:fill="auto"/>
            <w:vAlign w:val="center"/>
          </w:tcPr>
          <w:p w14:paraId="5B1CEB31">
            <w:pPr>
              <w:jc w:val="right"/>
              <w:rPr>
                <w:rFonts w:hint="eastAsia" w:ascii="仿宋" w:hAnsi="仿宋" w:eastAsia="仿宋" w:cs="仿宋"/>
                <w:kern w:val="0"/>
                <w:sz w:val="20"/>
                <w:szCs w:val="20"/>
              </w:rPr>
            </w:pPr>
          </w:p>
        </w:tc>
        <w:tc>
          <w:tcPr>
            <w:tcW w:w="3000" w:type="dxa"/>
            <w:tcBorders>
              <w:top w:val="nil"/>
              <w:left w:val="nil"/>
              <w:bottom w:val="single" w:color="auto" w:sz="4" w:space="0"/>
              <w:right w:val="single" w:color="auto" w:sz="8" w:space="0"/>
            </w:tcBorders>
            <w:shd w:val="clear" w:color="auto" w:fill="auto"/>
            <w:vAlign w:val="center"/>
          </w:tcPr>
          <w:p w14:paraId="0F773F4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61.97 </w:t>
            </w:r>
          </w:p>
        </w:tc>
      </w:tr>
      <w:tr w14:paraId="7C509E7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E6536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w:t>
            </w:r>
          </w:p>
        </w:tc>
        <w:tc>
          <w:tcPr>
            <w:tcW w:w="3527" w:type="dxa"/>
            <w:tcBorders>
              <w:top w:val="nil"/>
              <w:left w:val="nil"/>
              <w:bottom w:val="single" w:color="auto" w:sz="4" w:space="0"/>
              <w:right w:val="single" w:color="auto" w:sz="4" w:space="0"/>
            </w:tcBorders>
            <w:shd w:val="clear" w:color="auto" w:fill="auto"/>
            <w:vAlign w:val="center"/>
          </w:tcPr>
          <w:p w14:paraId="0288DB6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公共安全支出</w:t>
            </w:r>
          </w:p>
        </w:tc>
        <w:tc>
          <w:tcPr>
            <w:tcW w:w="3000" w:type="dxa"/>
            <w:tcBorders>
              <w:top w:val="nil"/>
              <w:left w:val="nil"/>
              <w:bottom w:val="single" w:color="auto" w:sz="4" w:space="0"/>
              <w:right w:val="single" w:color="auto" w:sz="4" w:space="0"/>
            </w:tcBorders>
            <w:shd w:val="clear" w:color="auto" w:fill="auto"/>
            <w:vAlign w:val="center"/>
          </w:tcPr>
          <w:p w14:paraId="615D3A3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3492" w:type="dxa"/>
            <w:tcBorders>
              <w:top w:val="nil"/>
              <w:left w:val="nil"/>
              <w:bottom w:val="single" w:color="auto" w:sz="4" w:space="0"/>
              <w:right w:val="single" w:color="auto" w:sz="4" w:space="0"/>
            </w:tcBorders>
            <w:shd w:val="clear" w:color="auto" w:fill="auto"/>
            <w:vAlign w:val="center"/>
          </w:tcPr>
          <w:p w14:paraId="31C517D2">
            <w:pPr>
              <w:jc w:val="right"/>
              <w:rPr>
                <w:rFonts w:hint="eastAsia" w:ascii="仿宋" w:hAnsi="仿宋" w:eastAsia="仿宋" w:cs="仿宋"/>
                <w:kern w:val="0"/>
                <w:sz w:val="20"/>
                <w:szCs w:val="20"/>
              </w:rPr>
            </w:pPr>
          </w:p>
        </w:tc>
        <w:tc>
          <w:tcPr>
            <w:tcW w:w="3000" w:type="dxa"/>
            <w:tcBorders>
              <w:top w:val="nil"/>
              <w:left w:val="nil"/>
              <w:bottom w:val="single" w:color="auto" w:sz="4" w:space="0"/>
              <w:right w:val="single" w:color="auto" w:sz="8" w:space="0"/>
            </w:tcBorders>
            <w:shd w:val="clear" w:color="auto" w:fill="auto"/>
            <w:vAlign w:val="center"/>
          </w:tcPr>
          <w:p w14:paraId="614EAD77">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r>
      <w:tr w14:paraId="2DC2EB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BB459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20406</w:t>
            </w:r>
          </w:p>
        </w:tc>
        <w:tc>
          <w:tcPr>
            <w:tcW w:w="3527" w:type="dxa"/>
            <w:tcBorders>
              <w:top w:val="nil"/>
              <w:left w:val="nil"/>
              <w:bottom w:val="single" w:color="auto" w:sz="4" w:space="0"/>
              <w:right w:val="single" w:color="auto" w:sz="4" w:space="0"/>
            </w:tcBorders>
            <w:shd w:val="clear" w:color="auto" w:fill="auto"/>
            <w:vAlign w:val="center"/>
          </w:tcPr>
          <w:p w14:paraId="710A718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司法</w:t>
            </w:r>
          </w:p>
        </w:tc>
        <w:tc>
          <w:tcPr>
            <w:tcW w:w="3000" w:type="dxa"/>
            <w:tcBorders>
              <w:top w:val="nil"/>
              <w:left w:val="nil"/>
              <w:bottom w:val="single" w:color="auto" w:sz="4" w:space="0"/>
              <w:right w:val="single" w:color="auto" w:sz="4" w:space="0"/>
            </w:tcBorders>
            <w:shd w:val="clear" w:color="auto" w:fill="auto"/>
            <w:vAlign w:val="center"/>
          </w:tcPr>
          <w:p w14:paraId="2A616508">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3492" w:type="dxa"/>
            <w:tcBorders>
              <w:top w:val="nil"/>
              <w:left w:val="nil"/>
              <w:bottom w:val="single" w:color="auto" w:sz="4" w:space="0"/>
              <w:right w:val="single" w:color="auto" w:sz="4" w:space="0"/>
            </w:tcBorders>
            <w:shd w:val="clear" w:color="auto" w:fill="auto"/>
            <w:vAlign w:val="center"/>
          </w:tcPr>
          <w:p w14:paraId="406CABC1">
            <w:pPr>
              <w:jc w:val="right"/>
              <w:rPr>
                <w:rFonts w:hint="eastAsia" w:ascii="仿宋" w:hAnsi="仿宋" w:eastAsia="仿宋" w:cs="仿宋"/>
                <w:kern w:val="0"/>
                <w:sz w:val="20"/>
                <w:szCs w:val="20"/>
              </w:rPr>
            </w:pPr>
          </w:p>
        </w:tc>
        <w:tc>
          <w:tcPr>
            <w:tcW w:w="3000" w:type="dxa"/>
            <w:tcBorders>
              <w:top w:val="nil"/>
              <w:left w:val="nil"/>
              <w:bottom w:val="single" w:color="auto" w:sz="4" w:space="0"/>
              <w:right w:val="single" w:color="auto" w:sz="8" w:space="0"/>
            </w:tcBorders>
            <w:shd w:val="clear" w:color="auto" w:fill="auto"/>
            <w:vAlign w:val="center"/>
          </w:tcPr>
          <w:p w14:paraId="0BBED8F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r>
      <w:tr w14:paraId="7DFE99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AC333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2040602</w:t>
            </w:r>
          </w:p>
        </w:tc>
        <w:tc>
          <w:tcPr>
            <w:tcW w:w="3527" w:type="dxa"/>
            <w:tcBorders>
              <w:top w:val="nil"/>
              <w:left w:val="nil"/>
              <w:bottom w:val="single" w:color="auto" w:sz="4" w:space="0"/>
              <w:right w:val="single" w:color="auto" w:sz="4" w:space="0"/>
            </w:tcBorders>
            <w:shd w:val="clear" w:color="auto" w:fill="auto"/>
            <w:vAlign w:val="center"/>
          </w:tcPr>
          <w:p w14:paraId="117FD773">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7291DD23">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c>
          <w:tcPr>
            <w:tcW w:w="3492" w:type="dxa"/>
            <w:tcBorders>
              <w:top w:val="nil"/>
              <w:left w:val="nil"/>
              <w:bottom w:val="single" w:color="auto" w:sz="4" w:space="0"/>
              <w:right w:val="single" w:color="auto" w:sz="4" w:space="0"/>
            </w:tcBorders>
            <w:shd w:val="clear" w:color="auto" w:fill="auto"/>
            <w:vAlign w:val="center"/>
          </w:tcPr>
          <w:p w14:paraId="47F55176">
            <w:pPr>
              <w:jc w:val="right"/>
              <w:rPr>
                <w:rFonts w:hint="eastAsia" w:ascii="仿宋" w:hAnsi="仿宋" w:eastAsia="仿宋" w:cs="仿宋"/>
                <w:kern w:val="0"/>
                <w:sz w:val="20"/>
                <w:szCs w:val="20"/>
              </w:rPr>
            </w:pPr>
          </w:p>
        </w:tc>
        <w:tc>
          <w:tcPr>
            <w:tcW w:w="3000" w:type="dxa"/>
            <w:tcBorders>
              <w:top w:val="nil"/>
              <w:left w:val="nil"/>
              <w:bottom w:val="single" w:color="auto" w:sz="4" w:space="0"/>
              <w:right w:val="single" w:color="auto" w:sz="8" w:space="0"/>
            </w:tcBorders>
            <w:shd w:val="clear" w:color="auto" w:fill="auto"/>
            <w:vAlign w:val="center"/>
          </w:tcPr>
          <w:p w14:paraId="32308E7E">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28.99 </w:t>
            </w:r>
          </w:p>
        </w:tc>
      </w:tr>
      <w:tr w14:paraId="2FB860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2547D2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50BE21B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0B228592">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3492" w:type="dxa"/>
            <w:tcBorders>
              <w:top w:val="nil"/>
              <w:left w:val="nil"/>
              <w:bottom w:val="single" w:color="auto" w:sz="4" w:space="0"/>
              <w:right w:val="single" w:color="auto" w:sz="4" w:space="0"/>
            </w:tcBorders>
            <w:shd w:val="clear" w:color="auto" w:fill="auto"/>
            <w:vAlign w:val="center"/>
          </w:tcPr>
          <w:p w14:paraId="1C4BF8F9">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3000" w:type="dxa"/>
            <w:tcBorders>
              <w:top w:val="nil"/>
              <w:left w:val="nil"/>
              <w:bottom w:val="single" w:color="auto" w:sz="4" w:space="0"/>
              <w:right w:val="single" w:color="auto" w:sz="8" w:space="0"/>
            </w:tcBorders>
            <w:shd w:val="clear" w:color="auto" w:fill="auto"/>
            <w:vAlign w:val="center"/>
          </w:tcPr>
          <w:p w14:paraId="651E506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r>
      <w:tr w14:paraId="6015D8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EAE32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648F49E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5AB0F00">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108.16 </w:t>
            </w:r>
          </w:p>
        </w:tc>
        <w:tc>
          <w:tcPr>
            <w:tcW w:w="3492" w:type="dxa"/>
            <w:tcBorders>
              <w:top w:val="nil"/>
              <w:left w:val="nil"/>
              <w:bottom w:val="single" w:color="auto" w:sz="4" w:space="0"/>
              <w:right w:val="single" w:color="auto" w:sz="4" w:space="0"/>
            </w:tcBorders>
            <w:shd w:val="clear" w:color="auto" w:fill="auto"/>
            <w:vAlign w:val="center"/>
          </w:tcPr>
          <w:p w14:paraId="7AE479B5">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3000" w:type="dxa"/>
            <w:tcBorders>
              <w:top w:val="nil"/>
              <w:left w:val="nil"/>
              <w:bottom w:val="single" w:color="auto" w:sz="4" w:space="0"/>
              <w:right w:val="single" w:color="auto" w:sz="8" w:space="0"/>
            </w:tcBorders>
            <w:shd w:val="clear" w:color="auto" w:fill="auto"/>
            <w:vAlign w:val="center"/>
          </w:tcPr>
          <w:p w14:paraId="1F13BBE6">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39.91 </w:t>
            </w:r>
          </w:p>
        </w:tc>
      </w:tr>
      <w:tr w14:paraId="11629B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777B4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21BDFCB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BF880C5">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 xml:space="preserve">68.25 </w:t>
            </w:r>
          </w:p>
        </w:tc>
        <w:tc>
          <w:tcPr>
            <w:tcW w:w="3492" w:type="dxa"/>
            <w:tcBorders>
              <w:top w:val="nil"/>
              <w:left w:val="nil"/>
              <w:bottom w:val="single" w:color="auto" w:sz="4" w:space="0"/>
              <w:right w:val="single" w:color="auto" w:sz="4" w:space="0"/>
            </w:tcBorders>
            <w:shd w:val="clear" w:color="auto" w:fill="auto"/>
            <w:vAlign w:val="center"/>
          </w:tcPr>
          <w:p w14:paraId="34A597D0">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68.25 </w:t>
            </w:r>
          </w:p>
        </w:tc>
        <w:tc>
          <w:tcPr>
            <w:tcW w:w="3000" w:type="dxa"/>
            <w:tcBorders>
              <w:top w:val="nil"/>
              <w:left w:val="nil"/>
              <w:bottom w:val="single" w:color="auto" w:sz="4" w:space="0"/>
              <w:right w:val="single" w:color="auto" w:sz="8" w:space="0"/>
            </w:tcBorders>
            <w:shd w:val="clear" w:color="auto" w:fill="auto"/>
            <w:vAlign w:val="center"/>
          </w:tcPr>
          <w:p w14:paraId="66EBC7CB">
            <w:pPr>
              <w:jc w:val="right"/>
              <w:rPr>
                <w:rFonts w:hint="eastAsia" w:ascii="仿宋" w:hAnsi="仿宋" w:eastAsia="仿宋" w:cs="仿宋"/>
                <w:i w:val="0"/>
                <w:iCs w:val="0"/>
                <w:color w:val="000000"/>
                <w:kern w:val="0"/>
                <w:sz w:val="20"/>
                <w:szCs w:val="20"/>
                <w:u w:val="none"/>
                <w:lang w:val="en-US" w:eastAsia="zh-CN" w:bidi="ar"/>
              </w:rPr>
            </w:pPr>
          </w:p>
        </w:tc>
      </w:tr>
      <w:tr w14:paraId="6E5766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9C03F9">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2080599</w:t>
            </w:r>
          </w:p>
        </w:tc>
        <w:tc>
          <w:tcPr>
            <w:tcW w:w="3527" w:type="dxa"/>
            <w:tcBorders>
              <w:top w:val="nil"/>
              <w:left w:val="nil"/>
              <w:bottom w:val="single" w:color="auto" w:sz="4" w:space="0"/>
              <w:right w:val="single" w:color="auto" w:sz="4" w:space="0"/>
            </w:tcBorders>
            <w:shd w:val="clear" w:color="auto" w:fill="auto"/>
            <w:vAlign w:val="center"/>
          </w:tcPr>
          <w:p w14:paraId="5BC9CDFD">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其他行政事业单位养老支出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A822790">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39.91 </w:t>
            </w:r>
          </w:p>
        </w:tc>
        <w:tc>
          <w:tcPr>
            <w:tcW w:w="3492" w:type="dxa"/>
            <w:tcBorders>
              <w:top w:val="nil"/>
              <w:left w:val="nil"/>
              <w:bottom w:val="single" w:color="auto" w:sz="4" w:space="0"/>
              <w:right w:val="single" w:color="auto" w:sz="4" w:space="0"/>
            </w:tcBorders>
            <w:shd w:val="clear" w:color="auto" w:fill="auto"/>
            <w:vAlign w:val="center"/>
          </w:tcPr>
          <w:p w14:paraId="5F3E3F17">
            <w:pPr>
              <w:jc w:val="right"/>
              <w:rPr>
                <w:rFonts w:hint="eastAsia" w:ascii="仿宋" w:hAnsi="仿宋" w:eastAsia="仿宋" w:cs="仿宋"/>
                <w:kern w:val="0"/>
                <w:sz w:val="20"/>
                <w:szCs w:val="20"/>
              </w:rPr>
            </w:pPr>
          </w:p>
        </w:tc>
        <w:tc>
          <w:tcPr>
            <w:tcW w:w="3000" w:type="dxa"/>
            <w:tcBorders>
              <w:top w:val="nil"/>
              <w:left w:val="nil"/>
              <w:bottom w:val="single" w:color="auto" w:sz="4" w:space="0"/>
              <w:right w:val="single" w:color="auto" w:sz="8" w:space="0"/>
            </w:tcBorders>
            <w:shd w:val="clear" w:color="auto" w:fill="auto"/>
            <w:vAlign w:val="center"/>
          </w:tcPr>
          <w:p w14:paraId="1FED33A4">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39.91 </w:t>
            </w:r>
          </w:p>
        </w:tc>
      </w:tr>
      <w:tr w14:paraId="144DC1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C49521">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39EE7B3C">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18ABECDD">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3492" w:type="dxa"/>
            <w:tcBorders>
              <w:top w:val="nil"/>
              <w:left w:val="nil"/>
              <w:bottom w:val="single" w:color="auto" w:sz="4" w:space="0"/>
              <w:right w:val="single" w:color="auto" w:sz="4" w:space="0"/>
            </w:tcBorders>
            <w:shd w:val="clear" w:color="auto" w:fill="auto"/>
            <w:vAlign w:val="center"/>
          </w:tcPr>
          <w:p w14:paraId="7468333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3000" w:type="dxa"/>
            <w:tcBorders>
              <w:top w:val="nil"/>
              <w:left w:val="nil"/>
              <w:bottom w:val="single" w:color="auto" w:sz="4" w:space="0"/>
              <w:right w:val="single" w:color="auto" w:sz="8" w:space="0"/>
            </w:tcBorders>
            <w:shd w:val="clear" w:color="auto" w:fill="auto"/>
            <w:vAlign w:val="center"/>
          </w:tcPr>
          <w:p w14:paraId="2AF35F67">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r>
      <w:tr w14:paraId="524D6B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970606">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621BE832">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450E2784">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31.40 </w:t>
            </w:r>
          </w:p>
        </w:tc>
        <w:tc>
          <w:tcPr>
            <w:tcW w:w="3492" w:type="dxa"/>
            <w:tcBorders>
              <w:top w:val="nil"/>
              <w:left w:val="nil"/>
              <w:bottom w:val="single" w:color="auto" w:sz="4" w:space="0"/>
              <w:right w:val="single" w:color="auto" w:sz="4" w:space="0"/>
            </w:tcBorders>
            <w:shd w:val="clear" w:color="auto" w:fill="auto"/>
            <w:vAlign w:val="center"/>
          </w:tcPr>
          <w:p w14:paraId="334B67F0">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3000" w:type="dxa"/>
            <w:tcBorders>
              <w:top w:val="nil"/>
              <w:left w:val="nil"/>
              <w:bottom w:val="single" w:color="auto" w:sz="4" w:space="0"/>
              <w:right w:val="single" w:color="auto" w:sz="8" w:space="0"/>
            </w:tcBorders>
            <w:shd w:val="clear" w:color="auto" w:fill="auto"/>
            <w:vAlign w:val="center"/>
          </w:tcPr>
          <w:p w14:paraId="61AE4963">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r>
      <w:tr w14:paraId="10ECE1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275AA3">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DABEA41">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CDEB32">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85117B1">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4DB22A">
            <w:pPr>
              <w:jc w:val="right"/>
              <w:rPr>
                <w:rFonts w:hint="eastAsia" w:ascii="仿宋" w:hAnsi="仿宋" w:eastAsia="仿宋" w:cs="仿宋"/>
                <w:kern w:val="0"/>
                <w:sz w:val="20"/>
                <w:szCs w:val="20"/>
              </w:rPr>
            </w:pPr>
          </w:p>
        </w:tc>
      </w:tr>
      <w:tr w14:paraId="3B5283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B084A3">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2101103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3D8A021">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公务员医疗补助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DE36D8">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5509412">
            <w:pPr>
              <w:jc w:val="right"/>
              <w:rPr>
                <w:rFonts w:hint="eastAsia" w:ascii="仿宋" w:hAnsi="仿宋" w:eastAsia="仿宋" w:cs="仿宋"/>
                <w:kern w:val="0"/>
                <w:sz w:val="20"/>
                <w:szCs w:val="20"/>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416557">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2.85 </w:t>
            </w:r>
          </w:p>
        </w:tc>
      </w:tr>
      <w:tr w14:paraId="70BF29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08EA41">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612C9D8">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FC3F2C">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D41F9CF">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E92115">
            <w:pPr>
              <w:jc w:val="right"/>
              <w:rPr>
                <w:rFonts w:hint="eastAsia" w:ascii="仿宋" w:hAnsi="仿宋" w:eastAsia="仿宋" w:cs="仿宋"/>
                <w:kern w:val="0"/>
                <w:sz w:val="20"/>
                <w:szCs w:val="20"/>
              </w:rPr>
            </w:pPr>
          </w:p>
        </w:tc>
      </w:tr>
      <w:tr w14:paraId="28CB3A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E00BAF">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8CD3118">
            <w:pPr>
              <w:keepNext w:val="0"/>
              <w:keepLines w:val="0"/>
              <w:widowControl/>
              <w:suppressLineNumbers w:val="0"/>
              <w:jc w:val="lef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5201BA">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45C40E7">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9945D5C">
            <w:pPr>
              <w:jc w:val="right"/>
              <w:rPr>
                <w:rFonts w:hint="eastAsia" w:ascii="仿宋" w:hAnsi="仿宋" w:eastAsia="仿宋" w:cs="仿宋"/>
                <w:kern w:val="0"/>
                <w:sz w:val="20"/>
                <w:szCs w:val="20"/>
              </w:rPr>
            </w:pPr>
          </w:p>
        </w:tc>
      </w:tr>
      <w:tr w14:paraId="12F6A4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8AD4FF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7D9C0D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388FE5">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E44B819">
            <w:pPr>
              <w:keepNext w:val="0"/>
              <w:keepLines w:val="0"/>
              <w:widowControl/>
              <w:suppressLineNumbers w:val="0"/>
              <w:jc w:val="right"/>
              <w:textAlignment w:val="center"/>
              <w:rPr>
                <w:rFonts w:hint="eastAsia" w:ascii="仿宋" w:hAnsi="仿宋" w:eastAsia="仿宋" w:cs="仿宋"/>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107ED3">
            <w:pPr>
              <w:jc w:val="right"/>
              <w:rPr>
                <w:rFonts w:hint="eastAsia" w:ascii="仿宋" w:hAnsi="仿宋" w:eastAsia="仿宋" w:cs="仿宋"/>
                <w:kern w:val="0"/>
                <w:sz w:val="20"/>
                <w:szCs w:val="20"/>
              </w:rPr>
            </w:pPr>
          </w:p>
        </w:tc>
      </w:tr>
    </w:tbl>
    <w:p w14:paraId="4122D61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3ADD689">
      <w:pPr>
        <w:widowControl/>
        <w:jc w:val="center"/>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D98574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6F81045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B36E45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564E36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D39634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73F66F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3DAC50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F97697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166A1E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97F012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439E3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E1469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AA29E9D">
        <w:tblPrEx>
          <w:tblCellMar>
            <w:top w:w="0" w:type="dxa"/>
            <w:left w:w="108" w:type="dxa"/>
            <w:bottom w:w="0" w:type="dxa"/>
            <w:right w:w="108" w:type="dxa"/>
          </w:tblCellMar>
        </w:tblPrEx>
        <w:trPr>
          <w:trHeight w:val="28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47078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14:paraId="01D8A09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0075EAC">
            <w:pPr>
              <w:keepNext w:val="0"/>
              <w:keepLines w:val="0"/>
              <w:widowControl/>
              <w:suppressLineNumbers w:val="0"/>
              <w:jc w:val="right"/>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color w:val="000000"/>
                <w:kern w:val="0"/>
                <w:sz w:val="20"/>
                <w:szCs w:val="20"/>
                <w:u w:val="none"/>
                <w:lang w:val="en-US" w:eastAsia="zh-CN" w:bidi="ar"/>
              </w:rPr>
              <w:t xml:space="preserve">737.65 </w:t>
            </w:r>
          </w:p>
        </w:tc>
        <w:tc>
          <w:tcPr>
            <w:tcW w:w="1116" w:type="dxa"/>
            <w:tcBorders>
              <w:top w:val="nil"/>
              <w:left w:val="nil"/>
              <w:bottom w:val="single" w:color="auto" w:sz="4" w:space="0"/>
              <w:right w:val="single" w:color="auto" w:sz="4" w:space="0"/>
            </w:tcBorders>
            <w:shd w:val="clear" w:color="auto" w:fill="auto"/>
            <w:noWrap/>
            <w:vAlign w:val="center"/>
          </w:tcPr>
          <w:p w14:paraId="2B5CA73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4FE6BA0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2878E94">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124.68 </w:t>
            </w:r>
          </w:p>
        </w:tc>
        <w:tc>
          <w:tcPr>
            <w:tcW w:w="1217" w:type="dxa"/>
            <w:tcBorders>
              <w:top w:val="nil"/>
              <w:left w:val="nil"/>
              <w:bottom w:val="single" w:color="auto" w:sz="4" w:space="0"/>
              <w:right w:val="single" w:color="auto" w:sz="4" w:space="0"/>
            </w:tcBorders>
            <w:shd w:val="clear" w:color="auto" w:fill="auto"/>
            <w:noWrap/>
            <w:vAlign w:val="center"/>
          </w:tcPr>
          <w:p w14:paraId="72DCFEF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62E4154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C9F36C2">
            <w:pPr>
              <w:jc w:val="right"/>
              <w:rPr>
                <w:rFonts w:hint="eastAsia" w:ascii="仿宋" w:hAnsi="仿宋" w:eastAsia="仿宋" w:cs="仿宋"/>
                <w:color w:val="000000"/>
                <w:kern w:val="0"/>
                <w:sz w:val="20"/>
                <w:szCs w:val="20"/>
              </w:rPr>
            </w:pPr>
          </w:p>
        </w:tc>
      </w:tr>
      <w:tr w14:paraId="648362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75949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14:paraId="672C67E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AF25EBC">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273.77 </w:t>
            </w:r>
          </w:p>
        </w:tc>
        <w:tc>
          <w:tcPr>
            <w:tcW w:w="1116" w:type="dxa"/>
            <w:tcBorders>
              <w:top w:val="nil"/>
              <w:left w:val="nil"/>
              <w:bottom w:val="single" w:color="auto" w:sz="4" w:space="0"/>
              <w:right w:val="single" w:color="auto" w:sz="4" w:space="0"/>
            </w:tcBorders>
            <w:shd w:val="clear" w:color="auto" w:fill="auto"/>
            <w:noWrap/>
            <w:vAlign w:val="center"/>
          </w:tcPr>
          <w:p w14:paraId="013D0FE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70BE6B4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DE15466">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14:paraId="7D1479C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3CC9874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0EB0F64">
            <w:pPr>
              <w:jc w:val="right"/>
              <w:rPr>
                <w:rFonts w:hint="eastAsia" w:ascii="仿宋" w:hAnsi="仿宋" w:eastAsia="仿宋" w:cs="仿宋"/>
                <w:color w:val="000000"/>
                <w:kern w:val="0"/>
                <w:sz w:val="20"/>
                <w:szCs w:val="20"/>
              </w:rPr>
            </w:pPr>
          </w:p>
        </w:tc>
      </w:tr>
      <w:tr w14:paraId="66F586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37C3D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14:paraId="3047EF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FBB3E36">
            <w:pPr>
              <w:keepNext w:val="0"/>
              <w:keepLines w:val="0"/>
              <w:widowControl/>
              <w:suppressLineNumbers w:val="0"/>
              <w:jc w:val="right"/>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color w:val="000000"/>
                <w:kern w:val="0"/>
                <w:sz w:val="20"/>
                <w:szCs w:val="20"/>
                <w:u w:val="none"/>
                <w:lang w:val="en-US" w:eastAsia="zh-CN" w:bidi="ar"/>
              </w:rPr>
              <w:t xml:space="preserve">121.71 </w:t>
            </w:r>
          </w:p>
        </w:tc>
        <w:tc>
          <w:tcPr>
            <w:tcW w:w="1116" w:type="dxa"/>
            <w:tcBorders>
              <w:top w:val="nil"/>
              <w:left w:val="nil"/>
              <w:bottom w:val="single" w:color="auto" w:sz="4" w:space="0"/>
              <w:right w:val="single" w:color="auto" w:sz="4" w:space="0"/>
            </w:tcBorders>
            <w:shd w:val="clear" w:color="auto" w:fill="auto"/>
            <w:noWrap/>
            <w:vAlign w:val="center"/>
          </w:tcPr>
          <w:p w14:paraId="3925312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2F6C5A6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7CB8695">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1.11 </w:t>
            </w:r>
          </w:p>
        </w:tc>
        <w:tc>
          <w:tcPr>
            <w:tcW w:w="1217" w:type="dxa"/>
            <w:tcBorders>
              <w:top w:val="nil"/>
              <w:left w:val="nil"/>
              <w:bottom w:val="single" w:color="auto" w:sz="4" w:space="0"/>
              <w:right w:val="single" w:color="auto" w:sz="4" w:space="0"/>
            </w:tcBorders>
            <w:shd w:val="clear" w:color="auto" w:fill="auto"/>
            <w:noWrap/>
            <w:vAlign w:val="center"/>
          </w:tcPr>
          <w:p w14:paraId="3B30C875">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09D16EF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5781C9F">
            <w:pPr>
              <w:jc w:val="right"/>
              <w:rPr>
                <w:rFonts w:hint="eastAsia" w:ascii="仿宋" w:hAnsi="仿宋" w:eastAsia="仿宋" w:cs="仿宋"/>
                <w:color w:val="000000"/>
                <w:kern w:val="0"/>
                <w:sz w:val="20"/>
                <w:szCs w:val="20"/>
              </w:rPr>
            </w:pPr>
          </w:p>
        </w:tc>
      </w:tr>
      <w:tr w14:paraId="6DA89B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52409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14:paraId="0B3F37C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DE2DF82">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162.73 </w:t>
            </w:r>
          </w:p>
        </w:tc>
        <w:tc>
          <w:tcPr>
            <w:tcW w:w="1116" w:type="dxa"/>
            <w:tcBorders>
              <w:top w:val="nil"/>
              <w:left w:val="nil"/>
              <w:bottom w:val="single" w:color="auto" w:sz="4" w:space="0"/>
              <w:right w:val="single" w:color="auto" w:sz="4" w:space="0"/>
            </w:tcBorders>
            <w:shd w:val="clear" w:color="auto" w:fill="auto"/>
            <w:noWrap/>
            <w:vAlign w:val="center"/>
          </w:tcPr>
          <w:p w14:paraId="34F2B05D">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4A43529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F6656B0">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50C4F2C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49A3C5E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C860A1E">
            <w:pPr>
              <w:jc w:val="right"/>
              <w:rPr>
                <w:rFonts w:hint="eastAsia" w:ascii="仿宋" w:hAnsi="仿宋" w:eastAsia="仿宋" w:cs="仿宋"/>
                <w:color w:val="000000"/>
                <w:kern w:val="0"/>
                <w:sz w:val="20"/>
                <w:szCs w:val="20"/>
              </w:rPr>
            </w:pPr>
          </w:p>
        </w:tc>
      </w:tr>
      <w:tr w14:paraId="25E5DE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F1A70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14:paraId="670F3FC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5C4808F">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593590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7224A48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3ACE4BC">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1D69ED6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7D1BDAB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D8CABFA">
            <w:pPr>
              <w:jc w:val="right"/>
              <w:rPr>
                <w:rFonts w:hint="eastAsia" w:ascii="仿宋" w:hAnsi="仿宋" w:eastAsia="仿宋" w:cs="仿宋"/>
                <w:color w:val="000000"/>
                <w:kern w:val="0"/>
                <w:sz w:val="20"/>
                <w:szCs w:val="20"/>
              </w:rPr>
            </w:pPr>
          </w:p>
        </w:tc>
      </w:tr>
      <w:tr w14:paraId="20C416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9087A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14:paraId="7337B8B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F426A83">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21.19 </w:t>
            </w:r>
          </w:p>
        </w:tc>
        <w:tc>
          <w:tcPr>
            <w:tcW w:w="1116" w:type="dxa"/>
            <w:tcBorders>
              <w:top w:val="nil"/>
              <w:left w:val="nil"/>
              <w:bottom w:val="single" w:color="auto" w:sz="4" w:space="0"/>
              <w:right w:val="single" w:color="auto" w:sz="4" w:space="0"/>
            </w:tcBorders>
            <w:shd w:val="clear" w:color="auto" w:fill="auto"/>
            <w:noWrap/>
            <w:vAlign w:val="center"/>
          </w:tcPr>
          <w:p w14:paraId="3C00972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0457926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AB2CDA0">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4774C47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337FA62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DDC12CF">
            <w:pPr>
              <w:jc w:val="right"/>
              <w:rPr>
                <w:rFonts w:hint="eastAsia" w:ascii="仿宋" w:hAnsi="仿宋" w:eastAsia="仿宋" w:cs="仿宋"/>
                <w:color w:val="000000"/>
                <w:kern w:val="0"/>
                <w:sz w:val="20"/>
                <w:szCs w:val="20"/>
              </w:rPr>
            </w:pPr>
          </w:p>
        </w:tc>
      </w:tr>
      <w:tr w14:paraId="1735D7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D1B01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14:paraId="691E59D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B6DE22B">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69.52 </w:t>
            </w:r>
          </w:p>
        </w:tc>
        <w:tc>
          <w:tcPr>
            <w:tcW w:w="1116" w:type="dxa"/>
            <w:tcBorders>
              <w:top w:val="nil"/>
              <w:left w:val="nil"/>
              <w:bottom w:val="single" w:color="auto" w:sz="4" w:space="0"/>
              <w:right w:val="single" w:color="auto" w:sz="4" w:space="0"/>
            </w:tcBorders>
            <w:shd w:val="clear" w:color="auto" w:fill="auto"/>
            <w:noWrap/>
            <w:vAlign w:val="center"/>
          </w:tcPr>
          <w:p w14:paraId="1358985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6CB1DC6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73E5E6D">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1.50 </w:t>
            </w:r>
          </w:p>
        </w:tc>
        <w:tc>
          <w:tcPr>
            <w:tcW w:w="1217" w:type="dxa"/>
            <w:tcBorders>
              <w:top w:val="nil"/>
              <w:left w:val="nil"/>
              <w:bottom w:val="single" w:color="auto" w:sz="4" w:space="0"/>
              <w:right w:val="single" w:color="auto" w:sz="4" w:space="0"/>
            </w:tcBorders>
            <w:shd w:val="clear" w:color="auto" w:fill="auto"/>
            <w:noWrap/>
            <w:vAlign w:val="center"/>
          </w:tcPr>
          <w:p w14:paraId="2281528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78D1FF2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59892D2">
            <w:pPr>
              <w:jc w:val="right"/>
              <w:rPr>
                <w:rFonts w:hint="eastAsia" w:ascii="仿宋" w:hAnsi="仿宋" w:eastAsia="仿宋" w:cs="仿宋"/>
                <w:color w:val="000000"/>
                <w:kern w:val="0"/>
                <w:sz w:val="20"/>
                <w:szCs w:val="20"/>
              </w:rPr>
            </w:pPr>
          </w:p>
        </w:tc>
      </w:tr>
      <w:tr w14:paraId="4E4423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AD994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14:paraId="7F9C480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2264FD2">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60C1B70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78D6156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F04A7DD">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271F0A1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27A352C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A9E28CA">
            <w:pPr>
              <w:jc w:val="right"/>
              <w:rPr>
                <w:rFonts w:hint="eastAsia" w:ascii="仿宋" w:hAnsi="仿宋" w:eastAsia="仿宋" w:cs="仿宋"/>
                <w:color w:val="000000"/>
                <w:kern w:val="0"/>
                <w:sz w:val="20"/>
                <w:szCs w:val="20"/>
              </w:rPr>
            </w:pPr>
          </w:p>
        </w:tc>
      </w:tr>
      <w:tr w14:paraId="76B41D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624F0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14:paraId="1861A8C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职工基本医疗保险缴费</w:t>
            </w:r>
          </w:p>
        </w:tc>
        <w:tc>
          <w:tcPr>
            <w:tcW w:w="966" w:type="dxa"/>
            <w:tcBorders>
              <w:top w:val="nil"/>
              <w:left w:val="nil"/>
              <w:bottom w:val="single" w:color="auto" w:sz="4" w:space="0"/>
              <w:right w:val="single" w:color="auto" w:sz="4" w:space="0"/>
            </w:tcBorders>
            <w:shd w:val="clear" w:color="auto" w:fill="FFFFFF"/>
            <w:noWrap/>
            <w:vAlign w:val="center"/>
          </w:tcPr>
          <w:p w14:paraId="79F34A9B">
            <w:pPr>
              <w:keepNext w:val="0"/>
              <w:keepLines w:val="0"/>
              <w:widowControl/>
              <w:suppressLineNumbers w:val="0"/>
              <w:jc w:val="right"/>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 xml:space="preserve">28.63 </w:t>
            </w:r>
          </w:p>
        </w:tc>
        <w:tc>
          <w:tcPr>
            <w:tcW w:w="1116" w:type="dxa"/>
            <w:tcBorders>
              <w:top w:val="nil"/>
              <w:left w:val="nil"/>
              <w:bottom w:val="single" w:color="auto" w:sz="4" w:space="0"/>
              <w:right w:val="single" w:color="auto" w:sz="4" w:space="0"/>
            </w:tcBorders>
            <w:shd w:val="clear" w:color="auto" w:fill="auto"/>
            <w:noWrap/>
            <w:vAlign w:val="center"/>
          </w:tcPr>
          <w:p w14:paraId="5B7D289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13677E7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4750ACE">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379B31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0D2957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2B2059E">
            <w:pPr>
              <w:jc w:val="right"/>
              <w:rPr>
                <w:rFonts w:hint="eastAsia" w:ascii="仿宋" w:hAnsi="仿宋" w:eastAsia="仿宋" w:cs="仿宋"/>
                <w:color w:val="000000"/>
                <w:kern w:val="0"/>
                <w:sz w:val="20"/>
                <w:szCs w:val="20"/>
              </w:rPr>
            </w:pPr>
          </w:p>
        </w:tc>
      </w:tr>
      <w:tr w14:paraId="6EEB17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7B817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14:paraId="4563815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ED78597">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3E413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1E5DF79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11B9CFA">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7.19 </w:t>
            </w:r>
          </w:p>
        </w:tc>
        <w:tc>
          <w:tcPr>
            <w:tcW w:w="1217" w:type="dxa"/>
            <w:tcBorders>
              <w:top w:val="nil"/>
              <w:left w:val="nil"/>
              <w:bottom w:val="single" w:color="auto" w:sz="4" w:space="0"/>
              <w:right w:val="single" w:color="auto" w:sz="4" w:space="0"/>
            </w:tcBorders>
            <w:shd w:val="clear" w:color="auto" w:fill="auto"/>
            <w:noWrap/>
            <w:vAlign w:val="center"/>
          </w:tcPr>
          <w:p w14:paraId="42DCC0A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5D8163C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9A1F2E0">
            <w:pPr>
              <w:jc w:val="right"/>
              <w:rPr>
                <w:rFonts w:hint="eastAsia" w:ascii="仿宋" w:hAnsi="仿宋" w:eastAsia="仿宋" w:cs="仿宋"/>
                <w:color w:val="000000"/>
                <w:kern w:val="0"/>
                <w:sz w:val="20"/>
                <w:szCs w:val="20"/>
              </w:rPr>
            </w:pPr>
          </w:p>
        </w:tc>
      </w:tr>
      <w:tr w14:paraId="17B197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78D7A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14:paraId="497E0D4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825B295">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2.61 </w:t>
            </w:r>
          </w:p>
        </w:tc>
        <w:tc>
          <w:tcPr>
            <w:tcW w:w="1116" w:type="dxa"/>
            <w:tcBorders>
              <w:top w:val="nil"/>
              <w:left w:val="nil"/>
              <w:bottom w:val="single" w:color="auto" w:sz="4" w:space="0"/>
              <w:right w:val="single" w:color="auto" w:sz="4" w:space="0"/>
            </w:tcBorders>
            <w:shd w:val="clear" w:color="auto" w:fill="auto"/>
            <w:noWrap/>
            <w:vAlign w:val="center"/>
          </w:tcPr>
          <w:p w14:paraId="0F5A78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5C2328E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0094145">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1F3BB70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68345F0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DCDDD98">
            <w:pPr>
              <w:jc w:val="right"/>
              <w:rPr>
                <w:rFonts w:hint="eastAsia" w:ascii="仿宋" w:hAnsi="仿宋" w:eastAsia="仿宋" w:cs="仿宋"/>
                <w:color w:val="000000"/>
                <w:kern w:val="0"/>
                <w:sz w:val="20"/>
                <w:szCs w:val="20"/>
              </w:rPr>
            </w:pPr>
          </w:p>
        </w:tc>
      </w:tr>
      <w:tr w14:paraId="04C0F5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00207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14:paraId="3043301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5BC21B75">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57.48 </w:t>
            </w:r>
          </w:p>
        </w:tc>
        <w:tc>
          <w:tcPr>
            <w:tcW w:w="1116" w:type="dxa"/>
            <w:tcBorders>
              <w:top w:val="nil"/>
              <w:left w:val="nil"/>
              <w:bottom w:val="single" w:color="auto" w:sz="4" w:space="0"/>
              <w:right w:val="single" w:color="auto" w:sz="4" w:space="0"/>
            </w:tcBorders>
            <w:shd w:val="clear" w:color="auto" w:fill="auto"/>
            <w:noWrap/>
            <w:vAlign w:val="center"/>
          </w:tcPr>
          <w:p w14:paraId="51F69DD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21E70B2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98558FF">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7BA4F0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03617995">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B32B2B0">
            <w:pPr>
              <w:jc w:val="right"/>
              <w:rPr>
                <w:rFonts w:hint="eastAsia" w:ascii="仿宋" w:hAnsi="仿宋" w:eastAsia="仿宋" w:cs="仿宋"/>
                <w:color w:val="000000"/>
                <w:kern w:val="0"/>
                <w:sz w:val="20"/>
                <w:szCs w:val="20"/>
              </w:rPr>
            </w:pPr>
          </w:p>
        </w:tc>
      </w:tr>
      <w:tr w14:paraId="3666DF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27F19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14:paraId="0929045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FD0526F">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45A6DC2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5FCEB97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50B7C36">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11D16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729C892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82B70D2">
            <w:pPr>
              <w:jc w:val="right"/>
              <w:rPr>
                <w:rFonts w:hint="eastAsia" w:ascii="仿宋" w:hAnsi="仿宋" w:eastAsia="仿宋" w:cs="仿宋"/>
                <w:color w:val="000000"/>
                <w:kern w:val="0"/>
                <w:sz w:val="20"/>
                <w:szCs w:val="20"/>
              </w:rPr>
            </w:pPr>
          </w:p>
        </w:tc>
      </w:tr>
      <w:tr w14:paraId="617F7E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EE754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14:paraId="6D319E2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4F28B60">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9FD58D">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489C687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81A7438">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33480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79696F5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3C9F90E">
            <w:pPr>
              <w:jc w:val="right"/>
              <w:rPr>
                <w:rFonts w:hint="eastAsia" w:ascii="仿宋" w:hAnsi="仿宋" w:eastAsia="仿宋" w:cs="仿宋"/>
                <w:color w:val="000000"/>
                <w:kern w:val="0"/>
                <w:sz w:val="20"/>
                <w:szCs w:val="20"/>
              </w:rPr>
            </w:pPr>
          </w:p>
        </w:tc>
      </w:tr>
      <w:tr w14:paraId="133E78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EB8BD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14:paraId="6F1D8AF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0A86EB72">
            <w:pPr>
              <w:jc w:val="right"/>
              <w:rPr>
                <w:rFonts w:hint="eastAsia" w:ascii="仿宋" w:hAnsi="仿宋" w:eastAsia="仿宋" w:cs="仿宋"/>
                <w:i w:val="0"/>
                <w:iCs w:val="0"/>
                <w:color w:val="000000"/>
                <w:kern w:val="2"/>
                <w:sz w:val="20"/>
                <w:szCs w:val="20"/>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092E41E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4A34B65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0DB1DAA">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0.49 </w:t>
            </w:r>
          </w:p>
        </w:tc>
        <w:tc>
          <w:tcPr>
            <w:tcW w:w="1217" w:type="dxa"/>
            <w:tcBorders>
              <w:top w:val="nil"/>
              <w:left w:val="nil"/>
              <w:bottom w:val="single" w:color="auto" w:sz="4" w:space="0"/>
              <w:right w:val="single" w:color="auto" w:sz="4" w:space="0"/>
            </w:tcBorders>
            <w:shd w:val="clear" w:color="auto" w:fill="auto"/>
            <w:noWrap/>
            <w:vAlign w:val="center"/>
          </w:tcPr>
          <w:p w14:paraId="5462FFA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369D950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0FCB46F">
            <w:pPr>
              <w:jc w:val="right"/>
              <w:rPr>
                <w:rFonts w:hint="eastAsia" w:ascii="仿宋" w:hAnsi="仿宋" w:eastAsia="仿宋" w:cs="仿宋"/>
                <w:color w:val="000000"/>
                <w:kern w:val="0"/>
                <w:sz w:val="20"/>
                <w:szCs w:val="20"/>
              </w:rPr>
            </w:pPr>
          </w:p>
        </w:tc>
      </w:tr>
      <w:tr w14:paraId="12F4E0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55693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14:paraId="19E830D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7449007">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FF24D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173B553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7044377">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1.40 </w:t>
            </w:r>
          </w:p>
        </w:tc>
        <w:tc>
          <w:tcPr>
            <w:tcW w:w="1217" w:type="dxa"/>
            <w:tcBorders>
              <w:top w:val="nil"/>
              <w:left w:val="nil"/>
              <w:bottom w:val="single" w:color="auto" w:sz="4" w:space="0"/>
              <w:right w:val="single" w:color="auto" w:sz="4" w:space="0"/>
            </w:tcBorders>
            <w:shd w:val="clear" w:color="auto" w:fill="auto"/>
            <w:noWrap/>
            <w:vAlign w:val="center"/>
          </w:tcPr>
          <w:p w14:paraId="3D8E227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7DCC4D3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71EF892">
            <w:pPr>
              <w:jc w:val="right"/>
              <w:rPr>
                <w:rFonts w:hint="eastAsia" w:ascii="仿宋" w:hAnsi="仿宋" w:eastAsia="仿宋" w:cs="仿宋"/>
                <w:color w:val="000000"/>
                <w:kern w:val="0"/>
                <w:sz w:val="20"/>
                <w:szCs w:val="20"/>
              </w:rPr>
            </w:pPr>
          </w:p>
        </w:tc>
      </w:tr>
      <w:tr w14:paraId="5F8D38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C571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14:paraId="0489518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73D407A">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3B3957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40008D95">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723CB3A">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4C56A12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259A812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1D28EE4">
            <w:pPr>
              <w:jc w:val="right"/>
              <w:rPr>
                <w:rFonts w:hint="eastAsia" w:ascii="仿宋" w:hAnsi="仿宋" w:eastAsia="仿宋" w:cs="仿宋"/>
                <w:color w:val="000000"/>
                <w:kern w:val="0"/>
                <w:sz w:val="20"/>
                <w:szCs w:val="20"/>
              </w:rPr>
            </w:pPr>
          </w:p>
        </w:tc>
      </w:tr>
      <w:tr w14:paraId="456993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57408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14:paraId="70E62B4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10C0CB6">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36F9BBD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286E82E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32FDE30">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F66D50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58797A3D">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90D7548">
            <w:pPr>
              <w:jc w:val="right"/>
              <w:rPr>
                <w:rFonts w:hint="eastAsia" w:ascii="仿宋" w:hAnsi="仿宋" w:eastAsia="仿宋" w:cs="仿宋"/>
                <w:color w:val="000000"/>
                <w:kern w:val="0"/>
                <w:sz w:val="20"/>
                <w:szCs w:val="20"/>
              </w:rPr>
            </w:pPr>
          </w:p>
        </w:tc>
      </w:tr>
      <w:tr w14:paraId="31EAF0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DF827C">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14:paraId="00F568F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抚恤金</w:t>
            </w:r>
          </w:p>
        </w:tc>
        <w:tc>
          <w:tcPr>
            <w:tcW w:w="966" w:type="dxa"/>
            <w:tcBorders>
              <w:top w:val="nil"/>
              <w:left w:val="nil"/>
              <w:bottom w:val="single" w:color="auto" w:sz="4" w:space="0"/>
              <w:right w:val="single" w:color="auto" w:sz="4" w:space="0"/>
            </w:tcBorders>
            <w:shd w:val="clear" w:color="auto" w:fill="FFFFFF"/>
            <w:noWrap/>
            <w:vAlign w:val="center"/>
          </w:tcPr>
          <w:p w14:paraId="0E91A459">
            <w:pPr>
              <w:jc w:val="right"/>
              <w:rPr>
                <w:rFonts w:hint="eastAsia" w:ascii="仿宋" w:hAnsi="仿宋" w:eastAsia="仿宋" w:cs="仿宋"/>
                <w:i w:val="0"/>
                <w:iCs w:val="0"/>
                <w:color w:val="000000"/>
                <w:kern w:val="2"/>
                <w:sz w:val="20"/>
                <w:szCs w:val="20"/>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7A4B00B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3294293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7D2D3BBF">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2BBF0C3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0532F3F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D6F9794">
            <w:pPr>
              <w:jc w:val="right"/>
              <w:rPr>
                <w:rFonts w:hint="eastAsia" w:ascii="仿宋" w:hAnsi="仿宋" w:eastAsia="仿宋" w:cs="仿宋"/>
                <w:color w:val="000000"/>
                <w:kern w:val="0"/>
                <w:sz w:val="20"/>
                <w:szCs w:val="20"/>
              </w:rPr>
            </w:pPr>
          </w:p>
        </w:tc>
      </w:tr>
      <w:tr w14:paraId="4A3961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DE56C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14:paraId="6D673AC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03126F6">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3AD1D5B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653F655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323A25D">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14.57 </w:t>
            </w:r>
          </w:p>
        </w:tc>
        <w:tc>
          <w:tcPr>
            <w:tcW w:w="1217" w:type="dxa"/>
            <w:tcBorders>
              <w:top w:val="nil"/>
              <w:left w:val="nil"/>
              <w:bottom w:val="single" w:color="auto" w:sz="4" w:space="0"/>
              <w:right w:val="single" w:color="auto" w:sz="4" w:space="0"/>
            </w:tcBorders>
            <w:shd w:val="clear" w:color="auto" w:fill="auto"/>
            <w:noWrap/>
            <w:vAlign w:val="center"/>
          </w:tcPr>
          <w:p w14:paraId="5A587A2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7D1F7A9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1DD299E">
            <w:pPr>
              <w:jc w:val="right"/>
              <w:rPr>
                <w:rFonts w:hint="eastAsia" w:ascii="仿宋" w:hAnsi="仿宋" w:eastAsia="仿宋" w:cs="仿宋"/>
                <w:color w:val="000000"/>
                <w:kern w:val="0"/>
                <w:sz w:val="20"/>
                <w:szCs w:val="20"/>
              </w:rPr>
            </w:pPr>
          </w:p>
        </w:tc>
      </w:tr>
      <w:tr w14:paraId="63F484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81D20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14:paraId="2E11ABF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7130128">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9FBBE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24FEEBF2">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EEFBCAA">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1.95 </w:t>
            </w:r>
          </w:p>
        </w:tc>
        <w:tc>
          <w:tcPr>
            <w:tcW w:w="1217" w:type="dxa"/>
            <w:tcBorders>
              <w:top w:val="nil"/>
              <w:left w:val="nil"/>
              <w:bottom w:val="single" w:color="auto" w:sz="4" w:space="0"/>
              <w:right w:val="single" w:color="auto" w:sz="4" w:space="0"/>
            </w:tcBorders>
            <w:shd w:val="clear" w:color="auto" w:fill="auto"/>
            <w:noWrap/>
            <w:vAlign w:val="center"/>
          </w:tcPr>
          <w:p w14:paraId="64FDFF8D">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533AD8C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47E68160">
            <w:pPr>
              <w:jc w:val="right"/>
              <w:rPr>
                <w:rFonts w:hint="eastAsia" w:ascii="仿宋" w:hAnsi="仿宋" w:eastAsia="仿宋" w:cs="仿宋"/>
                <w:color w:val="000000"/>
                <w:kern w:val="0"/>
                <w:sz w:val="20"/>
                <w:szCs w:val="20"/>
              </w:rPr>
            </w:pPr>
          </w:p>
        </w:tc>
      </w:tr>
      <w:tr w14:paraId="55F4BD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EC5F5D">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14:paraId="010A26E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3171525">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7C6100C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114A674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174B842">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18.50 </w:t>
            </w:r>
          </w:p>
        </w:tc>
        <w:tc>
          <w:tcPr>
            <w:tcW w:w="1217" w:type="dxa"/>
            <w:tcBorders>
              <w:top w:val="nil"/>
              <w:left w:val="nil"/>
              <w:bottom w:val="single" w:color="auto" w:sz="4" w:space="0"/>
              <w:right w:val="single" w:color="auto" w:sz="4" w:space="0"/>
            </w:tcBorders>
            <w:shd w:val="clear" w:color="auto" w:fill="auto"/>
            <w:noWrap/>
            <w:vAlign w:val="center"/>
          </w:tcPr>
          <w:p w14:paraId="049835C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75F0F09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5143042">
            <w:pPr>
              <w:jc w:val="right"/>
              <w:rPr>
                <w:rFonts w:hint="eastAsia" w:ascii="仿宋" w:hAnsi="仿宋" w:eastAsia="仿宋" w:cs="仿宋"/>
                <w:color w:val="000000"/>
                <w:kern w:val="0"/>
                <w:sz w:val="20"/>
                <w:szCs w:val="20"/>
              </w:rPr>
            </w:pPr>
          </w:p>
        </w:tc>
      </w:tr>
      <w:tr w14:paraId="2BD8A2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09DAD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14:paraId="4643129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617BB33">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57A6F4E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0EE70E4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4B66B73">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7.97 </w:t>
            </w:r>
          </w:p>
        </w:tc>
        <w:tc>
          <w:tcPr>
            <w:tcW w:w="1217" w:type="dxa"/>
            <w:tcBorders>
              <w:top w:val="nil"/>
              <w:left w:val="nil"/>
              <w:bottom w:val="single" w:color="auto" w:sz="4" w:space="0"/>
              <w:right w:val="single" w:color="auto" w:sz="4" w:space="0"/>
            </w:tcBorders>
            <w:shd w:val="clear" w:color="auto" w:fill="auto"/>
            <w:noWrap/>
            <w:vAlign w:val="center"/>
          </w:tcPr>
          <w:p w14:paraId="6FE60EE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56D428F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78C6C21">
            <w:pPr>
              <w:jc w:val="right"/>
              <w:rPr>
                <w:rFonts w:hint="eastAsia" w:ascii="仿宋" w:hAnsi="仿宋" w:eastAsia="仿宋" w:cs="仿宋"/>
                <w:color w:val="000000"/>
                <w:kern w:val="0"/>
                <w:sz w:val="20"/>
                <w:szCs w:val="20"/>
              </w:rPr>
            </w:pPr>
          </w:p>
        </w:tc>
      </w:tr>
      <w:tr w14:paraId="7C5A9E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F96406">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14:paraId="7E729D3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A8ECFBE">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1D4C364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06495BB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D43FC60">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2E2E5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64FCE79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51632157">
            <w:pPr>
              <w:jc w:val="right"/>
              <w:rPr>
                <w:rFonts w:hint="eastAsia" w:ascii="仿宋" w:hAnsi="仿宋" w:eastAsia="仿宋" w:cs="仿宋"/>
                <w:color w:val="000000"/>
                <w:kern w:val="0"/>
                <w:sz w:val="20"/>
                <w:szCs w:val="20"/>
              </w:rPr>
            </w:pPr>
          </w:p>
        </w:tc>
      </w:tr>
      <w:tr w14:paraId="3B788A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3BB707">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14:paraId="2CF6786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D074A4B">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1607465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7BD6DD8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44827F3">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39.99 </w:t>
            </w:r>
          </w:p>
        </w:tc>
        <w:tc>
          <w:tcPr>
            <w:tcW w:w="1217" w:type="dxa"/>
            <w:tcBorders>
              <w:top w:val="nil"/>
              <w:left w:val="nil"/>
              <w:bottom w:val="single" w:color="auto" w:sz="4" w:space="0"/>
              <w:right w:val="single" w:color="auto" w:sz="4" w:space="0"/>
            </w:tcBorders>
            <w:shd w:val="clear" w:color="auto" w:fill="auto"/>
            <w:noWrap/>
            <w:vAlign w:val="center"/>
          </w:tcPr>
          <w:p w14:paraId="3600FAFB">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0CE74F45">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B27CE55">
            <w:pPr>
              <w:jc w:val="right"/>
              <w:rPr>
                <w:rFonts w:hint="eastAsia" w:ascii="仿宋" w:hAnsi="仿宋" w:eastAsia="仿宋" w:cs="仿宋"/>
                <w:color w:val="000000"/>
                <w:kern w:val="0"/>
                <w:sz w:val="20"/>
                <w:szCs w:val="20"/>
              </w:rPr>
            </w:pPr>
          </w:p>
        </w:tc>
      </w:tr>
      <w:tr w14:paraId="622EBF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49F383">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14:paraId="3DBB424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9020630">
            <w:pPr>
              <w:jc w:val="right"/>
              <w:rPr>
                <w:rFonts w:hint="eastAsia" w:ascii="仿宋" w:hAnsi="仿宋" w:eastAsia="仿宋" w:cs="仿宋"/>
                <w:color w:val="000000"/>
                <w:kern w:val="0"/>
                <w:sz w:val="2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A66124">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6C26EDCA">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640C3F8">
            <w:pPr>
              <w:jc w:val="right"/>
              <w:rPr>
                <w:rFonts w:hint="eastAsia" w:ascii="仿宋" w:hAnsi="仿宋" w:eastAsia="仿宋" w:cs="仿宋"/>
                <w:color w:val="000000"/>
                <w:kern w:val="0"/>
                <w:sz w:val="20"/>
                <w:szCs w:val="20"/>
              </w:rPr>
            </w:pPr>
          </w:p>
        </w:tc>
        <w:tc>
          <w:tcPr>
            <w:tcW w:w="1217" w:type="dxa"/>
            <w:tcBorders>
              <w:top w:val="nil"/>
              <w:left w:val="nil"/>
              <w:bottom w:val="single" w:color="auto" w:sz="4" w:space="0"/>
              <w:right w:val="single" w:color="auto" w:sz="4" w:space="0"/>
            </w:tcBorders>
            <w:shd w:val="clear" w:color="auto" w:fill="auto"/>
            <w:noWrap/>
            <w:vAlign w:val="center"/>
          </w:tcPr>
          <w:p w14:paraId="0E14194F">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4368ADF0">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0A741A2">
            <w:pPr>
              <w:jc w:val="right"/>
              <w:rPr>
                <w:rFonts w:hint="eastAsia" w:ascii="仿宋" w:hAnsi="仿宋" w:eastAsia="仿宋" w:cs="仿宋"/>
                <w:color w:val="000000"/>
                <w:kern w:val="0"/>
                <w:sz w:val="20"/>
                <w:szCs w:val="20"/>
              </w:rPr>
            </w:pPr>
          </w:p>
        </w:tc>
      </w:tr>
      <w:tr w14:paraId="6BF16A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F5203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14:paraId="722FEE31">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35F19CD1">
            <w:pPr>
              <w:jc w:val="right"/>
              <w:rPr>
                <w:rFonts w:hint="eastAsia" w:ascii="仿宋" w:hAnsi="仿宋" w:eastAsia="仿宋" w:cs="仿宋"/>
                <w:i w:val="0"/>
                <w:iCs w:val="0"/>
                <w:color w:val="000000"/>
                <w:kern w:val="2"/>
                <w:sz w:val="20"/>
                <w:szCs w:val="20"/>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7E8B309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59FE8E2E">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266AA3B">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27.00 </w:t>
            </w:r>
          </w:p>
        </w:tc>
        <w:tc>
          <w:tcPr>
            <w:tcW w:w="1217" w:type="dxa"/>
            <w:tcBorders>
              <w:top w:val="nil"/>
              <w:left w:val="nil"/>
              <w:bottom w:val="single" w:color="auto" w:sz="4" w:space="0"/>
              <w:right w:val="single" w:color="auto" w:sz="4" w:space="0"/>
            </w:tcBorders>
            <w:shd w:val="clear" w:color="auto" w:fill="auto"/>
            <w:noWrap/>
            <w:vAlign w:val="center"/>
          </w:tcPr>
          <w:p w14:paraId="60CFF2E0">
            <w:pPr>
              <w:jc w:val="left"/>
              <w:rPr>
                <w:rFonts w:hint="eastAsia" w:ascii="仿宋" w:hAnsi="仿宋" w:eastAsia="仿宋" w:cs="仿宋"/>
                <w:color w:val="000000"/>
                <w:kern w:val="0"/>
                <w:sz w:val="20"/>
                <w:szCs w:val="20"/>
              </w:rPr>
            </w:pPr>
          </w:p>
        </w:tc>
        <w:tc>
          <w:tcPr>
            <w:tcW w:w="3517" w:type="dxa"/>
            <w:tcBorders>
              <w:top w:val="nil"/>
              <w:left w:val="nil"/>
              <w:bottom w:val="single" w:color="auto" w:sz="4" w:space="0"/>
              <w:right w:val="single" w:color="auto" w:sz="4" w:space="0"/>
            </w:tcBorders>
            <w:shd w:val="clear" w:color="auto" w:fill="auto"/>
            <w:noWrap/>
            <w:vAlign w:val="center"/>
          </w:tcPr>
          <w:p w14:paraId="4C9AB5E2">
            <w:pPr>
              <w:jc w:val="left"/>
              <w:rPr>
                <w:rFonts w:hint="eastAsia" w:ascii="仿宋" w:hAnsi="仿宋" w:eastAsia="仿宋" w:cs="仿宋"/>
                <w:color w:val="000000"/>
                <w:kern w:val="0"/>
                <w:sz w:val="20"/>
                <w:szCs w:val="20"/>
              </w:rPr>
            </w:pPr>
          </w:p>
        </w:tc>
        <w:tc>
          <w:tcPr>
            <w:tcW w:w="929" w:type="dxa"/>
            <w:tcBorders>
              <w:top w:val="nil"/>
              <w:left w:val="nil"/>
              <w:bottom w:val="single" w:color="auto" w:sz="4" w:space="0"/>
              <w:right w:val="single" w:color="auto" w:sz="4" w:space="0"/>
            </w:tcBorders>
            <w:shd w:val="clear" w:color="auto" w:fill="auto"/>
            <w:noWrap/>
            <w:vAlign w:val="center"/>
          </w:tcPr>
          <w:p w14:paraId="46944A0C">
            <w:pPr>
              <w:jc w:val="right"/>
              <w:rPr>
                <w:rFonts w:hint="eastAsia" w:ascii="仿宋" w:hAnsi="仿宋" w:eastAsia="仿宋" w:cs="仿宋"/>
                <w:color w:val="000000"/>
                <w:kern w:val="0"/>
                <w:sz w:val="20"/>
                <w:szCs w:val="20"/>
              </w:rPr>
            </w:pPr>
          </w:p>
        </w:tc>
      </w:tr>
      <w:tr w14:paraId="69B0350B">
        <w:tblPrEx>
          <w:tblCellMar>
            <w:top w:w="0" w:type="dxa"/>
            <w:left w:w="108" w:type="dxa"/>
            <w:bottom w:w="0" w:type="dxa"/>
            <w:right w:w="108" w:type="dxa"/>
          </w:tblCellMar>
        </w:tblPrEx>
        <w:trPr>
          <w:trHeight w:val="255" w:hRule="exact"/>
          <w:jc w:val="center"/>
        </w:trPr>
        <w:tc>
          <w:tcPr>
            <w:tcW w:w="3931" w:type="dxa"/>
            <w:gridSpan w:val="2"/>
            <w:tcBorders>
              <w:top w:val="nil"/>
              <w:left w:val="single" w:color="auto" w:sz="4" w:space="0"/>
              <w:bottom w:val="single" w:color="auto" w:sz="4" w:space="0"/>
              <w:right w:val="single" w:color="auto" w:sz="4" w:space="0"/>
            </w:tcBorders>
            <w:shd w:val="clear" w:color="auto" w:fill="auto"/>
            <w:noWrap/>
            <w:vAlign w:val="center"/>
          </w:tcPr>
          <w:p w14:paraId="7ED67BA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A70CCEF">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737.65 </w:t>
            </w:r>
          </w:p>
        </w:tc>
        <w:tc>
          <w:tcPr>
            <w:tcW w:w="8801" w:type="dxa"/>
            <w:gridSpan w:val="5"/>
            <w:tcBorders>
              <w:top w:val="nil"/>
              <w:left w:val="nil"/>
              <w:bottom w:val="single" w:color="auto" w:sz="4" w:space="0"/>
              <w:right w:val="single" w:color="auto" w:sz="4" w:space="0"/>
            </w:tcBorders>
            <w:shd w:val="clear" w:color="auto" w:fill="auto"/>
            <w:noWrap/>
            <w:vAlign w:val="center"/>
          </w:tcPr>
          <w:p w14:paraId="078230C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009C36B">
            <w:pPr>
              <w:keepNext w:val="0"/>
              <w:keepLines w:val="0"/>
              <w:widowControl/>
              <w:suppressLineNumbers w:val="0"/>
              <w:jc w:val="right"/>
              <w:textAlignment w:val="center"/>
              <w:rPr>
                <w:rFonts w:hint="eastAsia" w:ascii="仿宋" w:hAnsi="仿宋" w:eastAsia="仿宋" w:cs="仿宋"/>
                <w:color w:val="000000"/>
                <w:kern w:val="0"/>
                <w:sz w:val="20"/>
                <w:szCs w:val="20"/>
              </w:rPr>
            </w:pPr>
            <w:r>
              <w:rPr>
                <w:rFonts w:hint="eastAsia" w:ascii="仿宋" w:hAnsi="仿宋" w:eastAsia="仿宋" w:cs="仿宋"/>
                <w:i w:val="0"/>
                <w:color w:val="000000"/>
                <w:kern w:val="0"/>
                <w:sz w:val="20"/>
                <w:szCs w:val="20"/>
                <w:u w:val="none"/>
                <w:lang w:val="en-US" w:eastAsia="zh-CN" w:bidi="ar"/>
              </w:rPr>
              <w:t xml:space="preserve">124.68 </w:t>
            </w:r>
          </w:p>
        </w:tc>
      </w:tr>
    </w:tbl>
    <w:p w14:paraId="62D93BA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E4055C2">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7FA18D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1C0DF5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B598C2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78D86E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A0D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3D2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83A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CC6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E69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98B533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613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E81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7838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AD22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E28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0A7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CEF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D3AC">
            <w:pPr>
              <w:widowControl/>
              <w:jc w:val="center"/>
              <w:rPr>
                <w:rFonts w:ascii="Times New Roman" w:hAnsi="Times New Roman" w:eastAsia="仿宋_GB2312" w:cs="Times New Roman"/>
                <w:color w:val="000000"/>
                <w:sz w:val="24"/>
                <w:szCs w:val="24"/>
              </w:rPr>
            </w:pPr>
          </w:p>
        </w:tc>
      </w:tr>
      <w:tr w14:paraId="7080CBF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5512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85D0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B09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3AB8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6538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7130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C789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B86E9">
            <w:pPr>
              <w:jc w:val="center"/>
              <w:rPr>
                <w:rFonts w:ascii="Times New Roman" w:hAnsi="Times New Roman" w:eastAsia="仿宋_GB2312" w:cs="Times New Roman"/>
                <w:color w:val="000000"/>
                <w:sz w:val="24"/>
                <w:szCs w:val="24"/>
              </w:rPr>
            </w:pPr>
          </w:p>
        </w:tc>
      </w:tr>
      <w:tr w14:paraId="011F30F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7CD6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EB36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6E10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5A61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E595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6A70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CA9F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DE81">
            <w:pPr>
              <w:jc w:val="center"/>
              <w:rPr>
                <w:rFonts w:ascii="Times New Roman" w:hAnsi="Times New Roman" w:eastAsia="仿宋_GB2312" w:cs="Times New Roman"/>
                <w:color w:val="000000"/>
                <w:sz w:val="24"/>
                <w:szCs w:val="24"/>
              </w:rPr>
            </w:pPr>
          </w:p>
        </w:tc>
      </w:tr>
      <w:tr w14:paraId="1EE48CE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7A5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F9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C5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9D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D2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88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80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45CC36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7F8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62E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B2C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7F6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64E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44D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11D6">
            <w:pPr>
              <w:jc w:val="center"/>
              <w:rPr>
                <w:rFonts w:ascii="Times New Roman" w:hAnsi="Times New Roman" w:eastAsia="仿宋_GB2312" w:cs="Times New Roman"/>
                <w:color w:val="000000"/>
                <w:sz w:val="24"/>
                <w:szCs w:val="24"/>
              </w:rPr>
            </w:pPr>
          </w:p>
        </w:tc>
      </w:tr>
      <w:tr w14:paraId="70BF815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C003">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179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E2B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D7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12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B4C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9D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3CB0">
            <w:pPr>
              <w:rPr>
                <w:rFonts w:ascii="Times New Roman" w:hAnsi="Times New Roman" w:eastAsia="仿宋_GB2312" w:cs="Times New Roman"/>
                <w:color w:val="000000"/>
                <w:sz w:val="24"/>
                <w:szCs w:val="24"/>
              </w:rPr>
            </w:pPr>
          </w:p>
        </w:tc>
      </w:tr>
      <w:tr w14:paraId="45AEDA8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81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56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863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45D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15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8E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50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4952">
            <w:pPr>
              <w:rPr>
                <w:rFonts w:ascii="Times New Roman" w:hAnsi="Times New Roman" w:eastAsia="仿宋_GB2312" w:cs="Times New Roman"/>
                <w:color w:val="000000"/>
                <w:sz w:val="24"/>
                <w:szCs w:val="24"/>
              </w:rPr>
            </w:pPr>
          </w:p>
        </w:tc>
      </w:tr>
      <w:tr w14:paraId="5349368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436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4D5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0C0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30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537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51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26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7E92">
            <w:pPr>
              <w:rPr>
                <w:rFonts w:ascii="Times New Roman" w:hAnsi="Times New Roman" w:eastAsia="仿宋_GB2312" w:cs="Times New Roman"/>
                <w:color w:val="000000"/>
                <w:sz w:val="24"/>
                <w:szCs w:val="24"/>
              </w:rPr>
            </w:pPr>
          </w:p>
        </w:tc>
      </w:tr>
      <w:tr w14:paraId="0C9633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F3A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E8C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8C0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C6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46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75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230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383F">
            <w:pPr>
              <w:rPr>
                <w:rFonts w:ascii="Times New Roman" w:hAnsi="Times New Roman" w:eastAsia="仿宋_GB2312" w:cs="Times New Roman"/>
                <w:color w:val="000000"/>
                <w:sz w:val="24"/>
                <w:szCs w:val="24"/>
              </w:rPr>
            </w:pPr>
          </w:p>
        </w:tc>
      </w:tr>
      <w:tr w14:paraId="6064027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AF9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A9B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D8E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5DB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04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5E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4D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4250">
            <w:pPr>
              <w:rPr>
                <w:rFonts w:ascii="Times New Roman" w:hAnsi="Times New Roman" w:eastAsia="仿宋_GB2312" w:cs="Times New Roman"/>
                <w:color w:val="000000"/>
                <w:sz w:val="24"/>
                <w:szCs w:val="24"/>
              </w:rPr>
            </w:pPr>
          </w:p>
        </w:tc>
      </w:tr>
      <w:tr w14:paraId="0523892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6F4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EC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DAE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B49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993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13F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0C2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F47C">
            <w:pPr>
              <w:rPr>
                <w:rFonts w:ascii="Times New Roman" w:hAnsi="Times New Roman" w:eastAsia="仿宋_GB2312" w:cs="Times New Roman"/>
                <w:color w:val="000000"/>
                <w:sz w:val="24"/>
                <w:szCs w:val="24"/>
              </w:rPr>
            </w:pPr>
          </w:p>
        </w:tc>
      </w:tr>
    </w:tbl>
    <w:p w14:paraId="6379981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50A642B">
      <w:pPr>
        <w:widowControl/>
        <w:jc w:val="left"/>
        <w:textAlignment w:val="center"/>
        <w:rPr>
          <w:rFonts w:ascii="Times New Roman" w:hAnsi="Times New Roman" w:eastAsia="仿宋_GB2312" w:cs="Times New Roman"/>
          <w:color w:val="000000"/>
          <w:kern w:val="0"/>
          <w:sz w:val="24"/>
          <w:szCs w:val="24"/>
          <w:lang w:bidi="ar"/>
        </w:rPr>
      </w:pPr>
    </w:p>
    <w:p w14:paraId="7529693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CCB8836">
      <w:pPr>
        <w:widowControl/>
        <w:jc w:val="center"/>
        <w:rPr>
          <w:rFonts w:ascii="Times New Roman" w:hAnsi="Times New Roman" w:eastAsia="方正小标宋_GBK" w:cs="Times New Roman"/>
          <w:color w:val="000000"/>
          <w:kern w:val="0"/>
          <w:sz w:val="36"/>
          <w:szCs w:val="36"/>
        </w:rPr>
      </w:pPr>
    </w:p>
    <w:p w14:paraId="4AEBAB20">
      <w:pPr>
        <w:widowControl/>
        <w:spacing w:line="400" w:lineRule="exact"/>
        <w:textAlignment w:val="center"/>
        <w:rPr>
          <w:rFonts w:ascii="Times New Roman" w:hAnsi="Times New Roman" w:eastAsia="黑体" w:cs="Times New Roman"/>
          <w:color w:val="000000"/>
          <w:kern w:val="0"/>
          <w:sz w:val="36"/>
          <w:szCs w:val="36"/>
          <w:lang w:bidi="ar"/>
        </w:rPr>
      </w:pPr>
    </w:p>
    <w:p w14:paraId="13D52E6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643C22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F54120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01A2D2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2DF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E0F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69117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1C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C86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7FA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CE9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53F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74C2956">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134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91CC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771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84B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D12C4">
            <w:pPr>
              <w:jc w:val="center"/>
              <w:rPr>
                <w:rFonts w:ascii="Times New Roman" w:hAnsi="Times New Roman" w:eastAsia="仿宋_GB2312" w:cs="Times New Roman"/>
                <w:color w:val="000000"/>
                <w:sz w:val="24"/>
                <w:szCs w:val="24"/>
              </w:rPr>
            </w:pPr>
          </w:p>
        </w:tc>
      </w:tr>
      <w:tr w14:paraId="3D7E47C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1B4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13BB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3476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541B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0D6E7">
            <w:pPr>
              <w:jc w:val="center"/>
              <w:rPr>
                <w:rFonts w:ascii="Times New Roman" w:hAnsi="Times New Roman" w:eastAsia="仿宋_GB2312" w:cs="Times New Roman"/>
                <w:color w:val="000000"/>
                <w:sz w:val="24"/>
                <w:szCs w:val="24"/>
              </w:rPr>
            </w:pPr>
          </w:p>
        </w:tc>
      </w:tr>
      <w:tr w14:paraId="348E87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499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AB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F3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E0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0BC237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996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AA2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114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6C64">
            <w:pPr>
              <w:jc w:val="center"/>
              <w:rPr>
                <w:rFonts w:ascii="Times New Roman" w:hAnsi="Times New Roman" w:eastAsia="仿宋_GB2312" w:cs="Times New Roman"/>
                <w:color w:val="000000"/>
                <w:sz w:val="24"/>
                <w:szCs w:val="24"/>
              </w:rPr>
            </w:pPr>
          </w:p>
        </w:tc>
      </w:tr>
      <w:tr w14:paraId="622C7DE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6D4AA">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3749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12E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1D6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9163">
            <w:pPr>
              <w:rPr>
                <w:rFonts w:ascii="Times New Roman" w:hAnsi="Times New Roman" w:eastAsia="仿宋_GB2312" w:cs="Times New Roman"/>
                <w:color w:val="000000"/>
                <w:sz w:val="24"/>
                <w:szCs w:val="24"/>
              </w:rPr>
            </w:pPr>
          </w:p>
        </w:tc>
      </w:tr>
      <w:tr w14:paraId="3BA15BE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7C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A3F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CD0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3A6E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C7A6">
            <w:pPr>
              <w:rPr>
                <w:rFonts w:ascii="Times New Roman" w:hAnsi="Times New Roman" w:eastAsia="仿宋_GB2312" w:cs="Times New Roman"/>
                <w:color w:val="000000"/>
                <w:sz w:val="24"/>
                <w:szCs w:val="24"/>
              </w:rPr>
            </w:pPr>
          </w:p>
        </w:tc>
      </w:tr>
      <w:tr w14:paraId="3E20415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699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BE1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7D0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A84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8D219">
            <w:pPr>
              <w:rPr>
                <w:rFonts w:ascii="Times New Roman" w:hAnsi="Times New Roman" w:eastAsia="宋体" w:cs="Times New Roman"/>
                <w:color w:val="000000"/>
                <w:sz w:val="24"/>
                <w:szCs w:val="24"/>
              </w:rPr>
            </w:pPr>
          </w:p>
        </w:tc>
      </w:tr>
      <w:tr w14:paraId="3BD04AE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A08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5ED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31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352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952C">
            <w:pPr>
              <w:rPr>
                <w:rFonts w:ascii="Times New Roman" w:hAnsi="Times New Roman" w:eastAsia="宋体" w:cs="Times New Roman"/>
                <w:color w:val="000000"/>
                <w:sz w:val="24"/>
                <w:szCs w:val="24"/>
              </w:rPr>
            </w:pPr>
          </w:p>
        </w:tc>
      </w:tr>
      <w:tr w14:paraId="1ED9547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DAE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DA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0BA6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E485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1A4E">
            <w:pPr>
              <w:rPr>
                <w:rFonts w:ascii="Times New Roman" w:hAnsi="Times New Roman" w:eastAsia="宋体" w:cs="Times New Roman"/>
                <w:color w:val="000000"/>
                <w:sz w:val="24"/>
                <w:szCs w:val="24"/>
              </w:rPr>
            </w:pPr>
          </w:p>
        </w:tc>
      </w:tr>
      <w:tr w14:paraId="0204113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A312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C62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CD9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6D37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C5806">
            <w:pPr>
              <w:rPr>
                <w:rFonts w:ascii="Times New Roman" w:hAnsi="Times New Roman" w:eastAsia="宋体" w:cs="Times New Roman"/>
                <w:color w:val="000000"/>
                <w:sz w:val="24"/>
                <w:szCs w:val="24"/>
              </w:rPr>
            </w:pPr>
          </w:p>
        </w:tc>
      </w:tr>
    </w:tbl>
    <w:p w14:paraId="5C356E1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CC625DE">
      <w:pPr>
        <w:widowControl/>
        <w:jc w:val="left"/>
        <w:textAlignment w:val="center"/>
        <w:rPr>
          <w:rFonts w:ascii="Times New Roman" w:hAnsi="Times New Roman" w:eastAsia="宋体" w:cs="Times New Roman"/>
          <w:color w:val="000000"/>
          <w:kern w:val="0"/>
          <w:sz w:val="24"/>
          <w:szCs w:val="24"/>
          <w:lang w:bidi="ar"/>
        </w:rPr>
      </w:pPr>
    </w:p>
    <w:p w14:paraId="618EF50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A02E132">
      <w:pPr>
        <w:widowControl/>
        <w:jc w:val="center"/>
        <w:rPr>
          <w:rFonts w:ascii="Times New Roman" w:hAnsi="Times New Roman" w:eastAsia="方正小标宋_GBK" w:cs="Times New Roman"/>
          <w:color w:val="000000"/>
          <w:kern w:val="0"/>
          <w:sz w:val="36"/>
          <w:szCs w:val="36"/>
        </w:rPr>
      </w:pPr>
    </w:p>
    <w:p w14:paraId="6BF997C5">
      <w:pPr>
        <w:pStyle w:val="7"/>
        <w:spacing w:line="400" w:lineRule="exact"/>
        <w:rPr>
          <w:rFonts w:ascii="Times New Roman" w:hAnsi="Times New Roman" w:eastAsia="华文中宋" w:cs="Times New Roman"/>
          <w:color w:val="000000"/>
          <w:kern w:val="0"/>
          <w:sz w:val="32"/>
          <w:szCs w:val="32"/>
          <w:lang w:bidi="ar"/>
        </w:rPr>
      </w:pPr>
    </w:p>
    <w:p w14:paraId="04479B5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B4D1AB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D5E023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中国共产党永州市委员会政法委员会</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78058C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7BAE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2801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3387C5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85F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CD6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E61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BD0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213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10E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274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99D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8AA1CC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B22B">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6074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E3D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177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1F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7F52C">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9F61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E74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F22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FC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AB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B61B1">
            <w:pPr>
              <w:jc w:val="center"/>
              <w:rPr>
                <w:rFonts w:ascii="Times New Roman" w:hAnsi="Times New Roman" w:eastAsia="仿宋_GB2312" w:cs="Times New Roman"/>
                <w:color w:val="000000"/>
                <w:sz w:val="22"/>
              </w:rPr>
            </w:pPr>
          </w:p>
        </w:tc>
      </w:tr>
      <w:tr w14:paraId="7281841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2C2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67E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D4A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09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6C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54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70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7A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A9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B89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3E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8B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82D1599">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A4FC">
            <w:pPr>
              <w:keepNext w:val="0"/>
              <w:keepLines w:val="0"/>
              <w:widowControl/>
              <w:suppressLineNumbers w:val="0"/>
              <w:jc w:val="right"/>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 xml:space="preserve">5.00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43BA">
            <w:pPr>
              <w:jc w:val="right"/>
              <w:rPr>
                <w:rFonts w:hint="eastAsia" w:ascii="仿宋" w:hAnsi="仿宋" w:eastAsia="仿宋" w:cs="仿宋"/>
                <w:color w:val="000000"/>
                <w:sz w:val="20"/>
                <w:szCs w:val="20"/>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7BBA">
            <w:pPr>
              <w:jc w:val="right"/>
              <w:rPr>
                <w:rFonts w:hint="eastAsia" w:ascii="仿宋" w:hAnsi="仿宋" w:eastAsia="仿宋" w:cs="仿宋"/>
                <w:color w:val="000000"/>
                <w:sz w:val="20"/>
                <w:szCs w:val="20"/>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DD14">
            <w:pPr>
              <w:jc w:val="right"/>
              <w:rPr>
                <w:rFonts w:hint="eastAsia" w:ascii="仿宋" w:hAnsi="仿宋" w:eastAsia="仿宋" w:cs="仿宋"/>
                <w:color w:val="000000"/>
                <w:sz w:val="20"/>
                <w:szCs w:val="20"/>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D6D9">
            <w:pPr>
              <w:jc w:val="right"/>
              <w:rPr>
                <w:rFonts w:hint="eastAsia" w:ascii="仿宋" w:hAnsi="仿宋" w:eastAsia="仿宋" w:cs="仿宋"/>
                <w:color w:val="000000"/>
                <w:sz w:val="20"/>
                <w:szCs w:val="20"/>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4E08">
            <w:pPr>
              <w:keepNext w:val="0"/>
              <w:keepLines w:val="0"/>
              <w:widowControl/>
              <w:suppressLineNumbers w:val="0"/>
              <w:jc w:val="right"/>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 xml:space="preserve">5.00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E64C">
            <w:pPr>
              <w:keepNext w:val="0"/>
              <w:keepLines w:val="0"/>
              <w:widowControl/>
              <w:suppressLineNumbers w:val="0"/>
              <w:jc w:val="right"/>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 xml:space="preserve">1.40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E2FB">
            <w:pPr>
              <w:jc w:val="right"/>
              <w:rPr>
                <w:rFonts w:hint="eastAsia" w:ascii="仿宋" w:hAnsi="仿宋" w:eastAsia="仿宋" w:cs="仿宋"/>
                <w:color w:val="000000"/>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0216">
            <w:pPr>
              <w:jc w:val="right"/>
              <w:rPr>
                <w:rFonts w:hint="eastAsia" w:ascii="仿宋" w:hAnsi="仿宋" w:eastAsia="仿宋" w:cs="仿宋"/>
                <w:color w:val="000000"/>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647B">
            <w:pPr>
              <w:jc w:val="right"/>
              <w:rPr>
                <w:rFonts w:hint="eastAsia" w:ascii="仿宋" w:hAnsi="仿宋" w:eastAsia="仿宋" w:cs="仿宋"/>
                <w:color w:val="000000"/>
                <w:sz w:val="20"/>
                <w:szCs w:val="20"/>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BBA5">
            <w:pPr>
              <w:jc w:val="right"/>
              <w:rPr>
                <w:rFonts w:hint="eastAsia" w:ascii="仿宋" w:hAnsi="仿宋" w:eastAsia="仿宋" w:cs="仿宋"/>
                <w:color w:val="000000"/>
                <w:sz w:val="20"/>
                <w:szCs w:val="20"/>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EF3A">
            <w:pPr>
              <w:keepNext w:val="0"/>
              <w:keepLines w:val="0"/>
              <w:widowControl/>
              <w:suppressLineNumbers w:val="0"/>
              <w:jc w:val="right"/>
              <w:textAlignment w:val="center"/>
              <w:rPr>
                <w:rFonts w:hint="eastAsia" w:ascii="仿宋" w:hAnsi="仿宋" w:eastAsia="仿宋" w:cs="仿宋"/>
                <w:color w:val="000000"/>
                <w:sz w:val="20"/>
                <w:szCs w:val="20"/>
              </w:rPr>
            </w:pPr>
            <w:r>
              <w:rPr>
                <w:rFonts w:hint="eastAsia" w:ascii="仿宋" w:hAnsi="仿宋" w:eastAsia="仿宋" w:cs="仿宋"/>
                <w:i w:val="0"/>
                <w:color w:val="000000"/>
                <w:kern w:val="0"/>
                <w:sz w:val="20"/>
                <w:szCs w:val="20"/>
                <w:u w:val="none"/>
                <w:lang w:val="en-US" w:eastAsia="zh-CN" w:bidi="ar"/>
              </w:rPr>
              <w:t xml:space="preserve">1.40 </w:t>
            </w:r>
          </w:p>
        </w:tc>
      </w:tr>
    </w:tbl>
    <w:p w14:paraId="7AB01EA4">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643545">
      <w:pPr>
        <w:autoSpaceDE w:val="0"/>
        <w:autoSpaceDN w:val="0"/>
        <w:adjustRightInd w:val="0"/>
        <w:ind w:left="315" w:leftChars="150"/>
        <w:jc w:val="left"/>
        <w:rPr>
          <w:rFonts w:ascii="Times New Roman" w:hAnsi="Times New Roman" w:eastAsia="宋体" w:cs="Times New Roman"/>
          <w:kern w:val="0"/>
          <w:sz w:val="24"/>
          <w:szCs w:val="24"/>
        </w:rPr>
      </w:pPr>
    </w:p>
    <w:p w14:paraId="34E41734">
      <w:pPr>
        <w:autoSpaceDE w:val="0"/>
        <w:autoSpaceDN w:val="0"/>
        <w:adjustRightInd w:val="0"/>
        <w:ind w:left="315" w:leftChars="150"/>
        <w:jc w:val="left"/>
        <w:rPr>
          <w:rFonts w:ascii="Times New Roman" w:hAnsi="Times New Roman" w:eastAsia="宋体" w:cs="Times New Roman"/>
          <w:kern w:val="0"/>
          <w:sz w:val="24"/>
          <w:szCs w:val="24"/>
        </w:rPr>
      </w:pPr>
    </w:p>
    <w:p w14:paraId="7C5F47C1">
      <w:pPr>
        <w:autoSpaceDE w:val="0"/>
        <w:autoSpaceDN w:val="0"/>
        <w:adjustRightInd w:val="0"/>
        <w:ind w:left="315" w:leftChars="150"/>
        <w:jc w:val="left"/>
        <w:rPr>
          <w:rFonts w:ascii="Times New Roman" w:hAnsi="Times New Roman" w:eastAsia="宋体" w:cs="Times New Roman"/>
          <w:kern w:val="0"/>
          <w:sz w:val="24"/>
          <w:szCs w:val="24"/>
        </w:rPr>
      </w:pPr>
    </w:p>
    <w:p w14:paraId="6BF8F119">
      <w:pPr>
        <w:autoSpaceDE w:val="0"/>
        <w:autoSpaceDN w:val="0"/>
        <w:adjustRightInd w:val="0"/>
        <w:ind w:left="315" w:leftChars="150"/>
        <w:jc w:val="left"/>
        <w:rPr>
          <w:rFonts w:ascii="Times New Roman" w:hAnsi="Times New Roman" w:eastAsia="宋体" w:cs="Times New Roman"/>
          <w:kern w:val="0"/>
          <w:sz w:val="24"/>
          <w:szCs w:val="24"/>
        </w:rPr>
      </w:pPr>
    </w:p>
    <w:p w14:paraId="579C9D26">
      <w:pPr>
        <w:autoSpaceDE w:val="0"/>
        <w:autoSpaceDN w:val="0"/>
        <w:adjustRightInd w:val="0"/>
        <w:ind w:left="315" w:leftChars="150"/>
        <w:jc w:val="left"/>
        <w:rPr>
          <w:rFonts w:ascii="Times New Roman" w:hAnsi="Times New Roman" w:eastAsia="宋体" w:cs="Times New Roman"/>
          <w:kern w:val="0"/>
          <w:sz w:val="24"/>
          <w:szCs w:val="24"/>
        </w:rPr>
      </w:pPr>
    </w:p>
    <w:p w14:paraId="19A0298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BFF3A45">
      <w:pPr>
        <w:pStyle w:val="13"/>
        <w:rPr>
          <w:rFonts w:ascii="Times New Roman" w:hAnsi="Times New Roman" w:cs="Times New Roman"/>
          <w:sz w:val="72"/>
          <w:szCs w:val="72"/>
        </w:rPr>
      </w:pPr>
    </w:p>
    <w:p w14:paraId="0C4B0DF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A87530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5F134EE">
      <w:pPr>
        <w:pStyle w:val="13"/>
        <w:spacing w:line="360" w:lineRule="auto"/>
        <w:jc w:val="center"/>
        <w:rPr>
          <w:rFonts w:ascii="Times New Roman" w:hAnsi="Times New Roman" w:eastAsia="方正小标宋_GBK" w:cs="Times New Roman"/>
          <w:sz w:val="52"/>
          <w:szCs w:val="52"/>
        </w:rPr>
      </w:pPr>
    </w:p>
    <w:p w14:paraId="6C2EC5D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F7A2B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996.04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增加95.47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上升</w:t>
      </w:r>
      <w:r>
        <w:rPr>
          <w:rFonts w:hint="eastAsia" w:ascii="仿宋_GB2312" w:eastAsia="仿宋_GB2312" w:cs="仿宋_GB2312"/>
          <w:sz w:val="32"/>
          <w:szCs w:val="32"/>
          <w:highlight w:val="none"/>
          <w:lang w:val="en-US" w:eastAsia="zh-CN" w:bidi="ar"/>
        </w:rPr>
        <w:t>10.60</w:t>
      </w:r>
      <w:r>
        <w:rPr>
          <w:rFonts w:hint="eastAsia" w:ascii="Times New Roman" w:hAnsi="Times New Roman" w:eastAsia="仿宋_GB2312"/>
          <w:sz w:val="32"/>
          <w:szCs w:val="32"/>
        </w:rPr>
        <w:t>%，主要是因为</w:t>
      </w:r>
      <w:r>
        <w:rPr>
          <w:rFonts w:hint="eastAsia" w:ascii="仿宋_GB2312" w:eastAsia="仿宋_GB2312" w:cs="仿宋_GB2312"/>
          <w:sz w:val="32"/>
          <w:szCs w:val="32"/>
          <w:highlight w:val="none"/>
          <w:lang w:val="en-US" w:eastAsia="zh-CN" w:bidi="ar"/>
        </w:rPr>
        <w:t>增加了人员经费与公用经费收入。</w:t>
      </w:r>
    </w:p>
    <w:p w14:paraId="242A7CE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996.04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增加95.47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上升</w:t>
      </w:r>
      <w:r>
        <w:rPr>
          <w:rFonts w:hint="eastAsia" w:ascii="仿宋_GB2312" w:eastAsia="仿宋_GB2312" w:cs="仿宋_GB2312"/>
          <w:sz w:val="32"/>
          <w:szCs w:val="32"/>
          <w:highlight w:val="none"/>
          <w:lang w:val="en-US" w:eastAsia="zh-CN" w:bidi="ar"/>
        </w:rPr>
        <w:t>10.60</w:t>
      </w:r>
      <w:r>
        <w:rPr>
          <w:rFonts w:hint="eastAsia" w:ascii="Times New Roman" w:hAnsi="Times New Roman" w:eastAsia="仿宋_GB2312"/>
          <w:sz w:val="32"/>
          <w:szCs w:val="32"/>
        </w:rPr>
        <w:t>%，主要是因为</w:t>
      </w:r>
      <w:r>
        <w:rPr>
          <w:rFonts w:hint="eastAsia" w:ascii="仿宋_GB2312" w:eastAsia="仿宋_GB2312" w:cs="仿宋_GB2312"/>
          <w:sz w:val="32"/>
          <w:szCs w:val="32"/>
          <w:highlight w:val="none"/>
          <w:lang w:val="en-US" w:eastAsia="zh-CN" w:bidi="ar"/>
        </w:rPr>
        <w:t>增加了人员经费与公用经费支出。</w:t>
      </w:r>
    </w:p>
    <w:p w14:paraId="4F5A6A9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7BEF46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sz w:val="32"/>
          <w:szCs w:val="32"/>
          <w:lang w:val="en-US" w:eastAsia="zh-CN"/>
        </w:rPr>
        <w:t>996.04</w:t>
      </w:r>
      <w:r>
        <w:rPr>
          <w:rFonts w:ascii="Times New Roman" w:hAnsi="Times New Roman" w:eastAsia="仿宋_GB2312" w:cs="Times New Roman"/>
          <w:sz w:val="32"/>
          <w:szCs w:val="32"/>
        </w:rPr>
        <w:t>万元，其中：财政拨款收入</w:t>
      </w:r>
      <w:r>
        <w:rPr>
          <w:rFonts w:hint="eastAsia" w:ascii="Times New Roman" w:hAnsi="Times New Roman" w:eastAsia="仿宋_GB2312"/>
          <w:sz w:val="32"/>
          <w:szCs w:val="32"/>
          <w:lang w:val="en-US" w:eastAsia="zh-CN"/>
        </w:rPr>
        <w:t>996.04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8BE0F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7B4E74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sz w:val="32"/>
          <w:szCs w:val="32"/>
          <w:lang w:val="en-US" w:eastAsia="zh-CN"/>
        </w:rPr>
        <w:t>996.04</w:t>
      </w:r>
      <w:r>
        <w:rPr>
          <w:rFonts w:ascii="Times New Roman" w:hAnsi="Times New Roman" w:eastAsia="仿宋_GB2312" w:cs="Times New Roman"/>
          <w:sz w:val="32"/>
          <w:szCs w:val="32"/>
        </w:rPr>
        <w:t>万元，其中：基本支出</w:t>
      </w:r>
      <w:r>
        <w:rPr>
          <w:rFonts w:hint="eastAsia" w:ascii="仿宋_GB2312" w:eastAsia="仿宋_GB2312" w:cs="仿宋_GB2312"/>
          <w:sz w:val="32"/>
          <w:szCs w:val="32"/>
          <w:highlight w:val="none"/>
          <w:lang w:val="en-US" w:eastAsia="zh-CN" w:bidi="ar"/>
        </w:rPr>
        <w:t>862.32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133.72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13.43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83804C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cs="Times New Roman"/>
          <w:bCs/>
          <w:sz w:val="32"/>
          <w:szCs w:val="32"/>
        </w:rPr>
        <w:t>四、财政拨款收入支出决算总体情况说明</w:t>
      </w:r>
    </w:p>
    <w:p w14:paraId="44F1AC5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eastAsia="仿宋_GB2312" w:cs="仿宋_GB2312"/>
          <w:sz w:val="32"/>
          <w:szCs w:val="32"/>
          <w:highlight w:val="none"/>
          <w:lang w:val="en-US" w:eastAsia="zh-CN" w:bidi="ar"/>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996.04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增加95.47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上升</w:t>
      </w:r>
      <w:r>
        <w:rPr>
          <w:rFonts w:hint="eastAsia" w:ascii="仿宋_GB2312" w:eastAsia="仿宋_GB2312" w:cs="仿宋_GB2312"/>
          <w:sz w:val="32"/>
          <w:szCs w:val="32"/>
          <w:highlight w:val="none"/>
          <w:lang w:val="en-US" w:eastAsia="zh-CN" w:bidi="ar"/>
        </w:rPr>
        <w:t>10.60</w:t>
      </w:r>
      <w:r>
        <w:rPr>
          <w:rFonts w:hint="eastAsia" w:ascii="Times New Roman" w:hAnsi="Times New Roman" w:eastAsia="仿宋_GB2312"/>
          <w:sz w:val="32"/>
          <w:szCs w:val="32"/>
        </w:rPr>
        <w:t>%，主要是因为</w:t>
      </w:r>
      <w:r>
        <w:rPr>
          <w:rFonts w:hint="eastAsia" w:ascii="仿宋_GB2312" w:eastAsia="仿宋_GB2312" w:cs="仿宋_GB2312"/>
          <w:sz w:val="32"/>
          <w:szCs w:val="32"/>
          <w:highlight w:val="none"/>
          <w:lang w:val="en-US" w:eastAsia="zh-CN" w:bidi="ar"/>
        </w:rPr>
        <w:t>增加了人员经费与公用经费收入。</w:t>
      </w:r>
    </w:p>
    <w:p w14:paraId="3544A15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996.04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增加95.47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上升</w:t>
      </w:r>
      <w:r>
        <w:rPr>
          <w:rFonts w:hint="eastAsia" w:ascii="仿宋_GB2312" w:eastAsia="仿宋_GB2312" w:cs="仿宋_GB2312"/>
          <w:sz w:val="32"/>
          <w:szCs w:val="32"/>
          <w:highlight w:val="none"/>
          <w:lang w:val="en-US" w:eastAsia="zh-CN" w:bidi="ar"/>
        </w:rPr>
        <w:t>10.60</w:t>
      </w:r>
      <w:r>
        <w:rPr>
          <w:rFonts w:hint="eastAsia" w:ascii="Times New Roman" w:hAnsi="Times New Roman" w:eastAsia="仿宋_GB2312"/>
          <w:sz w:val="32"/>
          <w:szCs w:val="32"/>
        </w:rPr>
        <w:t>%，主要是因为</w:t>
      </w:r>
      <w:r>
        <w:rPr>
          <w:rFonts w:hint="eastAsia" w:ascii="仿宋_GB2312" w:eastAsia="仿宋_GB2312" w:cs="仿宋_GB2312"/>
          <w:sz w:val="32"/>
          <w:szCs w:val="32"/>
          <w:highlight w:val="none"/>
          <w:lang w:val="en-US" w:eastAsia="zh-CN" w:bidi="ar"/>
        </w:rPr>
        <w:t>增加了人员经费与公用经费支出。</w:t>
      </w:r>
    </w:p>
    <w:p w14:paraId="6F8487C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837FF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317DF0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年度财政拨款支出</w:t>
      </w:r>
      <w:r>
        <w:rPr>
          <w:rFonts w:hint="eastAsia" w:ascii="Times New Roman" w:hAnsi="Times New Roman" w:eastAsia="仿宋_GB2312"/>
          <w:sz w:val="32"/>
          <w:szCs w:val="32"/>
          <w:lang w:val="en-US" w:eastAsia="zh-CN"/>
        </w:rPr>
        <w:t>996.04</w:t>
      </w:r>
      <w:r>
        <w:rPr>
          <w:rFonts w:hint="eastAsia" w:ascii="Times New Roman" w:hAnsi="Times New Roman" w:eastAsia="仿宋_GB2312"/>
          <w:sz w:val="32"/>
          <w:szCs w:val="32"/>
          <w:lang w:eastAsia="zh-CN"/>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eastAsia="zh-CN"/>
        </w:rPr>
        <w:t>%，与上年相比，财政拨款支出</w:t>
      </w:r>
      <w:r>
        <w:rPr>
          <w:rFonts w:hint="eastAsia" w:ascii="Times New Roman" w:hAnsi="Times New Roman" w:eastAsia="仿宋_GB2312"/>
          <w:sz w:val="32"/>
          <w:szCs w:val="32"/>
          <w:lang w:val="en-US" w:eastAsia="zh-CN"/>
        </w:rPr>
        <w:t>增加95.47</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上升10.60</w:t>
      </w:r>
      <w:r>
        <w:rPr>
          <w:rFonts w:hint="eastAsia" w:ascii="Times New Roman" w:hAnsi="Times New Roman" w:eastAsia="仿宋_GB2312"/>
          <w:sz w:val="32"/>
          <w:szCs w:val="32"/>
          <w:lang w:eastAsia="zh-CN"/>
        </w:rPr>
        <w:t>%，主要是因为</w:t>
      </w:r>
      <w:r>
        <w:rPr>
          <w:rFonts w:hint="eastAsia" w:ascii="Times New Roman" w:hAnsi="Times New Roman" w:eastAsia="仿宋_GB2312"/>
          <w:sz w:val="32"/>
          <w:szCs w:val="32"/>
          <w:lang w:val="en-US" w:eastAsia="zh-CN"/>
        </w:rPr>
        <w:t>增加了人员经费与公用经费支出。</w:t>
      </w:r>
    </w:p>
    <w:p w14:paraId="620B04F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72D82EE">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sz w:val="32"/>
          <w:szCs w:val="32"/>
          <w:lang w:val="en-US" w:eastAsia="zh-CN"/>
        </w:rPr>
        <w:t>996.04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770.01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77.31</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公共安全（类）支出</w:t>
      </w:r>
      <w:r>
        <w:rPr>
          <w:rFonts w:hint="eastAsia" w:ascii="仿宋_GB2312" w:hAnsi="仿宋_GB2312" w:eastAsia="仿宋_GB2312" w:cs="仿宋_GB2312"/>
          <w:sz w:val="32"/>
          <w:szCs w:val="32"/>
          <w:lang w:val="en-US" w:eastAsia="zh-CN"/>
        </w:rPr>
        <w:t>28.99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2.91</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108.16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10.86</w:t>
      </w:r>
      <w:r>
        <w:rPr>
          <w:rFonts w:hint="eastAsia" w:ascii="仿宋_GB2312" w:hAnsi="仿宋_GB2312" w:eastAsia="仿宋_GB2312" w:cs="仿宋_GB2312"/>
          <w:sz w:val="32"/>
          <w:szCs w:val="32"/>
        </w:rPr>
        <w:t>%;卫生健康（类）支出</w:t>
      </w:r>
      <w:r>
        <w:rPr>
          <w:rFonts w:hint="eastAsia" w:ascii="仿宋_GB2312" w:hAnsi="仿宋_GB2312" w:eastAsia="仿宋_GB2312" w:cs="仿宋_GB2312"/>
          <w:sz w:val="32"/>
          <w:szCs w:val="32"/>
          <w:lang w:val="en-US" w:eastAsia="zh-CN"/>
        </w:rPr>
        <w:t>31.4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57.48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5.77</w:t>
      </w:r>
      <w:r>
        <w:rPr>
          <w:rFonts w:hint="eastAsia" w:ascii="仿宋_GB2312" w:hAnsi="仿宋_GB2312" w:eastAsia="仿宋_GB2312" w:cs="仿宋_GB2312"/>
          <w:sz w:val="32"/>
          <w:szCs w:val="32"/>
        </w:rPr>
        <w:t>%。</w:t>
      </w:r>
    </w:p>
    <w:p w14:paraId="37890CB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2B93CC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732.57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996.04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135.96</w:t>
      </w:r>
      <w:r>
        <w:rPr>
          <w:rFonts w:ascii="Times New Roman" w:hAnsi="Times New Roman" w:eastAsia="仿宋_GB2312" w:cs="Times New Roman"/>
          <w:sz w:val="32"/>
          <w:szCs w:val="32"/>
        </w:rPr>
        <w:t>%，其中：</w:t>
      </w:r>
    </w:p>
    <w:p w14:paraId="2E0F518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仿宋_GB2312" w:hAnsi="仿宋_GB2312" w:eastAsia="仿宋_GB2312" w:cs="仿宋_GB2312"/>
          <w:sz w:val="32"/>
          <w:szCs w:val="32"/>
          <w:lang w:val="en-US" w:eastAsia="zh-CN"/>
        </w:rPr>
        <w:t>其他共产党事务（款）行政运行（项）</w:t>
      </w:r>
      <w:r>
        <w:rPr>
          <w:rFonts w:ascii="Times New Roman" w:hAnsi="Times New Roman" w:eastAsia="仿宋_GB2312" w:cs="Times New Roman"/>
          <w:sz w:val="32"/>
          <w:szCs w:val="32"/>
        </w:rPr>
        <w:t>。</w:t>
      </w:r>
    </w:p>
    <w:p w14:paraId="0EE7A4D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593.93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708.04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119.21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年中追加人员经费。</w:t>
      </w:r>
    </w:p>
    <w:p w14:paraId="2CF013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仿宋_GB2312" w:hAnsi="仿宋_GB2312" w:eastAsia="仿宋_GB2312" w:cs="仿宋_GB2312"/>
          <w:sz w:val="32"/>
          <w:szCs w:val="32"/>
          <w:lang w:val="en-US" w:eastAsia="zh-CN"/>
        </w:rPr>
        <w:t>其他共产党事务</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lang w:val="en-US" w:eastAsia="zh-CN"/>
        </w:rPr>
        <w:t>其他共产党事务</w:t>
      </w:r>
      <w:r>
        <w:rPr>
          <w:rFonts w:ascii="Times New Roman" w:hAnsi="Times New Roman" w:eastAsia="仿宋_GB2312" w:cs="Times New Roman"/>
          <w:sz w:val="32"/>
          <w:szCs w:val="32"/>
        </w:rPr>
        <w:t>（项）。</w:t>
      </w:r>
    </w:p>
    <w:p w14:paraId="1B4E94C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61.97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%，决算数大于年初</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cs="Times New Roman"/>
          <w:sz w:val="32"/>
          <w:szCs w:val="32"/>
          <w:highlight w:val="none"/>
          <w:lang w:eastAsia="zh-CN"/>
        </w:rPr>
        <w:t>年中追加安排省级专项经费。</w:t>
      </w:r>
    </w:p>
    <w:p w14:paraId="7CE4611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11A2FD29">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%，决算数大于年初预算数的主要原</w:t>
      </w:r>
      <w:r>
        <w:rPr>
          <w:rFonts w:ascii="Times New Roman" w:hAnsi="Times New Roman" w:eastAsia="仿宋_GB2312" w:cs="Times New Roman"/>
          <w:sz w:val="32"/>
          <w:szCs w:val="32"/>
          <w:highlight w:val="none"/>
        </w:rPr>
        <w:t>因是：</w:t>
      </w:r>
      <w:r>
        <w:rPr>
          <w:rFonts w:hint="eastAsia" w:ascii="Times New Roman" w:hAnsi="Times New Roman" w:eastAsia="仿宋_GB2312"/>
          <w:sz w:val="32"/>
          <w:szCs w:val="32"/>
          <w:highlight w:val="none"/>
          <w:lang w:val="en-US" w:eastAsia="zh-CN"/>
        </w:rPr>
        <w:t>年初预算未安排，年中追加安排的司法类</w:t>
      </w:r>
      <w:r>
        <w:rPr>
          <w:rFonts w:hint="eastAsia" w:ascii="Times New Roman" w:hAnsi="Times New Roman" w:eastAsia="仿宋_GB2312" w:cs="Times New Roman"/>
          <w:sz w:val="32"/>
          <w:szCs w:val="32"/>
          <w:highlight w:val="none"/>
          <w:lang w:eastAsia="zh-CN"/>
        </w:rPr>
        <w:t>一般行政管理事务经费</w:t>
      </w:r>
      <w:r>
        <w:rPr>
          <w:rFonts w:hint="eastAsia" w:ascii="仿宋_GB2312" w:hAnsi="仿宋_GB2312" w:eastAsia="仿宋_GB2312" w:cs="仿宋_GB2312"/>
          <w:sz w:val="32"/>
          <w:szCs w:val="32"/>
          <w:highlight w:val="none"/>
          <w:lang w:val="en-US" w:eastAsia="zh-CN"/>
        </w:rPr>
        <w:t>。</w:t>
      </w:r>
    </w:p>
    <w:p w14:paraId="6589337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社会保障和就业</w:t>
      </w:r>
      <w:r>
        <w:rPr>
          <w:rFonts w:ascii="Times New Roman" w:hAnsi="Times New Roman" w:eastAsia="仿宋_GB2312" w:cs="Times New Roman"/>
          <w:sz w:val="32"/>
          <w:szCs w:val="32"/>
        </w:rPr>
        <w:t>（类）</w:t>
      </w:r>
      <w:r>
        <w:rPr>
          <w:rFonts w:hint="eastAsia" w:ascii="仿宋_GB2312" w:hAnsi="仿宋_GB2312" w:eastAsia="仿宋_GB2312" w:cs="仿宋_GB2312"/>
          <w:sz w:val="32"/>
          <w:szCs w:val="32"/>
        </w:rPr>
        <w:t>行政事业单位养老</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rPr>
        <w:t>机关事业单位基本养老保险缴费</w:t>
      </w:r>
      <w:r>
        <w:rPr>
          <w:rFonts w:ascii="Times New Roman" w:hAnsi="Times New Roman" w:eastAsia="仿宋_GB2312" w:cs="Times New Roman"/>
          <w:sz w:val="32"/>
          <w:szCs w:val="32"/>
        </w:rPr>
        <w:t>（项）。</w:t>
      </w:r>
    </w:p>
    <w:p w14:paraId="2E2E5D1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61.46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111.05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的主要原因是：</w:t>
      </w:r>
      <w:r>
        <w:rPr>
          <w:rFonts w:hint="eastAsia" w:ascii="Times New Roman" w:hAnsi="Times New Roman" w:eastAsia="仿宋_GB2312" w:cs="Times New Roman"/>
          <w:sz w:val="32"/>
          <w:szCs w:val="32"/>
          <w:highlight w:val="none"/>
          <w:lang w:val="en-US" w:eastAsia="zh-CN"/>
        </w:rPr>
        <w:t>年末追加养老保险经费</w:t>
      </w:r>
      <w:r>
        <w:rPr>
          <w:rFonts w:hint="eastAsia" w:ascii="Times New Roman" w:hAnsi="Times New Roman" w:eastAsia="仿宋_GB2312" w:cs="Times New Roman"/>
          <w:sz w:val="32"/>
          <w:szCs w:val="32"/>
          <w:highlight w:val="none"/>
          <w:lang w:eastAsia="zh-CN"/>
        </w:rPr>
        <w:t>。</w:t>
      </w:r>
    </w:p>
    <w:p w14:paraId="0F7FE96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w:t>
      </w:r>
      <w:r>
        <w:rPr>
          <w:rFonts w:ascii="Times New Roman" w:hAnsi="Times New Roman" w:eastAsia="仿宋_GB2312" w:cs="Times New Roman"/>
          <w:sz w:val="32"/>
          <w:szCs w:val="32"/>
        </w:rPr>
        <w:t>（项）。</w:t>
      </w:r>
    </w:p>
    <w:p w14:paraId="124ED89E">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%，决算数大于年初预算数的主要原因是</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为年中追加安排的</w:t>
      </w:r>
      <w:r>
        <w:rPr>
          <w:rFonts w:hint="eastAsia" w:ascii="仿宋_GB2312" w:hAnsi="仿宋_GB2312" w:eastAsia="仿宋_GB2312" w:cs="仿宋_GB2312"/>
          <w:sz w:val="32"/>
          <w:szCs w:val="32"/>
          <w:highlight w:val="none"/>
          <w:lang w:eastAsia="zh-CN"/>
        </w:rPr>
        <w:t>行政事业单位</w:t>
      </w:r>
      <w:r>
        <w:rPr>
          <w:rFonts w:hint="eastAsia" w:ascii="仿宋_GB2312" w:hAnsi="仿宋_GB2312" w:eastAsia="仿宋_GB2312" w:cs="仿宋_GB2312"/>
          <w:sz w:val="32"/>
          <w:szCs w:val="32"/>
          <w:highlight w:val="none"/>
          <w:lang w:val="en-US" w:eastAsia="zh-CN"/>
        </w:rPr>
        <w:t>退休人员</w:t>
      </w:r>
      <w:r>
        <w:rPr>
          <w:rFonts w:hint="eastAsia" w:ascii="仿宋_GB2312" w:hAnsi="仿宋_GB2312" w:eastAsia="仿宋_GB2312" w:cs="仿宋_GB2312"/>
          <w:sz w:val="32"/>
          <w:szCs w:val="32"/>
          <w:highlight w:val="none"/>
        </w:rPr>
        <w:t>的经费。</w:t>
      </w:r>
    </w:p>
    <w:p w14:paraId="5884D66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卫生健康</w:t>
      </w:r>
      <w:r>
        <w:rPr>
          <w:rFonts w:ascii="Times New Roman" w:hAnsi="Times New Roman" w:eastAsia="仿宋_GB2312" w:cs="Times New Roman"/>
          <w:sz w:val="32"/>
          <w:szCs w:val="32"/>
        </w:rPr>
        <w:t>（类）</w:t>
      </w:r>
      <w:r>
        <w:rPr>
          <w:rFonts w:hint="eastAsia" w:ascii="仿宋_GB2312" w:hAnsi="仿宋_GB2312" w:eastAsia="仿宋_GB2312" w:cs="仿宋_GB2312"/>
          <w:sz w:val="32"/>
          <w:szCs w:val="32"/>
          <w:lang w:val="en-US" w:eastAsia="zh-CN"/>
        </w:rPr>
        <w:t>行政事业单位医疗</w:t>
      </w:r>
      <w:r>
        <w:rPr>
          <w:rFonts w:ascii="Times New Roman" w:hAnsi="Times New Roman" w:eastAsia="仿宋_GB2312" w:cs="Times New Roman"/>
          <w:sz w:val="32"/>
          <w:szCs w:val="32"/>
        </w:rPr>
        <w:t>（款）</w:t>
      </w:r>
      <w:r>
        <w:rPr>
          <w:rFonts w:hint="eastAsia" w:ascii="仿宋_GB2312" w:hAnsi="仿宋_GB2312" w:eastAsia="仿宋_GB2312" w:cs="仿宋_GB2312"/>
          <w:sz w:val="32"/>
          <w:szCs w:val="32"/>
          <w:lang w:val="en-US" w:eastAsia="zh-CN"/>
        </w:rPr>
        <w:t>行政单位医疗</w:t>
      </w:r>
      <w:r>
        <w:rPr>
          <w:rFonts w:ascii="Times New Roman" w:hAnsi="Times New Roman" w:eastAsia="仿宋_GB2312" w:cs="Times New Roman"/>
          <w:sz w:val="32"/>
          <w:szCs w:val="32"/>
        </w:rPr>
        <w:t>（项）。</w:t>
      </w:r>
    </w:p>
    <w:p w14:paraId="294AC34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110.87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年中追加的行政单位医疗保险费。</w:t>
      </w:r>
    </w:p>
    <w:p w14:paraId="07886FB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卫生健康</w:t>
      </w:r>
      <w:r>
        <w:rPr>
          <w:rFonts w:ascii="Times New Roman" w:hAnsi="Times New Roman" w:eastAsia="仿宋_GB2312" w:cs="Times New Roman"/>
          <w:sz w:val="32"/>
          <w:szCs w:val="32"/>
        </w:rPr>
        <w:t>（类）</w:t>
      </w:r>
      <w:r>
        <w:rPr>
          <w:rFonts w:hint="eastAsia" w:ascii="仿宋_GB2312" w:hAnsi="仿宋_GB2312" w:eastAsia="仿宋_GB2312" w:cs="仿宋_GB2312"/>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公务员医疗补助</w:t>
      </w:r>
      <w:r>
        <w:rPr>
          <w:rFonts w:ascii="Times New Roman" w:hAnsi="Times New Roman" w:eastAsia="仿宋_GB2312" w:cs="Times New Roman"/>
          <w:sz w:val="32"/>
          <w:szCs w:val="32"/>
        </w:rPr>
        <w:t>（项）。</w:t>
      </w:r>
    </w:p>
    <w:p w14:paraId="0B007215">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%，决算数大于年初预算数的主要原因是</w:t>
      </w:r>
      <w:r>
        <w:rPr>
          <w:rFonts w:ascii="Times New Roman" w:hAnsi="Times New Roman" w:eastAsia="仿宋_GB2312" w:cs="Times New Roman"/>
          <w:sz w:val="32"/>
          <w:szCs w:val="32"/>
          <w:highlight w:val="none"/>
        </w:rPr>
        <w:t>：</w:t>
      </w:r>
      <w:r>
        <w:rPr>
          <w:rFonts w:hint="eastAsia" w:ascii="Times New Roman" w:hAnsi="Times New Roman" w:eastAsia="仿宋_GB2312"/>
          <w:sz w:val="32"/>
          <w:szCs w:val="32"/>
          <w:highlight w:val="none"/>
          <w:lang w:val="en-US" w:eastAsia="zh-CN"/>
        </w:rPr>
        <w:t>年初预算未安排，为年中追加安排的</w:t>
      </w:r>
      <w:r>
        <w:rPr>
          <w:rFonts w:hint="eastAsia" w:ascii="仿宋_GB2312" w:hAnsi="仿宋_GB2312" w:eastAsia="仿宋_GB2312" w:cs="仿宋_GB2312"/>
          <w:sz w:val="32"/>
          <w:szCs w:val="32"/>
          <w:highlight w:val="none"/>
          <w:lang w:val="en-US" w:eastAsia="zh-CN"/>
        </w:rPr>
        <w:t>公务员医疗补助。</w:t>
      </w:r>
    </w:p>
    <w:p w14:paraId="0A59DF0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p>
    <w:p w14:paraId="6023B6B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111.70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年中追加的行政单位住房公积金缴费。</w:t>
      </w:r>
    </w:p>
    <w:p w14:paraId="0D9AAD2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3584E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862.32</w:t>
      </w:r>
      <w:r>
        <w:rPr>
          <w:rFonts w:ascii="Times New Roman" w:hAnsi="Times New Roman" w:eastAsia="仿宋_GB2312" w:cs="Times New Roman"/>
          <w:sz w:val="32"/>
          <w:szCs w:val="32"/>
        </w:rPr>
        <w:t>万元，其中：</w:t>
      </w:r>
    </w:p>
    <w:p w14:paraId="4654084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737.64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85.54</w:t>
      </w:r>
      <w:r>
        <w:rPr>
          <w:rFonts w:ascii="Times New Roman" w:hAnsi="Times New Roman" w:eastAsia="仿宋_GB2312" w:cs="Times New Roman"/>
          <w:sz w:val="32"/>
          <w:szCs w:val="32"/>
        </w:rPr>
        <w:t>%,</w:t>
      </w:r>
      <w:r>
        <w:rPr>
          <w:rFonts w:hint="eastAsia" w:ascii="Times New Roman" w:hAnsi="Times New Roman" w:eastAsia="仿宋_GB2312"/>
          <w:sz w:val="32"/>
          <w:szCs w:val="32"/>
        </w:rPr>
        <w:t>主</w:t>
      </w:r>
      <w:r>
        <w:rPr>
          <w:rFonts w:hint="eastAsia" w:ascii="仿宋_GB2312" w:hAnsi="仿宋_GB2312" w:eastAsia="仿宋_GB2312" w:cs="仿宋_GB2312"/>
          <w:sz w:val="32"/>
          <w:szCs w:val="32"/>
          <w:lang w:val="en-US" w:eastAsia="zh-CN"/>
        </w:rPr>
        <w:t>要包括基本工资、津贴补贴、奖金、绩效工资、机关事业单位基本养老保险缴费、职工基本医疗保险缴费、其他社会保障缴费、住房公积金。</w:t>
      </w:r>
    </w:p>
    <w:p w14:paraId="7DE4BCD0">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124.68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14.46</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主要包括办公费、印刷费、邮电费、差旅费、培训费、公务接待费、委托业务费、工会经费、福利费、其他交通费用、其他商品和服务。</w:t>
      </w:r>
    </w:p>
    <w:p w14:paraId="79C474F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071232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486DBE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w:t>
      </w:r>
      <w:r>
        <w:rPr>
          <w:rFonts w:hint="eastAsia" w:ascii="宋体" w:hAnsi="宋体" w:cs="仿宋_GB2312"/>
          <w:sz w:val="32"/>
          <w:szCs w:val="32"/>
          <w:highlight w:val="none"/>
          <w:lang w:val="en-US" w:eastAsia="zh-CN" w:bidi="ar"/>
        </w:rPr>
        <w:t>46.56%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严控三公经费开支</w:t>
      </w:r>
      <w:r>
        <w:rPr>
          <w:rFonts w:ascii="Times New Roman" w:hAnsi="Times New Roman" w:eastAsia="仿宋_GB2312" w:cs="Times New Roman"/>
          <w:sz w:val="32"/>
          <w:szCs w:val="32"/>
        </w:rPr>
        <w:t>。</w:t>
      </w:r>
    </w:p>
    <w:p w14:paraId="61A92C4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D8ADA01">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与</w:t>
      </w:r>
      <w:r>
        <w:rPr>
          <w:rFonts w:hint="eastAsia" w:ascii="Times New Roman" w:hAnsi="Times New Roman" w:eastAsia="仿宋_GB2312"/>
          <w:sz w:val="32"/>
          <w:szCs w:val="32"/>
        </w:rPr>
        <w:t>预算数相比</w:t>
      </w:r>
      <w:r>
        <w:rPr>
          <w:rFonts w:hint="eastAsia" w:ascii="Times New Roman" w:hAnsi="Times New Roman" w:eastAsia="仿宋_GB2312"/>
          <w:sz w:val="32"/>
          <w:szCs w:val="32"/>
          <w:lang w:eastAsia="zh-CN"/>
        </w:rPr>
        <w:t>持平</w:t>
      </w:r>
      <w:r>
        <w:rPr>
          <w:rFonts w:hint="eastAsia" w:ascii="Times New Roman" w:hAnsi="Times New Roman" w:eastAsia="仿宋_GB2312"/>
          <w:sz w:val="32"/>
          <w:szCs w:val="32"/>
        </w:rPr>
        <w:t>。</w:t>
      </w:r>
    </w:p>
    <w:p w14:paraId="703680B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4F72FAF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sz w:val="32"/>
          <w:szCs w:val="32"/>
        </w:rPr>
        <w:t>。</w:t>
      </w:r>
    </w:p>
    <w:p w14:paraId="30E5B4D1">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sz w:val="32"/>
          <w:szCs w:val="32"/>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F3820BD">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w:t>
      </w:r>
      <w:r>
        <w:rPr>
          <w:rFonts w:hint="eastAsia" w:ascii="宋体" w:hAnsi="宋体" w:cs="仿宋_GB2312"/>
          <w:sz w:val="32"/>
          <w:szCs w:val="32"/>
          <w:highlight w:val="none"/>
          <w:lang w:val="en-US" w:eastAsia="zh-CN" w:bidi="ar"/>
        </w:rPr>
        <w:t>46.56%</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sz w:val="32"/>
          <w:highlight w:val="none"/>
          <w:lang w:val="en-US" w:eastAsia="zh-CN" w:bidi="ar"/>
        </w:rPr>
        <w:t>严格贯彻落实厉行节约反对浪费精</w:t>
      </w:r>
      <w:r>
        <w:rPr>
          <w:rFonts w:hint="eastAsia" w:ascii="Times New Roman" w:hAnsi="Times New Roman" w:eastAsia="仿宋_GB2312" w:cs="Times New Roman"/>
          <w:sz w:val="32"/>
          <w:szCs w:val="32"/>
          <w:lang w:val="en-US" w:eastAsia="zh-CN"/>
        </w:rPr>
        <w:t>神，加强公务接待管理，严格控制相关费用，支出相应减少。2025年度接待批次为13批次，接待人次为102人。主要变动原因：严控接待批次及接待人次。</w:t>
      </w:r>
    </w:p>
    <w:p w14:paraId="2FB675C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C05D1D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2025年度本单位无政府性基金收支</w:t>
      </w:r>
    </w:p>
    <w:p w14:paraId="5C91A3E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14BC566">
      <w:pPr>
        <w:pStyle w:val="13"/>
        <w:overflowPunct w:val="0"/>
        <w:autoSpaceDE/>
        <w:autoSpaceDN/>
        <w:spacing w:line="600" w:lineRule="exact"/>
        <w:ind w:firstLine="640" w:firstLineChars="200"/>
        <w:jc w:val="both"/>
        <w:rPr>
          <w:rFonts w:hint="eastAsia" w:ascii="仿宋_GB2312" w:hAnsi="仿宋_GB2312" w:eastAsia="仿宋_GB2312" w:cs="仿宋_GB2312"/>
          <w:sz w:val="32"/>
          <w:szCs w:val="32"/>
          <w:highlight w:val="none"/>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124.68万元</w:t>
      </w:r>
      <w:r>
        <w:rPr>
          <w:rFonts w:ascii="Times New Roman" w:hAnsi="Times New Roman" w:eastAsia="仿宋_GB2312" w:cs="Times New Roman"/>
          <w:sz w:val="32"/>
          <w:szCs w:val="32"/>
        </w:rPr>
        <w:t>，比年初预算数</w:t>
      </w:r>
      <w:r>
        <w:rPr>
          <w:rFonts w:hint="eastAsia" w:ascii="Times New Roman" w:hAnsi="Times New Roman" w:eastAsia="仿宋_GB2312" w:cs="Times New Roman"/>
          <w:sz w:val="32"/>
          <w:szCs w:val="32"/>
          <w:lang w:val="en-US" w:eastAsia="zh-CN"/>
        </w:rPr>
        <w:t>增加3.58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highlight w:val="none"/>
          <w:lang w:val="en-US" w:eastAsia="zh-CN"/>
        </w:rPr>
        <w:t>上升2.96</w:t>
      </w:r>
      <w:r>
        <w:rPr>
          <w:rFonts w:ascii="Times New Roman" w:hAnsi="Times New Roman" w:eastAsia="仿宋_GB2312" w:cs="Times New Roman"/>
          <w:sz w:val="32"/>
          <w:szCs w:val="32"/>
          <w:highlight w:val="none"/>
        </w:rPr>
        <w:t>%。主要原因是：</w:t>
      </w:r>
      <w:r>
        <w:rPr>
          <w:rFonts w:hint="eastAsia" w:ascii="仿宋_GB2312" w:hAnsi="仿宋_GB2312" w:eastAsia="仿宋_GB2312" w:cs="仿宋_GB2312"/>
          <w:sz w:val="32"/>
          <w:szCs w:val="32"/>
          <w:highlight w:val="none"/>
          <w:lang w:eastAsia="zh-CN"/>
        </w:rPr>
        <w:t>政策性增支因素较多，虽坚持厉行节约，支出仍有所增长。</w:t>
      </w:r>
    </w:p>
    <w:p w14:paraId="3CB5F72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B9DC64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7.41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全市政法重点工作调度会</w:t>
      </w:r>
      <w:r>
        <w:rPr>
          <w:rFonts w:hint="eastAsia" w:ascii="Times New Roman" w:hAnsi="Times New Roman" w:eastAsia="仿宋_GB2312" w:cs="Times New Roman"/>
          <w:sz w:val="32"/>
          <w:szCs w:val="32"/>
          <w:lang w:eastAsia="zh-CN"/>
        </w:rPr>
        <w:t>，人数约为</w:t>
      </w:r>
      <w:r>
        <w:rPr>
          <w:rFonts w:hint="eastAsia" w:ascii="Times New Roman" w:hAnsi="Times New Roman" w:eastAsia="仿宋_GB2312" w:cs="Times New Roman"/>
          <w:sz w:val="32"/>
          <w:szCs w:val="32"/>
          <w:lang w:val="en-US" w:eastAsia="zh-CN"/>
        </w:rPr>
        <w:t>75人，会议</w:t>
      </w:r>
      <w:r>
        <w:rPr>
          <w:rFonts w:hint="eastAsia" w:ascii="Times New Roman" w:hAnsi="Times New Roman" w:eastAsia="仿宋_GB2312" w:cs="Times New Roman"/>
          <w:sz w:val="32"/>
          <w:szCs w:val="32"/>
          <w:lang w:eastAsia="zh-CN"/>
        </w:rPr>
        <w:t>主要目的是</w:t>
      </w:r>
      <w:r>
        <w:rPr>
          <w:rFonts w:hint="eastAsia" w:ascii="仿宋_GB2312" w:hAnsi="仿宋_GB2312" w:eastAsia="仿宋_GB2312" w:cs="仿宋_GB2312"/>
          <w:spacing w:val="11"/>
          <w:sz w:val="32"/>
          <w:szCs w:val="32"/>
        </w:rPr>
        <w:t>调度“化解矛盾风险 维护社会稳定”</w:t>
      </w:r>
      <w:r>
        <w:rPr>
          <w:rFonts w:hint="eastAsia" w:ascii="仿宋_GB2312" w:hAnsi="仿宋_GB2312" w:eastAsia="仿宋_GB2312" w:cs="仿宋_GB2312"/>
          <w:spacing w:val="11"/>
          <w:sz w:val="32"/>
          <w:szCs w:val="32"/>
          <w:lang w:eastAsia="zh-CN"/>
        </w:rPr>
        <w:t>专项治理、信访、</w:t>
      </w:r>
      <w:r>
        <w:rPr>
          <w:rFonts w:hint="eastAsia" w:ascii="仿宋_GB2312" w:hAnsi="仿宋_GB2312" w:eastAsia="仿宋_GB2312" w:cs="仿宋_GB2312"/>
          <w:spacing w:val="11"/>
          <w:sz w:val="32"/>
          <w:szCs w:val="32"/>
        </w:rPr>
        <w:t>“利剑护蕾·</w:t>
      </w:r>
      <w:r>
        <w:rPr>
          <w:rFonts w:hint="default" w:ascii="仿宋_GB2312" w:hAnsi="仿宋_GB2312" w:eastAsia="仿宋_GB2312" w:cs="仿宋_GB2312"/>
          <w:spacing w:val="11"/>
          <w:sz w:val="32"/>
          <w:szCs w:val="32"/>
          <w:lang w:val="en"/>
        </w:rPr>
        <w:t>雷霆行动</w:t>
      </w:r>
      <w:r>
        <w:rPr>
          <w:rFonts w:hint="eastAsia" w:ascii="仿宋_GB2312" w:hAnsi="仿宋_GB2312" w:eastAsia="仿宋_GB2312" w:cs="仿宋_GB2312"/>
          <w:spacing w:val="11"/>
          <w:sz w:val="32"/>
          <w:szCs w:val="32"/>
        </w:rPr>
        <w:t>”、</w:t>
      </w:r>
      <w:r>
        <w:rPr>
          <w:rFonts w:hint="eastAsia" w:ascii="仿宋_GB2312" w:hAnsi="仿宋_GB2312" w:eastAsia="仿宋_GB2312" w:cs="仿宋_GB2312"/>
          <w:spacing w:val="11"/>
          <w:sz w:val="32"/>
          <w:szCs w:val="32"/>
          <w:lang w:val="en" w:eastAsia="zh-CN"/>
        </w:rPr>
        <w:t>道</w:t>
      </w:r>
      <w:r>
        <w:rPr>
          <w:rFonts w:hint="default" w:ascii="仿宋_GB2312" w:hAnsi="仿宋_GB2312" w:eastAsia="仿宋_GB2312" w:cs="仿宋_GB2312"/>
          <w:spacing w:val="11"/>
          <w:sz w:val="32"/>
          <w:szCs w:val="32"/>
          <w:lang w:val="en"/>
        </w:rPr>
        <w:t>交</w:t>
      </w:r>
      <w:r>
        <w:rPr>
          <w:rFonts w:hint="eastAsia" w:ascii="仿宋_GB2312" w:hAnsi="仿宋_GB2312" w:eastAsia="仿宋_GB2312" w:cs="仿宋_GB2312"/>
          <w:spacing w:val="11"/>
          <w:sz w:val="32"/>
          <w:szCs w:val="32"/>
          <w:lang w:val="en" w:eastAsia="zh-CN"/>
        </w:rPr>
        <w:t>安全和</w:t>
      </w:r>
      <w:r>
        <w:rPr>
          <w:rFonts w:hint="eastAsia" w:ascii="仿宋_GB2312" w:hAnsi="仿宋_GB2312" w:eastAsia="仿宋_GB2312" w:cs="仿宋_GB2312"/>
          <w:spacing w:val="11"/>
          <w:sz w:val="32"/>
          <w:szCs w:val="32"/>
        </w:rPr>
        <w:t>反电诈</w:t>
      </w:r>
      <w:r>
        <w:rPr>
          <w:rFonts w:hint="eastAsia" w:ascii="仿宋_GB2312" w:hAnsi="仿宋_GB2312" w:eastAsia="仿宋_GB2312" w:cs="仿宋_GB2312"/>
          <w:spacing w:val="11"/>
          <w:sz w:val="32"/>
          <w:szCs w:val="32"/>
          <w:lang w:eastAsia="zh-CN"/>
        </w:rPr>
        <w:t>、法院执行工作</w:t>
      </w:r>
      <w:r>
        <w:rPr>
          <w:rFonts w:hint="eastAsia" w:ascii="仿宋_GB2312" w:hAnsi="仿宋_GB2312" w:eastAsia="仿宋_GB2312" w:cs="仿宋_GB2312"/>
          <w:spacing w:val="11"/>
          <w:sz w:val="32"/>
          <w:szCs w:val="32"/>
        </w:rPr>
        <w:t>等重点工作</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安排部署下段工作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lang w:val="en-US" w:eastAsia="zh-CN"/>
        </w:rPr>
        <w:t>（2）市委政法工作会</w:t>
      </w:r>
      <w:bookmarkStart w:id="3" w:name="_GoBack"/>
      <w:bookmarkEnd w:id="3"/>
      <w:r>
        <w:rPr>
          <w:rFonts w:hint="eastAsia" w:ascii="Times New Roman" w:hAnsi="Times New Roman" w:eastAsia="仿宋_GB2312" w:cs="Times New Roman"/>
          <w:sz w:val="32"/>
          <w:szCs w:val="32"/>
          <w:highlight w:val="none"/>
          <w:lang w:val="en-US" w:eastAsia="zh-CN"/>
        </w:rPr>
        <w:t>议，人数约为280人，会议主要目的是全面贯彻落实习近平总书记对政法工作的重要指示精神，落实中央全面依法治国工作会议、中央和省委政法工作会议精神以及市委部署要求，总结工作，分析形势，研究部署2026年全市政法工作。</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3）全市政法系统党风廉政建设工作会议，人数约为230人，会议通报了2024年度全市政法系统党风廉政建设工作情况，安排部署全市政法系统“强作风纪律  锻政法铁军”专项整治。</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4）召开2次市委政法委员会全体（扩大）会议。第一次会议于2月份召开，人数约为65人，会议主要目的是讨论《2025年市委政法工作报告》，调度部署全年重点工作。第二次会议于7月召开，人数约为68人，会议主要目的是总结上半年工作，研究部署下半年工作。（5）召开2次</w:t>
      </w:r>
      <w:r>
        <w:rPr>
          <w:rFonts w:hint="eastAsia" w:ascii="Times New Roman" w:hAnsi="Times New Roman" w:eastAsia="仿宋_GB2312" w:cs="Times New Roman"/>
          <w:sz w:val="32"/>
          <w:szCs w:val="32"/>
          <w:highlight w:val="none"/>
          <w:lang w:eastAsia="zh-CN"/>
        </w:rPr>
        <w:t>全市未成年人保护联席会议。</w:t>
      </w:r>
      <w:r>
        <w:rPr>
          <w:rFonts w:hint="eastAsia" w:ascii="Times New Roman" w:hAnsi="Times New Roman" w:eastAsia="仿宋_GB2312" w:cs="Times New Roman"/>
          <w:sz w:val="32"/>
          <w:szCs w:val="32"/>
          <w:highlight w:val="none"/>
          <w:lang w:val="en-US" w:eastAsia="zh-CN"/>
        </w:rPr>
        <w:t>第一次会议于6月召开，人数约43人，会议主要是</w:t>
      </w:r>
      <w:r>
        <w:rPr>
          <w:rFonts w:ascii="Times New Roman" w:hAnsi="Times New Roman" w:eastAsia="仿宋_GB2312" w:cs="Times New Roman"/>
          <w:sz w:val="32"/>
          <w:szCs w:val="32"/>
        </w:rPr>
        <w:t>部署“利剑护蕾·雷霆行动”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强调坚持源头防范与系统治理并重，加大宣传教育力度，加强</w:t>
      </w:r>
      <w:r>
        <w:rPr>
          <w:rFonts w:hint="eastAsia" w:ascii="Times New Roman" w:hAnsi="Times New Roman" w:eastAsia="仿宋_GB2312" w:cs="Times New Roman"/>
          <w:sz w:val="32"/>
          <w:szCs w:val="32"/>
          <w:lang w:eastAsia="zh-CN"/>
        </w:rPr>
        <w:t>未成年人</w:t>
      </w:r>
      <w:r>
        <w:rPr>
          <w:rFonts w:hint="default" w:ascii="Times New Roman" w:hAnsi="Times New Roman" w:eastAsia="仿宋_GB2312" w:cs="Times New Roman"/>
          <w:sz w:val="32"/>
          <w:szCs w:val="32"/>
        </w:rPr>
        <w:t>关爱帮扶，强化重点场所监管，严格案件倒查问责。</w:t>
      </w:r>
      <w:r>
        <w:rPr>
          <w:rFonts w:hint="eastAsia" w:ascii="Times New Roman" w:hAnsi="Times New Roman" w:eastAsia="仿宋_GB2312" w:cs="Times New Roman"/>
          <w:sz w:val="32"/>
          <w:szCs w:val="32"/>
          <w:lang w:eastAsia="zh-CN"/>
        </w:rPr>
        <w:t>第二次会议于</w:t>
      </w:r>
      <w:r>
        <w:rPr>
          <w:rFonts w:hint="eastAsia" w:ascii="Times New Roman" w:hAnsi="Times New Roman" w:eastAsia="仿宋_GB2312" w:cs="Times New Roman"/>
          <w:sz w:val="32"/>
          <w:szCs w:val="32"/>
          <w:lang w:val="en-US" w:eastAsia="zh-CN"/>
        </w:rPr>
        <w:t>11月，人数约为52人，会议</w:t>
      </w:r>
      <w:r>
        <w:rPr>
          <w:rFonts w:hint="eastAsia" w:ascii="Times New Roman" w:hAnsi="Times New Roman" w:eastAsia="仿宋_GB2312" w:cs="Times New Roman"/>
          <w:sz w:val="32"/>
          <w:szCs w:val="32"/>
          <w:lang w:eastAsia="zh-CN"/>
        </w:rPr>
        <w:t>主要是</w:t>
      </w:r>
      <w:r>
        <w:rPr>
          <w:rFonts w:ascii="Times New Roman" w:hAnsi="Times New Roman" w:eastAsia="仿宋_GB2312" w:cs="Times New Roman"/>
          <w:sz w:val="32"/>
          <w:szCs w:val="32"/>
        </w:rPr>
        <w:t>通报全市未成年人权益保护工作情况，审议有关试点工作方案</w:t>
      </w:r>
      <w:r>
        <w:rPr>
          <w:rFonts w:hint="eastAsia" w:ascii="Times New Roman" w:hAnsi="Times New Roman" w:eastAsia="仿宋_GB2312" w:cs="Times New Roman"/>
          <w:sz w:val="32"/>
          <w:szCs w:val="32"/>
          <w:lang w:eastAsia="zh-CN"/>
        </w:rPr>
        <w:t>。</w:t>
      </w:r>
    </w:p>
    <w:p w14:paraId="5A3D36C0">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yellow"/>
        </w:rPr>
      </w:pPr>
      <w:r>
        <w:rPr>
          <w:rFonts w:hint="eastAsia" w:ascii="Times New Roman" w:hAnsi="Times New Roman" w:eastAsia="仿宋_GB2312" w:cs="Times New Roman"/>
          <w:sz w:val="32"/>
          <w:szCs w:val="32"/>
          <w:lang w:val="en-US" w:eastAsia="zh-CN"/>
        </w:rPr>
        <w:t>2025年本部门开支</w:t>
      </w:r>
      <w:r>
        <w:rPr>
          <w:rFonts w:ascii="Times New Roman" w:hAnsi="Times New Roman" w:eastAsia="仿宋_GB2312" w:cs="Times New Roman"/>
          <w:sz w:val="32"/>
          <w:szCs w:val="32"/>
        </w:rPr>
        <w:t>培训费开支</w:t>
      </w:r>
      <w:r>
        <w:rPr>
          <w:rFonts w:hint="eastAsia" w:ascii="Times New Roman" w:hAnsi="Times New Roman" w:eastAsia="仿宋_GB2312" w:cs="Times New Roman"/>
          <w:sz w:val="32"/>
          <w:szCs w:val="32"/>
          <w:lang w:val="en-US" w:eastAsia="zh-CN"/>
        </w:rPr>
        <w:t>13.51</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，用于开展</w:t>
      </w:r>
      <w:r>
        <w:rPr>
          <w:rFonts w:hint="eastAsia" w:ascii="Times New Roman" w:hAnsi="Times New Roman" w:eastAsia="仿宋_GB2312" w:cs="Times New Roman"/>
          <w:sz w:val="32"/>
          <w:szCs w:val="32"/>
          <w:highlight w:val="none"/>
        </w:rPr>
        <w:t>全市政法系统领导干部政治轮训</w:t>
      </w:r>
      <w:r>
        <w:rPr>
          <w:rFonts w:hint="eastAsia" w:ascii="Times New Roman" w:hAnsi="Times New Roman" w:eastAsia="仿宋_GB2312" w:cs="Times New Roman"/>
          <w:sz w:val="32"/>
          <w:szCs w:val="32"/>
          <w:highlight w:val="none"/>
          <w:lang w:eastAsia="zh-CN"/>
        </w:rPr>
        <w:t>班培训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80</w:t>
      </w:r>
      <w:r>
        <w:rPr>
          <w:rFonts w:ascii="Times New Roman" w:hAnsi="Times New Roman" w:eastAsia="仿宋_GB2312" w:cs="Times New Roman"/>
          <w:sz w:val="32"/>
          <w:szCs w:val="32"/>
          <w:highlight w:val="none"/>
        </w:rPr>
        <w:t>人，内容</w:t>
      </w:r>
      <w:r>
        <w:rPr>
          <w:rFonts w:hint="eastAsia" w:ascii="Times New Roman" w:hAnsi="Times New Roman" w:eastAsia="仿宋_GB2312" w:cs="Times New Roman"/>
          <w:sz w:val="32"/>
          <w:szCs w:val="32"/>
          <w:highlight w:val="none"/>
          <w:lang w:eastAsia="zh-CN"/>
        </w:rPr>
        <w:t>为</w:t>
      </w:r>
      <w:r>
        <w:rPr>
          <w:rFonts w:hint="eastAsia" w:ascii="Times New Roman" w:hAnsi="Times New Roman" w:eastAsia="仿宋_GB2312" w:cs="Times New Roman"/>
          <w:sz w:val="32"/>
          <w:szCs w:val="32"/>
          <w:highlight w:val="none"/>
        </w:rPr>
        <w:t>围绕群体性突发事件处置、社会治理智能化、AI舆情图谱分析、国际形势与周边安全等课程开展学习，并结合厦门经济特区改革案例进行现场教学。</w:t>
      </w:r>
      <w:r>
        <w:rPr>
          <w:rFonts w:hint="eastAsia" w:ascii="Times New Roman" w:hAnsi="Times New Roman" w:eastAsia="仿宋_GB2312" w:cs="Times New Roman"/>
          <w:sz w:val="32"/>
          <w:szCs w:val="32"/>
          <w:highlight w:val="none"/>
          <w:lang w:eastAsia="zh-CN"/>
        </w:rPr>
        <w:t>未</w:t>
      </w:r>
      <w:r>
        <w:rPr>
          <w:rFonts w:ascii="Times New Roman" w:hAnsi="Times New Roman" w:eastAsia="仿宋_GB2312" w:cs="Times New Roman"/>
          <w:sz w:val="32"/>
          <w:szCs w:val="32"/>
          <w:highlight w:val="none"/>
        </w:rPr>
        <w:t>举办节庆、晚会、论坛、赛事活动</w:t>
      </w:r>
      <w:r>
        <w:rPr>
          <w:rFonts w:hint="eastAsia" w:ascii="Times New Roman" w:hAnsi="Times New Roman" w:eastAsia="仿宋_GB2312" w:cs="Times New Roman"/>
          <w:sz w:val="32"/>
          <w:szCs w:val="32"/>
          <w:highlight w:val="none"/>
          <w:lang w:eastAsia="zh-CN"/>
        </w:rPr>
        <w:t>等活动。</w:t>
      </w:r>
    </w:p>
    <w:p w14:paraId="17CD8A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D05EC9C">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5CBC9D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F675E6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中国共产党永州市委员会政法委员会</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1995F3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B8D2BF5">
      <w:pPr>
        <w:overflowPunct w:val="0"/>
        <w:spacing w:line="600" w:lineRule="exact"/>
        <w:ind w:firstLine="640" w:firstLineChars="200"/>
        <w:rPr>
          <w:rFonts w:ascii="Times New Roman" w:hAnsi="Times New Roman" w:eastAsia="楷体" w:cs="Times New Roman"/>
          <w:b/>
          <w:bCs/>
          <w:sz w:val="32"/>
          <w:szCs w:val="32"/>
          <w:highlight w:val="yellow"/>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中国共产党永州市委员会政法委员会</w:t>
      </w:r>
      <w:r>
        <w:rPr>
          <w:rFonts w:ascii="Times New Roman" w:hAnsi="Times New Roman" w:eastAsia="仿宋_GB2312" w:cs="Times New Roman"/>
          <w:kern w:val="0"/>
          <w:sz w:val="32"/>
          <w:szCs w:val="32"/>
        </w:rPr>
        <w:t>整体支出开展绩效自评，涉及项目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996.04</w:t>
      </w:r>
      <w:r>
        <w:rPr>
          <w:rFonts w:ascii="Times New Roman" w:hAnsi="Times New Roman" w:eastAsia="仿宋_GB2312" w:cs="Times New Roman"/>
          <w:kern w:val="0"/>
          <w:sz w:val="32"/>
          <w:szCs w:val="32"/>
        </w:rPr>
        <w:t>万元。其中，一般公共预算项目个</w:t>
      </w:r>
      <w:r>
        <w:rPr>
          <w:rFonts w:hint="eastAsia" w:ascii="Times New Roman" w:hAnsi="Times New Roman" w:eastAsia="仿宋_GB2312" w:cs="Times New Roman"/>
          <w:kern w:val="0"/>
          <w:sz w:val="32"/>
          <w:szCs w:val="32"/>
          <w:lang w:val="en-US" w:eastAsia="zh-CN"/>
        </w:rPr>
        <w:t>996.04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组织对单位</w:t>
      </w:r>
      <w:r>
        <w:rPr>
          <w:rFonts w:hint="eastAsia" w:ascii="Times New Roman" w:hAnsi="Times New Roman" w:eastAsia="仿宋_GB2312" w:cs="Times New Roman"/>
          <w:kern w:val="0"/>
          <w:sz w:val="32"/>
          <w:szCs w:val="32"/>
          <w:highlight w:val="none"/>
          <w:lang w:val="en-US" w:eastAsia="zh-CN"/>
        </w:rPr>
        <w:t>2</w:t>
      </w:r>
      <w:r>
        <w:rPr>
          <w:rFonts w:hint="eastAsia" w:ascii="Times New Roman" w:hAnsi="Times New Roman" w:eastAsia="仿宋_GB2312" w:cs="Times New Roman"/>
          <w:sz w:val="32"/>
          <w:szCs w:val="32"/>
          <w:lang w:val="en-US" w:eastAsia="zh-CN"/>
        </w:rPr>
        <w:t>024年法学会第二次会员代表大会会议费、</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kern w:val="0"/>
          <w:sz w:val="32"/>
          <w:szCs w:val="32"/>
          <w:highlight w:val="none"/>
          <w:lang w:eastAsia="zh-CN"/>
        </w:rPr>
        <w:t>市级</w:t>
      </w:r>
      <w:r>
        <w:rPr>
          <w:rFonts w:hint="eastAsia" w:ascii="Times New Roman" w:hAnsi="Times New Roman" w:eastAsia="仿宋_GB2312" w:cs="Times New Roman"/>
          <w:kern w:val="0"/>
          <w:sz w:val="32"/>
          <w:szCs w:val="32"/>
          <w:highlight w:val="none"/>
        </w:rPr>
        <w:t>维稳及扫黑除恶等重大案情督办协调专项</w:t>
      </w:r>
      <w:r>
        <w:rPr>
          <w:rFonts w:hint="eastAsia" w:ascii="Times New Roman" w:hAnsi="Times New Roman" w:eastAsia="仿宋_GB2312" w:cs="Times New Roman"/>
          <w:kern w:val="0"/>
          <w:sz w:val="32"/>
          <w:szCs w:val="32"/>
          <w:highlight w:val="none"/>
          <w:lang w:eastAsia="zh-CN"/>
        </w:rPr>
        <w:t>经费，市级综合治理、市域社会治理创建等检查评估及迎检专项经费，市级公务员医疗补助，省级维稳工作经费，省级平安考核奖励经费、</w:t>
      </w:r>
      <w:r>
        <w:rPr>
          <w:rFonts w:hint="eastAsia" w:ascii="Times New Roman" w:hAnsi="Times New Roman" w:eastAsia="仿宋_GB2312" w:cs="Times New Roman"/>
          <w:sz w:val="32"/>
          <w:szCs w:val="32"/>
          <w:highlight w:val="none"/>
          <w:lang w:val="en-US" w:eastAsia="zh-CN"/>
        </w:rPr>
        <w:t>2024年度离退休人员生活补贴</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kern w:val="0"/>
          <w:sz w:val="32"/>
          <w:szCs w:val="32"/>
          <w:highlight w:val="none"/>
        </w:rPr>
        <w:t>个项目开展了部门评价，政府性基金预算支出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ascii="Times New Roman" w:hAnsi="Times New Roman" w:eastAsia="仿宋_GB2312" w:cs="Times New Roman"/>
          <w:b/>
          <w:bCs/>
          <w:kern w:val="0"/>
          <w:sz w:val="32"/>
          <w:szCs w:val="32"/>
          <w:highlight w:val="none"/>
        </w:rPr>
        <w:t>三是事前绩效评估开展情况</w:t>
      </w:r>
      <w:r>
        <w:rPr>
          <w:rFonts w:hint="eastAsia" w:ascii="Times New Roman" w:hAnsi="Times New Roman" w:eastAsia="仿宋_GB2312" w:cs="Times New Roman"/>
          <w:b/>
          <w:bCs/>
          <w:kern w:val="0"/>
          <w:sz w:val="32"/>
          <w:szCs w:val="32"/>
          <w:highlight w:val="none"/>
          <w:lang w:eastAsia="zh-CN"/>
        </w:rPr>
        <w:t>。</w:t>
      </w:r>
      <w:r>
        <w:rPr>
          <w:rFonts w:hint="eastAsia" w:ascii="Times New Roman" w:hAnsi="Times New Roman" w:eastAsia="仿宋_GB2312" w:cs="Times New Roman"/>
          <w:kern w:val="0"/>
          <w:sz w:val="32"/>
          <w:szCs w:val="32"/>
          <w:highlight w:val="none"/>
          <w:lang w:eastAsia="zh-CN"/>
        </w:rPr>
        <w:t>市委政法委202</w:t>
      </w:r>
      <w:r>
        <w:rPr>
          <w:rFonts w:hint="eastAsia" w:ascii="Times New Roman" w:hAnsi="Times New Roman" w:eastAsia="仿宋_GB2312" w:cs="Times New Roman"/>
          <w:kern w:val="0"/>
          <w:sz w:val="32"/>
          <w:szCs w:val="32"/>
          <w:highlight w:val="none"/>
          <w:lang w:val="en-US" w:eastAsia="zh-CN"/>
        </w:rPr>
        <w:t>5</w:t>
      </w:r>
      <w:r>
        <w:rPr>
          <w:rFonts w:hint="eastAsia" w:ascii="Times New Roman" w:hAnsi="Times New Roman" w:eastAsia="仿宋_GB2312" w:cs="Times New Roman"/>
          <w:kern w:val="0"/>
          <w:sz w:val="32"/>
          <w:szCs w:val="32"/>
          <w:highlight w:val="none"/>
          <w:lang w:eastAsia="zh-CN"/>
        </w:rPr>
        <w:t>年度无新增重大政策和无新增重大项目开展事</w:t>
      </w:r>
      <w:r>
        <w:rPr>
          <w:rFonts w:ascii="Times New Roman" w:hAnsi="Times New Roman" w:eastAsia="仿宋_GB2312" w:cs="Times New Roman"/>
          <w:kern w:val="0"/>
          <w:sz w:val="32"/>
          <w:szCs w:val="32"/>
          <w:highlight w:val="none"/>
        </w:rPr>
        <w:t>前绩效评估，共涉及资金</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p>
    <w:p w14:paraId="53A699C3">
      <w:pPr>
        <w:snapToGrid w:val="0"/>
        <w:spacing w:line="52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中国共产党永州市委员会政法委员会</w:t>
      </w:r>
      <w:r>
        <w:rPr>
          <w:rFonts w:ascii="Times New Roman" w:hAnsi="Times New Roman" w:eastAsia="仿宋_GB2312" w:cs="Times New Roman"/>
          <w:sz w:val="32"/>
          <w:szCs w:val="32"/>
        </w:rPr>
        <w:t>整</w:t>
      </w:r>
      <w:r>
        <w:rPr>
          <w:rFonts w:ascii="Times New Roman" w:hAnsi="Times New Roman" w:eastAsia="仿宋_GB2312" w:cs="Times New Roman"/>
          <w:kern w:val="0"/>
          <w:sz w:val="32"/>
          <w:szCs w:val="32"/>
        </w:rPr>
        <w:t>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732.57</w:t>
      </w:r>
      <w:r>
        <w:rPr>
          <w:rFonts w:ascii="Times New Roman" w:hAnsi="Times New Roman" w:eastAsia="仿宋_GB2312" w:cs="Times New Roman"/>
          <w:sz w:val="32"/>
          <w:szCs w:val="32"/>
        </w:rPr>
        <w:t>万元，执行数</w:t>
      </w:r>
      <w:r>
        <w:rPr>
          <w:rFonts w:hint="eastAsia" w:ascii="Times New Roman" w:hAnsi="Times New Roman" w:eastAsia="仿宋_GB2312" w:cs="Times New Roman"/>
          <w:color w:val="000000"/>
          <w:sz w:val="32"/>
          <w:szCs w:val="32"/>
          <w:highlight w:val="none"/>
          <w:lang w:val="en-US" w:eastAsia="zh-CN"/>
        </w:rPr>
        <w:t>996.04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132.96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89</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优秀</w:t>
      </w:r>
      <w:r>
        <w:rPr>
          <w:rFonts w:ascii="Times New Roman" w:hAnsi="Times New Roman" w:eastAsia="仿宋_GB2312" w:cs="Times New Roman"/>
          <w:sz w:val="32"/>
          <w:szCs w:val="32"/>
          <w:highlight w:val="none"/>
        </w:rPr>
        <w:t>”。绩效目标完成情况：</w:t>
      </w:r>
      <w:r>
        <w:rPr>
          <w:rFonts w:hint="eastAsia" w:ascii="仿宋_GB2312" w:hAnsi="仿宋" w:eastAsia="仿宋_GB2312"/>
          <w:sz w:val="32"/>
          <w:szCs w:val="32"/>
          <w:highlight w:val="none"/>
          <w:lang w:val="en-US" w:eastAsia="zh-CN"/>
        </w:rPr>
        <w:t>1、意识形态工作深入推进。整合政法系统宣传资源，打造永州政法《法润潇湘·平安在线》宣传品牌。2、夯实基层基础。完成了11个县级综治中心、184个乡级综治中心规范化建设。3、全力做好节点安保。圆满完成全国两会、党的二十届四中全会等重要节点安保，尤其是“湘超”赛事安保，实现了7场主场、3场第二第三观赛现场“零事故”。4、深化“五警”建设，努力锻造忠诚干净担当的政法铁军。召开全市政法系统党风廉政建设工作会议；开展深入贯彻中央八项规定精神学习教育；推进“强作风纪律、锻政法铁军”专项整治，组织开展两轮政法系统纪律作风明察暗访。举办全市政法系统“法治润潇湘 铁血担正义”主题演讲比赛和首届全市“政法杯”气排球比赛，政法队伍凝聚力、向心力持续增强。</w:t>
      </w:r>
      <w:r>
        <w:rPr>
          <w:rFonts w:ascii="Times New Roman" w:hAnsi="Times New Roman" w:eastAsia="仿宋_GB2312" w:cs="Times New Roman"/>
          <w:sz w:val="32"/>
          <w:szCs w:val="32"/>
          <w:highlight w:val="none"/>
        </w:rPr>
        <w:t>发现的主要问题及原因：一是</w:t>
      </w:r>
      <w:r>
        <w:rPr>
          <w:rFonts w:hint="eastAsia" w:ascii="仿宋_GB2312" w:eastAsia="仿宋_GB2312"/>
          <w:sz w:val="32"/>
          <w:szCs w:val="32"/>
          <w:highlight w:val="none"/>
        </w:rPr>
        <w:t>预算管理方面</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年度各专项资金收支基本平衡，达到了预期目标。预算编制的计划性和执行管理上有待提高，制度的执行有待进一步强化，资金使用的合规性有待进一步规范</w:t>
      </w:r>
      <w:r>
        <w:rPr>
          <w:rFonts w:ascii="Times New Roman" w:hAnsi="Times New Roman" w:eastAsia="仿宋_GB2312" w:cs="Times New Roman"/>
          <w:sz w:val="32"/>
          <w:szCs w:val="32"/>
          <w:highlight w:val="none"/>
        </w:rPr>
        <w:t>；二是</w:t>
      </w:r>
      <w:r>
        <w:rPr>
          <w:rFonts w:hint="eastAsia" w:ascii="仿宋_GB2312" w:eastAsia="仿宋_GB2312"/>
          <w:sz w:val="32"/>
          <w:szCs w:val="32"/>
          <w:highlight w:val="none"/>
        </w:rPr>
        <w:t>项目核算方面</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年中国共产党永州市委员会政法委员会主要专项支出包括市政法委维稳及扫黑除恶等重大案情督办协调专项、综合治理专项检查评估及迎检专项经费。财务核算在制度上还有待完善。</w:t>
      </w:r>
      <w:r>
        <w:rPr>
          <w:rFonts w:ascii="Times New Roman" w:hAnsi="Times New Roman" w:eastAsia="仿宋_GB2312" w:cs="Times New Roman"/>
          <w:sz w:val="32"/>
          <w:szCs w:val="32"/>
          <w:highlight w:val="none"/>
        </w:rPr>
        <w:t>下一步改进措施：一是</w:t>
      </w:r>
      <w:r>
        <w:rPr>
          <w:rFonts w:hint="eastAsia" w:ascii="仿宋_GB2312" w:hAnsi="Times New Roman" w:eastAsia="仿宋_GB2312" w:cs="Times New Roman"/>
          <w:sz w:val="32"/>
          <w:szCs w:val="32"/>
          <w:highlight w:val="none"/>
        </w:rPr>
        <w:t>加强财务管理，严格财务审核。加强单位财务管理，健全单位财务管理制度体系，规范单位财务行为。在费用报账支付时，按照预算规定的费用项目和用途进行资金使用审核、列报支付、财务核算，杜绝超支现象的发生。</w:t>
      </w:r>
      <w:r>
        <w:rPr>
          <w:rFonts w:ascii="Times New Roman" w:hAnsi="Times New Roman" w:eastAsia="仿宋_GB2312" w:cs="Times New Roman"/>
          <w:sz w:val="32"/>
          <w:szCs w:val="32"/>
          <w:highlight w:val="none"/>
        </w:rPr>
        <w:t>二是</w:t>
      </w:r>
      <w:r>
        <w:rPr>
          <w:rFonts w:hint="eastAsia" w:ascii="仿宋_GB2312" w:hAnsi="Times New Roman" w:eastAsia="仿宋_GB2312" w:cs="Times New Roman"/>
          <w:sz w:val="32"/>
          <w:szCs w:val="32"/>
          <w:highlight w:val="none"/>
        </w:rPr>
        <w:t>严格规范专项资金的审批程序，切实做好专项资金专款专用，严禁专项资金挪作他用。设置专项资金科目进行核算，真实反馈专项资金使用情况，严禁专项资金在项目间自行调剂</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 xml:space="preserve">            </w:t>
      </w:r>
      <w:r>
        <w:rPr>
          <w:rFonts w:hint="eastAsia" w:ascii="Times New Roman" w:hAnsi="Times New Roman" w:eastAsia="仿宋_GB2312" w:cs="Times New Roman"/>
          <w:sz w:val="32"/>
          <w:szCs w:val="32"/>
          <w:lang w:val="en-US" w:eastAsia="zh-CN"/>
        </w:rPr>
        <w:t xml:space="preserve">  </w:t>
      </w:r>
    </w:p>
    <w:p w14:paraId="5AE03D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highlight w:val="none"/>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1、2024年法学会第二次会员代表大会会议费预算数0万元，</w:t>
      </w:r>
      <w:r>
        <w:rPr>
          <w:rFonts w:ascii="Times New Roman" w:hAnsi="Times New Roman" w:eastAsia="仿宋_GB2312" w:cs="Times New Roman"/>
          <w:sz w:val="32"/>
          <w:szCs w:val="32"/>
        </w:rPr>
        <w:t>执行数</w:t>
      </w:r>
      <w:r>
        <w:rPr>
          <w:rFonts w:hint="eastAsia" w:ascii="Times New Roman" w:hAnsi="Times New Roman" w:eastAsia="仿宋_GB2312" w:cs="Times New Roman"/>
          <w:sz w:val="32"/>
          <w:szCs w:val="32"/>
          <w:lang w:val="en-US" w:eastAsia="zh-CN"/>
        </w:rPr>
        <w:t>0.52</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89</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”。发现的主要问题及原因：一是</w:t>
      </w:r>
      <w:r>
        <w:rPr>
          <w:rFonts w:hint="eastAsia" w:ascii="Times New Roman" w:hAnsi="Times New Roman" w:eastAsia="仿宋_GB2312" w:cs="Times New Roman"/>
          <w:sz w:val="32"/>
          <w:szCs w:val="32"/>
          <w:highlight w:val="none"/>
        </w:rPr>
        <w:t>预算编制的计划性和执行管理上有待提高，制度的执行有待进一步强化，资金使用的合规性有待进一步规范。</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规范专项资金的审批程序，切实做好专项资金专款专用，严禁专项资金挪作他用。设置专项资金科目进行核算，真实反馈专项资金使用情况，严禁专项资金在项目间自行调剂。完善财务管理制度，严格规范现金使用的范围，尽量避免大额付现，确保单位资金安全和完整</w:t>
      </w:r>
      <w:r>
        <w:rPr>
          <w:rFonts w:ascii="Times New Roman" w:hAnsi="Times New Roman" w:eastAsia="仿宋_GB2312" w:cs="Times New Roman"/>
          <w:kern w:val="0"/>
          <w:sz w:val="32"/>
          <w:szCs w:val="32"/>
          <w:highlight w:val="none"/>
        </w:rPr>
        <w:t>。</w:t>
      </w:r>
    </w:p>
    <w:p w14:paraId="3AF532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cs="Times New Roman"/>
          <w:sz w:val="32"/>
          <w:szCs w:val="32"/>
          <w:highlight w:val="none"/>
          <w:lang w:val="en-US" w:eastAsia="zh-CN"/>
        </w:rPr>
        <w:t>2、2025年维稳及扫黑除恶等重大案情督办协调专项经费</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40.97</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89</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财务核算在制度上还有待完善</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今后严格按照《会计法》、《行政单位会计制度》、《行政单位财务规则》等规定执行财务核算，并结合实际情况，完整、准确地披露相关信息，做到收入与支出明细核算</w:t>
      </w:r>
      <w:r>
        <w:rPr>
          <w:rFonts w:ascii="Times New Roman" w:hAnsi="Times New Roman" w:eastAsia="仿宋_GB2312" w:cs="Times New Roman"/>
          <w:sz w:val="32"/>
          <w:szCs w:val="32"/>
          <w:highlight w:val="none"/>
        </w:rPr>
        <w:t>。</w:t>
      </w:r>
    </w:p>
    <w:p w14:paraId="337DF7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3、2025年综合治理（平安建设）及市域社会治理等专项经费</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20.48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财务核算在制度上还有待完善</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今后严格按照《会计法》、《行政单位会计制度》、《行政单位财务规则》等规定执行财务核算，并结合实际情况，完整、准确地披露相关信息，做到收入与支出明细核算</w:t>
      </w:r>
      <w:r>
        <w:rPr>
          <w:rFonts w:ascii="Times New Roman" w:hAnsi="Times New Roman" w:eastAsia="仿宋_GB2312" w:cs="Times New Roman"/>
          <w:sz w:val="32"/>
          <w:szCs w:val="32"/>
          <w:highlight w:val="none"/>
        </w:rPr>
        <w:t>。</w:t>
      </w:r>
    </w:p>
    <w:p w14:paraId="37C279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4、2024年平安考核奖励经费</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18.99</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98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lang w:eastAsia="zh-CN"/>
        </w:rPr>
        <w:t>拨付时间过慢。</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lang w:eastAsia="zh-CN"/>
        </w:rPr>
        <w:t>及时提高工作效率。</w:t>
      </w:r>
    </w:p>
    <w:p w14:paraId="7FC589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5、2025年维稳工作经费0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财务核算在制度上还有待完善</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今后严格按照《会计法》、《行政单位会计制度》、《行政单位财务规则》等规定执行财务核算，并结合实际情况，完整、准确地披露相关信息，做到收入与支出明细核算</w:t>
      </w:r>
      <w:r>
        <w:rPr>
          <w:rFonts w:ascii="Times New Roman" w:hAnsi="Times New Roman" w:eastAsia="仿宋_GB2312" w:cs="Times New Roman"/>
          <w:sz w:val="32"/>
          <w:szCs w:val="32"/>
          <w:highlight w:val="none"/>
        </w:rPr>
        <w:t>。</w:t>
      </w:r>
    </w:p>
    <w:p w14:paraId="7D8F98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6、2024年度离退休人员生活补贴</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39.91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财务核算在制度上还有待完善</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今后严格按照《会计法》、《行政单位会计制度》、《行政单位财务规则》等规定执行财务核算，并结合实际情况，完整、准确地披露相关信息，做到收入与支出明细核算</w:t>
      </w:r>
      <w:r>
        <w:rPr>
          <w:rFonts w:ascii="Times New Roman" w:hAnsi="Times New Roman" w:eastAsia="仿宋_GB2312" w:cs="Times New Roman"/>
          <w:sz w:val="32"/>
          <w:szCs w:val="32"/>
          <w:highlight w:val="none"/>
        </w:rPr>
        <w:t>。</w:t>
      </w:r>
    </w:p>
    <w:p w14:paraId="4EDD15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7、2024年度公务员医疗补助</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2.85</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88</w:t>
      </w:r>
      <w:r>
        <w:rPr>
          <w:rFonts w:ascii="Times New Roman" w:hAnsi="Times New Roman" w:eastAsia="仿宋_GB2312" w:cs="Times New Roman"/>
          <w:sz w:val="32"/>
          <w:szCs w:val="32"/>
          <w:highlight w:val="none"/>
        </w:rPr>
        <w:t>分，评价等级为“</w:t>
      </w:r>
      <w:r>
        <w:rPr>
          <w:rFonts w:hint="eastAsia" w:ascii="Times New Roman" w:hAnsi="Times New Roman" w:eastAsia="仿宋_GB2312" w:cs="Times New Roman"/>
          <w:sz w:val="32"/>
          <w:szCs w:val="32"/>
          <w:highlight w:val="none"/>
          <w:lang w:eastAsia="zh-CN"/>
        </w:rPr>
        <w:t>优</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财务核算在制度上还有待完善</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今后严格按照《会计法》、《行政单位会计制度》、《行政单位财务规则》等规定执行财务核算，并结合实际情况，完整、准确地披露相关信息，做到收入与支出明细核算</w:t>
      </w:r>
      <w:r>
        <w:rPr>
          <w:rFonts w:ascii="Times New Roman" w:hAnsi="Times New Roman" w:eastAsia="仿宋_GB2312" w:cs="Times New Roman"/>
          <w:sz w:val="32"/>
          <w:szCs w:val="32"/>
          <w:highlight w:val="none"/>
        </w:rPr>
        <w:t>。</w:t>
      </w:r>
    </w:p>
    <w:p w14:paraId="166E7E4B">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highlight w:val="none"/>
        </w:rPr>
        <w:t>三是事前绩效评估结果。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kern w:val="0"/>
          <w:sz w:val="32"/>
          <w:szCs w:val="32"/>
          <w:highlight w:val="none"/>
        </w:rPr>
        <w:t>个重大项目事前绩效评估，其中，</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kern w:val="0"/>
          <w:sz w:val="32"/>
          <w:szCs w:val="32"/>
          <w:highlight w:val="none"/>
        </w:rPr>
        <w:t>个项目评估通过，涉及资金</w:t>
      </w:r>
      <w:r>
        <w:rPr>
          <w:rFonts w:hint="eastAsia" w:ascii="Times New Roman" w:hAnsi="Times New Roman" w:eastAsia="仿宋_GB2312" w:cs="Times New Roman"/>
          <w:sz w:val="32"/>
          <w:szCs w:val="32"/>
          <w:highlight w:val="none"/>
          <w:lang w:val="en-US" w:eastAsia="zh-CN"/>
        </w:rPr>
        <w:t>133.72</w:t>
      </w:r>
      <w:r>
        <w:rPr>
          <w:rFonts w:ascii="Times New Roman" w:hAnsi="Times New Roman" w:eastAsia="仿宋_GB2312" w:cs="Times New Roman"/>
          <w:kern w:val="0"/>
          <w:sz w:val="32"/>
          <w:szCs w:val="32"/>
          <w:highlight w:val="none"/>
        </w:rPr>
        <w:t>万</w:t>
      </w:r>
      <w:r>
        <w:rPr>
          <w:rFonts w:ascii="Times New Roman" w:hAnsi="Times New Roman" w:eastAsia="仿宋_GB2312" w:cs="Times New Roman"/>
          <w:kern w:val="0"/>
          <w:sz w:val="32"/>
          <w:szCs w:val="32"/>
        </w:rPr>
        <w:t>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25E8F832">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1448192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一、预算安排优化</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重点增加对核心职能履行和重大政策落实项目的支持力度，确保财政资源向高绩效领域倾斜。</w:t>
      </w:r>
    </w:p>
    <w:p w14:paraId="2BD0041D">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二、支出结构合理调整</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结合评价中发现的问题，优化支出方向：减少非急需、非刚性支出，严控一般性开支；强化成本控制和效益提升，推动跨部门协同项目的资源整合。</w:t>
      </w:r>
    </w:p>
    <w:p w14:paraId="0E4399AC">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三、资金管理效能提升</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针对财政评价指出的资金执行缓慢、使用不规范等问题，将采取以下措施：强化预算执行监控，建立支出进度预警机制</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加强内控和审计监督，确保资金使用安全、规范、有效。</w:t>
      </w:r>
    </w:p>
    <w:p w14:paraId="532CE14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四、制度建设与完善</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根据绩效管理中发现的管理漏洞和机制短板，重点推进：完善项目事前评估、事中监控和事后评价的全流程管理规范；推动绩效信息公开，增强透明度和问责约束。</w:t>
      </w:r>
    </w:p>
    <w:p w14:paraId="0305BCA3">
      <w:pPr>
        <w:pStyle w:val="13"/>
        <w:overflowPunct w:val="0"/>
        <w:autoSpaceDE/>
        <w:autoSpaceDN/>
        <w:spacing w:line="600" w:lineRule="exact"/>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auto"/>
          <w:sz w:val="32"/>
          <w:szCs w:val="32"/>
        </w:rPr>
        <w:t>综上，本</w:t>
      </w:r>
      <w:r>
        <w:rPr>
          <w:rFonts w:hint="eastAsia" w:ascii="Times New Roman" w:hAnsi="Times New Roman" w:eastAsia="仿宋_GB2312" w:cs="Times New Roman"/>
          <w:color w:val="auto"/>
          <w:sz w:val="32"/>
          <w:szCs w:val="32"/>
          <w:lang w:eastAsia="zh-CN"/>
        </w:rPr>
        <w:t>单位</w:t>
      </w:r>
      <w:r>
        <w:rPr>
          <w:rFonts w:hint="eastAsia" w:ascii="Times New Roman" w:hAnsi="Times New Roman" w:eastAsia="仿宋_GB2312" w:cs="Times New Roman"/>
          <w:color w:val="auto"/>
          <w:sz w:val="32"/>
          <w:szCs w:val="32"/>
        </w:rPr>
        <w:t>将坚持以绩效为导向，强化结果应用，持续提升财政资源配置效率和公共服务质量。</w:t>
      </w:r>
    </w:p>
    <w:p w14:paraId="34346445">
      <w:pPr>
        <w:pStyle w:val="13"/>
        <w:jc w:val="both"/>
        <w:rPr>
          <w:rFonts w:ascii="Times New Roman" w:hAnsi="Times New Roman" w:cs="Times New Roman"/>
          <w:sz w:val="72"/>
          <w:szCs w:val="72"/>
        </w:rPr>
      </w:pPr>
    </w:p>
    <w:p w14:paraId="035143F4">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1186207A">
      <w:pPr>
        <w:pStyle w:val="13"/>
        <w:spacing w:line="360" w:lineRule="auto"/>
        <w:jc w:val="center"/>
        <w:rPr>
          <w:rFonts w:ascii="Times New Roman" w:hAnsi="Times New Roman" w:eastAsia="方正小标宋_GBK" w:cs="Times New Roman"/>
          <w:sz w:val="52"/>
          <w:szCs w:val="52"/>
        </w:rPr>
      </w:pPr>
    </w:p>
    <w:p w14:paraId="78FB639B">
      <w:pPr>
        <w:pStyle w:val="13"/>
        <w:spacing w:line="360" w:lineRule="auto"/>
        <w:jc w:val="center"/>
        <w:rPr>
          <w:rFonts w:ascii="Times New Roman" w:hAnsi="Times New Roman" w:eastAsia="方正小标宋_GBK" w:cs="Times New Roman"/>
          <w:sz w:val="52"/>
          <w:szCs w:val="52"/>
        </w:rPr>
      </w:pPr>
    </w:p>
    <w:p w14:paraId="5A77783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C614A1C">
      <w:pPr>
        <w:widowControl/>
        <w:jc w:val="left"/>
        <w:rPr>
          <w:rFonts w:ascii="Times New Roman" w:hAnsi="Times New Roman" w:cs="Times New Roman"/>
          <w:color w:val="000000"/>
          <w:kern w:val="0"/>
          <w:sz w:val="32"/>
          <w:szCs w:val="32"/>
        </w:rPr>
      </w:pPr>
    </w:p>
    <w:p w14:paraId="38AE2C0E">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692FC566">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3923D280">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3DEF070F">
      <w:pPr>
        <w:pStyle w:val="13"/>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73EA654E">
      <w:pPr>
        <w:pStyle w:val="13"/>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（名词解释应包含本部门专有名词，如省财政厅应有对“财政事务”科目的解释，可参考中央相关部门的名词解释）</w:t>
      </w:r>
    </w:p>
    <w:p w14:paraId="7CCCF533">
      <w:pPr>
        <w:pStyle w:val="13"/>
        <w:jc w:val="center"/>
        <w:rPr>
          <w:rFonts w:ascii="Times New Roman" w:hAnsi="Times New Roman" w:cs="Times New Roman"/>
          <w:sz w:val="72"/>
          <w:szCs w:val="72"/>
        </w:rPr>
      </w:pPr>
    </w:p>
    <w:p w14:paraId="4EBC34AB">
      <w:pPr>
        <w:pStyle w:val="13"/>
        <w:jc w:val="center"/>
        <w:rPr>
          <w:rFonts w:ascii="Times New Roman" w:hAnsi="Times New Roman" w:cs="Times New Roman"/>
          <w:sz w:val="72"/>
          <w:szCs w:val="72"/>
        </w:rPr>
      </w:pPr>
    </w:p>
    <w:p w14:paraId="4DA8AAE2">
      <w:pPr>
        <w:pStyle w:val="13"/>
        <w:jc w:val="center"/>
        <w:rPr>
          <w:rFonts w:ascii="Times New Roman" w:hAnsi="Times New Roman" w:cs="Times New Roman"/>
          <w:sz w:val="72"/>
          <w:szCs w:val="72"/>
        </w:rPr>
      </w:pPr>
    </w:p>
    <w:p w14:paraId="367A45C9">
      <w:pPr>
        <w:pStyle w:val="13"/>
        <w:jc w:val="center"/>
        <w:rPr>
          <w:rFonts w:ascii="Times New Roman" w:hAnsi="Times New Roman" w:cs="Times New Roman"/>
          <w:sz w:val="72"/>
          <w:szCs w:val="72"/>
        </w:rPr>
      </w:pPr>
    </w:p>
    <w:p w14:paraId="40C58DE4">
      <w:pPr>
        <w:pStyle w:val="13"/>
        <w:jc w:val="center"/>
        <w:rPr>
          <w:rFonts w:ascii="Times New Roman" w:hAnsi="Times New Roman" w:cs="Times New Roman"/>
          <w:sz w:val="72"/>
          <w:szCs w:val="72"/>
        </w:rPr>
      </w:pPr>
    </w:p>
    <w:p w14:paraId="15A6B519">
      <w:pPr>
        <w:pStyle w:val="13"/>
        <w:jc w:val="center"/>
        <w:rPr>
          <w:rFonts w:ascii="Times New Roman" w:hAnsi="Times New Roman" w:cs="Times New Roman"/>
          <w:sz w:val="72"/>
          <w:szCs w:val="72"/>
        </w:rPr>
      </w:pPr>
    </w:p>
    <w:p w14:paraId="2A2146F6">
      <w:pPr>
        <w:pStyle w:val="13"/>
        <w:jc w:val="center"/>
        <w:rPr>
          <w:rFonts w:ascii="Times New Roman" w:hAnsi="Times New Roman" w:cs="Times New Roman"/>
          <w:sz w:val="72"/>
          <w:szCs w:val="72"/>
        </w:rPr>
      </w:pPr>
    </w:p>
    <w:p w14:paraId="02821E44">
      <w:pPr>
        <w:pStyle w:val="13"/>
        <w:jc w:val="both"/>
        <w:rPr>
          <w:rFonts w:ascii="Times New Roman" w:hAnsi="Times New Roman" w:cs="Times New Roman"/>
          <w:sz w:val="72"/>
          <w:szCs w:val="72"/>
        </w:rPr>
      </w:pPr>
    </w:p>
    <w:p w14:paraId="7311857D">
      <w:pPr>
        <w:pStyle w:val="13"/>
        <w:keepNext w:val="0"/>
        <w:keepLines w:val="0"/>
        <w:pageBreakBefore w:val="0"/>
        <w:widowControl w:val="0"/>
        <w:kinsoku/>
        <w:wordWrap/>
        <w:overflowPunct/>
        <w:topLinePunct w:val="0"/>
        <w:bidi w:val="0"/>
        <w:spacing w:line="56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25E97FE">
      <w:pPr>
        <w:pStyle w:val="13"/>
        <w:keepNext w:val="0"/>
        <w:keepLines w:val="0"/>
        <w:pageBreakBefore w:val="0"/>
        <w:widowControl w:val="0"/>
        <w:kinsoku/>
        <w:wordWrap/>
        <w:overflowPunct/>
        <w:topLinePunct w:val="0"/>
        <w:bidi w:val="0"/>
        <w:spacing w:line="560" w:lineRule="exact"/>
        <w:jc w:val="center"/>
        <w:textAlignment w:val="auto"/>
        <w:rPr>
          <w:rFonts w:ascii="Times New Roman" w:hAnsi="Times New Roman" w:eastAsia="方正小标宋_GBK" w:cs="Times New Roman"/>
          <w:sz w:val="52"/>
          <w:szCs w:val="52"/>
        </w:rPr>
      </w:pPr>
    </w:p>
    <w:p w14:paraId="4449AB5F">
      <w:pPr>
        <w:pStyle w:val="13"/>
        <w:keepNext w:val="0"/>
        <w:keepLines w:val="0"/>
        <w:pageBreakBefore w:val="0"/>
        <w:widowControl w:val="0"/>
        <w:kinsoku/>
        <w:wordWrap/>
        <w:overflowPunct/>
        <w:topLinePunct w:val="0"/>
        <w:bidi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EA67BA3">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14:paraId="18ADCBD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楷体_GB2312" w:eastAsia="楷体_GB2312"/>
          <w:b w:val="0"/>
          <w:bCs w:val="0"/>
          <w:sz w:val="32"/>
          <w:szCs w:val="32"/>
        </w:rPr>
      </w:pPr>
      <w:r>
        <w:rPr>
          <w:rFonts w:hint="eastAsia" w:ascii="楷体_GB2312" w:eastAsia="楷体_GB2312"/>
          <w:b w:val="0"/>
          <w:bCs w:val="0"/>
          <w:sz w:val="32"/>
          <w:szCs w:val="32"/>
          <w:lang w:val="en-US" w:eastAsia="zh-CN"/>
        </w:rPr>
        <w:t>（1）单位</w:t>
      </w:r>
      <w:r>
        <w:rPr>
          <w:rFonts w:hint="eastAsia" w:ascii="楷体_GB2312" w:eastAsia="楷体_GB2312"/>
          <w:b w:val="0"/>
          <w:bCs w:val="0"/>
          <w:sz w:val="32"/>
          <w:szCs w:val="32"/>
        </w:rPr>
        <w:t>职能职责</w:t>
      </w:r>
    </w:p>
    <w:p w14:paraId="239476E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中国共产党永州市委员会政法委员会是党委领导和管理政法工作的职能部门。中国共产党永州市委员会政法委员会是正处级的行政机关,主要职责是：</w:t>
      </w:r>
    </w:p>
    <w:p w14:paraId="5DB778E0">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1.根据党中央的路线、方针、政策和市委的部署，统一政法各部门的思想和行动，确保政法部门的执法活动坚持正确的政治方向。</w:t>
      </w:r>
    </w:p>
    <w:p w14:paraId="20EDA8E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研究制定贯彻落实上级党委和市委关于政法工作的方针、政策和维护社会政治稳定的指示措施，及时向市委提出意见和建议，对一定时期内的政法工作、社会治安综合治理工作、维护社会政治稳定工作做出全局性的部署,并督促检查，抓好贯彻落实。</w:t>
      </w:r>
    </w:p>
    <w:p w14:paraId="2C8B0974">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3.组织推动政法工作的调查研究，推动政法工作改革。</w:t>
      </w:r>
    </w:p>
    <w:p w14:paraId="38D8FF8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4.监督检查政法部门执行宪法、法律、法规和公正司法情况，研究制定严格执法、维护司法公正的具体措施。支持和监督政法各部门依法行使职权,指导和协调政法部门工作，研究和协调有争议的重大疑难案件。</w:t>
      </w:r>
    </w:p>
    <w:p w14:paraId="677DBED5">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5.研究加强全市政法队伍建设的措施，会同市委组织部考察、管理政法部门领导班子和领导干部，协助纪检、监察部门查处政法干警违法违纪的案件。</w:t>
      </w:r>
    </w:p>
    <w:p w14:paraId="7ECF1E56">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6.组织、协调、指导全市社会治安综合治理工作，推动各项综治措施的落实。</w:t>
      </w:r>
    </w:p>
    <w:p w14:paraId="5C74AF04">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7.组织、协调、指导全市维护社会政治稳定工作。</w:t>
      </w:r>
    </w:p>
    <w:p w14:paraId="43709812">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8.指导下级政法委员会的工作。</w:t>
      </w:r>
    </w:p>
    <w:p w14:paraId="05D90043">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9.完成市委和省党委政法委员会交办的其他事项。</w:t>
      </w:r>
    </w:p>
    <w:p w14:paraId="303C35F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楷体_GB2312" w:eastAsia="楷体_GB2312"/>
          <w:b w:val="0"/>
          <w:bCs w:val="0"/>
          <w:color w:val="auto"/>
          <w:sz w:val="32"/>
          <w:szCs w:val="32"/>
          <w:lang w:eastAsia="zh-CN"/>
        </w:rPr>
      </w:pPr>
      <w:r>
        <w:rPr>
          <w:rFonts w:hint="eastAsia" w:ascii="楷体_GB2312" w:eastAsia="楷体_GB2312"/>
          <w:b w:val="0"/>
          <w:bCs w:val="0"/>
          <w:color w:val="auto"/>
          <w:sz w:val="32"/>
          <w:szCs w:val="32"/>
          <w:lang w:val="en-US" w:eastAsia="zh-CN"/>
        </w:rPr>
        <w:t>（2）</w:t>
      </w:r>
      <w:r>
        <w:rPr>
          <w:rFonts w:hint="eastAsia" w:ascii="楷体_GB2312" w:eastAsia="楷体_GB2312"/>
          <w:b w:val="0"/>
          <w:bCs w:val="0"/>
          <w:color w:val="auto"/>
          <w:sz w:val="32"/>
          <w:szCs w:val="32"/>
        </w:rPr>
        <w:t>机构</w:t>
      </w:r>
      <w:r>
        <w:rPr>
          <w:rFonts w:hint="eastAsia" w:ascii="楷体_GB2312" w:eastAsia="楷体_GB2312"/>
          <w:b w:val="0"/>
          <w:bCs w:val="0"/>
          <w:color w:val="auto"/>
          <w:sz w:val="32"/>
          <w:szCs w:val="32"/>
          <w:lang w:eastAsia="zh-CN"/>
        </w:rPr>
        <w:t>编制</w:t>
      </w:r>
    </w:p>
    <w:p w14:paraId="06B0F09E">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Times New Roman" w:eastAsia="仿宋_GB2312" w:cs="Times New Roman"/>
          <w:snapToGrid w:val="0"/>
          <w:kern w:val="0"/>
          <w:sz w:val="32"/>
          <w:szCs w:val="32"/>
          <w:highlight w:val="none"/>
        </w:rPr>
      </w:pPr>
      <w:r>
        <w:rPr>
          <w:rFonts w:hint="eastAsia" w:ascii="仿宋_GB2312" w:eastAsia="仿宋_GB2312"/>
          <w:sz w:val="32"/>
          <w:szCs w:val="32"/>
          <w:highlight w:val="none"/>
        </w:rPr>
        <w:t>中国共产党永州市委员会政法委员会属全额预算拨款的正处级单位，设办公室、政治部、政策研究室、宣传教育科、政治安全科、反邪教协调科、维稳指导科、法治科、综治督导科、基层社会治理科、执法监督室、扫黑</w:t>
      </w:r>
      <w:r>
        <w:rPr>
          <w:rFonts w:hint="eastAsia" w:ascii="仿宋_GB2312" w:eastAsia="仿宋_GB2312"/>
          <w:sz w:val="32"/>
          <w:szCs w:val="32"/>
          <w:highlight w:val="none"/>
          <w:lang w:eastAsia="zh-CN"/>
        </w:rPr>
        <w:t>除恶指导科等</w:t>
      </w:r>
      <w:r>
        <w:rPr>
          <w:rFonts w:hint="eastAsia" w:ascii="仿宋_GB2312" w:eastAsia="仿宋_GB2312"/>
          <w:sz w:val="32"/>
          <w:szCs w:val="32"/>
          <w:highlight w:val="none"/>
          <w:lang w:val="en-US" w:eastAsia="zh-CN"/>
        </w:rPr>
        <w:t>12个职能科室；下设</w:t>
      </w:r>
      <w:r>
        <w:rPr>
          <w:rFonts w:hint="eastAsia" w:ascii="仿宋_GB2312" w:eastAsia="仿宋_GB2312"/>
          <w:sz w:val="32"/>
          <w:szCs w:val="32"/>
          <w:highlight w:val="none"/>
          <w:lang w:eastAsia="zh-CN"/>
        </w:rPr>
        <w:t>市</w:t>
      </w:r>
      <w:r>
        <w:rPr>
          <w:rFonts w:hint="eastAsia" w:ascii="仿宋_GB2312" w:eastAsia="仿宋_GB2312"/>
          <w:sz w:val="32"/>
          <w:szCs w:val="32"/>
          <w:highlight w:val="none"/>
        </w:rPr>
        <w:t>法学会、</w:t>
      </w:r>
      <w:r>
        <w:rPr>
          <w:rFonts w:hint="eastAsia" w:ascii="仿宋_GB2312" w:eastAsia="仿宋_GB2312"/>
          <w:sz w:val="32"/>
          <w:szCs w:val="32"/>
          <w:highlight w:val="none"/>
          <w:lang w:eastAsia="zh-CN"/>
        </w:rPr>
        <w:t>市综治中心</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2个二级事业单位。</w:t>
      </w:r>
    </w:p>
    <w:p w14:paraId="763EC1F2">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楷体_GB2312" w:eastAsia="楷体_GB2312"/>
          <w:b w:val="0"/>
          <w:bCs w:val="0"/>
          <w:sz w:val="32"/>
          <w:szCs w:val="32"/>
          <w:highlight w:val="none"/>
          <w:lang w:eastAsia="zh-CN"/>
        </w:rPr>
      </w:pPr>
      <w:r>
        <w:rPr>
          <w:rFonts w:hint="eastAsia" w:ascii="楷体_GB2312" w:eastAsia="楷体_GB2312"/>
          <w:b w:val="0"/>
          <w:bCs w:val="0"/>
          <w:sz w:val="32"/>
          <w:szCs w:val="32"/>
          <w:highlight w:val="none"/>
          <w:lang w:val="en-US" w:eastAsia="zh-CN"/>
        </w:rPr>
        <w:t>（3）</w:t>
      </w:r>
      <w:r>
        <w:rPr>
          <w:rFonts w:hint="eastAsia" w:ascii="楷体_GB2312" w:eastAsia="楷体_GB2312"/>
          <w:b w:val="0"/>
          <w:bCs w:val="0"/>
          <w:sz w:val="32"/>
          <w:szCs w:val="32"/>
          <w:highlight w:val="none"/>
          <w:lang w:eastAsia="zh-CN"/>
        </w:rPr>
        <w:t>人员编制</w:t>
      </w:r>
    </w:p>
    <w:p w14:paraId="7BD7C95D">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eastAsia="仿宋_GB2312"/>
          <w:sz w:val="32"/>
          <w:szCs w:val="32"/>
          <w:highlight w:val="yellow"/>
        </w:rPr>
      </w:pPr>
      <w:r>
        <w:rPr>
          <w:rFonts w:hint="eastAsia" w:eastAsia="仿宋_GB2312"/>
          <w:color w:val="000000"/>
          <w:sz w:val="32"/>
          <w:szCs w:val="32"/>
          <w:highlight w:val="none"/>
          <w:lang w:eastAsia="zh-CN"/>
        </w:rPr>
        <w:t>全委编制</w:t>
      </w:r>
      <w:r>
        <w:rPr>
          <w:rFonts w:hint="eastAsia" w:eastAsia="仿宋_GB2312"/>
          <w:color w:val="000000"/>
          <w:sz w:val="32"/>
          <w:szCs w:val="32"/>
          <w:highlight w:val="none"/>
          <w:lang w:val="en-US" w:eastAsia="zh-CN"/>
        </w:rPr>
        <w:t>45人，其中行政编制36人，事业编制9人，</w:t>
      </w:r>
      <w:r>
        <w:rPr>
          <w:rFonts w:hint="eastAsia" w:ascii="仿宋_GB2312" w:eastAsia="仿宋_GB2312"/>
          <w:sz w:val="32"/>
          <w:szCs w:val="32"/>
          <w:highlight w:val="none"/>
        </w:rPr>
        <w:t>实有在编人员</w:t>
      </w:r>
      <w:r>
        <w:rPr>
          <w:rFonts w:hint="eastAsia" w:ascii="仿宋_GB2312" w:eastAsia="仿宋_GB2312"/>
          <w:sz w:val="32"/>
          <w:szCs w:val="32"/>
          <w:highlight w:val="none"/>
          <w:lang w:val="en-US" w:eastAsia="zh-CN"/>
        </w:rPr>
        <w:t>41</w:t>
      </w:r>
      <w:r>
        <w:rPr>
          <w:rFonts w:hint="eastAsia" w:ascii="仿宋_GB2312" w:eastAsia="仿宋_GB2312"/>
          <w:sz w:val="32"/>
          <w:szCs w:val="32"/>
          <w:highlight w:val="none"/>
        </w:rPr>
        <w:t>人,聘请临时工</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人。</w:t>
      </w:r>
    </w:p>
    <w:p w14:paraId="10EE67FE">
      <w:pPr>
        <w:keepNext w:val="0"/>
        <w:keepLines w:val="0"/>
        <w:pageBreakBefore w:val="0"/>
        <w:widowControl w:val="0"/>
        <w:numPr>
          <w:ilvl w:val="0"/>
          <w:numId w:val="1"/>
        </w:numPr>
        <w:kinsoku/>
        <w:wordWrap/>
        <w:overflowPunct/>
        <w:topLinePunct w:val="0"/>
        <w:bidi w:val="0"/>
        <w:spacing w:line="560" w:lineRule="exact"/>
        <w:ind w:firstLine="640" w:firstLineChars="200"/>
        <w:textAlignment w:val="auto"/>
        <w:rPr>
          <w:rFonts w:hint="eastAsia" w:eastAsia="仿宋_GB2312"/>
          <w:color w:val="000000"/>
          <w:sz w:val="32"/>
          <w:szCs w:val="32"/>
        </w:rPr>
      </w:pPr>
      <w:r>
        <w:rPr>
          <w:rFonts w:hint="eastAsia" w:ascii="仿宋_GB2312" w:eastAsia="仿宋_GB2312"/>
          <w:sz w:val="32"/>
          <w:szCs w:val="32"/>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14:paraId="5F5F25E0">
      <w:pPr>
        <w:keepNext w:val="0"/>
        <w:keepLines w:val="0"/>
        <w:pageBreakBefore w:val="0"/>
        <w:widowControl w:val="0"/>
        <w:numPr>
          <w:ilvl w:val="0"/>
          <w:numId w:val="0"/>
        </w:numPr>
        <w:kinsoku/>
        <w:wordWrap/>
        <w:overflowPunct/>
        <w:topLinePunct w:val="0"/>
        <w:bidi w:val="0"/>
        <w:spacing w:line="560" w:lineRule="exact"/>
        <w:ind w:firstLine="64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w:t>
      </w:r>
      <w:r>
        <w:rPr>
          <w:rFonts w:hint="eastAsia" w:eastAsia="仿宋_GB2312"/>
          <w:color w:val="000000"/>
          <w:sz w:val="32"/>
          <w:szCs w:val="32"/>
          <w:lang w:eastAsia="zh-CN"/>
        </w:rPr>
        <w:t>单位</w:t>
      </w:r>
      <w:r>
        <w:rPr>
          <w:rFonts w:hint="eastAsia" w:eastAsia="仿宋_GB2312"/>
          <w:color w:val="000000"/>
          <w:sz w:val="32"/>
          <w:szCs w:val="32"/>
        </w:rPr>
        <w:t>整体支出情况</w:t>
      </w:r>
    </w:p>
    <w:p w14:paraId="4CA37AD7">
      <w:pPr>
        <w:keepNext w:val="0"/>
        <w:keepLines w:val="0"/>
        <w:pageBreakBefore w:val="0"/>
        <w:widowControl w:val="0"/>
        <w:numPr>
          <w:ilvl w:val="0"/>
          <w:numId w:val="0"/>
        </w:numPr>
        <w:kinsoku/>
        <w:wordWrap/>
        <w:overflowPunct/>
        <w:topLinePunct w:val="0"/>
        <w:bidi w:val="0"/>
        <w:spacing w:line="560" w:lineRule="exact"/>
        <w:ind w:firstLine="640"/>
        <w:textAlignment w:val="auto"/>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eastAsia="zh-CN"/>
        </w:rPr>
        <w:t>202</w:t>
      </w:r>
      <w:r>
        <w:rPr>
          <w:rFonts w:hint="eastAsia" w:ascii="Times New Roman" w:hAnsi="Times New Roman" w:eastAsia="仿宋_GB2312" w:cs="Times New Roman"/>
          <w:color w:val="000000"/>
          <w:sz w:val="32"/>
          <w:szCs w:val="32"/>
          <w:highlight w:val="none"/>
          <w:lang w:val="en-US" w:eastAsia="zh-CN"/>
        </w:rPr>
        <w:t>5</w:t>
      </w:r>
      <w:r>
        <w:rPr>
          <w:rFonts w:hint="eastAsia" w:ascii="Times New Roman" w:hAnsi="Times New Roman" w:eastAsia="仿宋_GB2312" w:cs="Times New Roman"/>
          <w:color w:val="000000"/>
          <w:sz w:val="32"/>
          <w:szCs w:val="32"/>
          <w:highlight w:val="none"/>
          <w:lang w:eastAsia="zh-CN"/>
        </w:rPr>
        <w:t>年部门整体支出</w:t>
      </w:r>
      <w:r>
        <w:rPr>
          <w:rFonts w:hint="eastAsia" w:ascii="Times New Roman" w:hAnsi="Times New Roman" w:eastAsia="仿宋_GB2312" w:cs="Times New Roman"/>
          <w:color w:val="000000"/>
          <w:sz w:val="32"/>
          <w:szCs w:val="32"/>
          <w:highlight w:val="none"/>
          <w:lang w:val="en-US" w:eastAsia="zh-CN"/>
        </w:rPr>
        <w:t>996.04</w:t>
      </w:r>
      <w:r>
        <w:rPr>
          <w:rFonts w:hint="eastAsia" w:ascii="Times New Roman" w:hAnsi="Times New Roman" w:eastAsia="仿宋_GB2312" w:cs="Times New Roman"/>
          <w:color w:val="000000"/>
          <w:sz w:val="32"/>
          <w:szCs w:val="32"/>
          <w:highlight w:val="none"/>
          <w:lang w:eastAsia="zh-CN"/>
        </w:rPr>
        <w:t>万元，基本支出</w:t>
      </w:r>
      <w:r>
        <w:rPr>
          <w:rFonts w:hint="eastAsia" w:ascii="Times New Roman" w:hAnsi="Times New Roman" w:eastAsia="仿宋_GB2312" w:cs="Times New Roman"/>
          <w:color w:val="000000"/>
          <w:sz w:val="32"/>
          <w:szCs w:val="32"/>
          <w:highlight w:val="none"/>
          <w:lang w:val="en-US" w:eastAsia="zh-CN"/>
        </w:rPr>
        <w:t>862.32</w:t>
      </w:r>
      <w:r>
        <w:rPr>
          <w:rFonts w:hint="eastAsia" w:ascii="Times New Roman" w:hAnsi="Times New Roman" w:eastAsia="仿宋_GB2312" w:cs="Times New Roman"/>
          <w:color w:val="000000"/>
          <w:sz w:val="32"/>
          <w:szCs w:val="32"/>
          <w:highlight w:val="none"/>
          <w:lang w:eastAsia="zh-CN"/>
        </w:rPr>
        <w:t>万元，其中：人员经费支出</w:t>
      </w:r>
      <w:r>
        <w:rPr>
          <w:rFonts w:hint="eastAsia" w:ascii="Times New Roman" w:hAnsi="Times New Roman" w:eastAsia="仿宋_GB2312" w:cs="Times New Roman"/>
          <w:color w:val="000000"/>
          <w:sz w:val="32"/>
          <w:szCs w:val="32"/>
          <w:highlight w:val="none"/>
          <w:lang w:val="en-US" w:eastAsia="zh-CN"/>
        </w:rPr>
        <w:t>737.64万元，公用经费支出124.68万元；</w:t>
      </w:r>
      <w:r>
        <w:rPr>
          <w:rFonts w:hint="eastAsia" w:ascii="Times New Roman" w:hAnsi="Times New Roman" w:eastAsia="仿宋_GB2312" w:cs="Times New Roman"/>
          <w:color w:val="000000"/>
          <w:sz w:val="32"/>
          <w:szCs w:val="32"/>
          <w:highlight w:val="none"/>
          <w:lang w:eastAsia="zh-CN"/>
        </w:rPr>
        <w:t>项目支出</w:t>
      </w:r>
      <w:r>
        <w:rPr>
          <w:rFonts w:hint="eastAsia" w:ascii="Times New Roman" w:hAnsi="Times New Roman" w:eastAsia="仿宋_GB2312" w:cs="Times New Roman"/>
          <w:color w:val="000000"/>
          <w:sz w:val="32"/>
          <w:szCs w:val="32"/>
          <w:highlight w:val="none"/>
          <w:lang w:val="en-US" w:eastAsia="zh-CN"/>
        </w:rPr>
        <w:t>133.72</w:t>
      </w:r>
      <w:r>
        <w:rPr>
          <w:rFonts w:hint="eastAsia" w:ascii="Times New Roman" w:hAnsi="Times New Roman" w:eastAsia="仿宋_GB2312" w:cs="Times New Roman"/>
          <w:color w:val="000000"/>
          <w:sz w:val="32"/>
          <w:szCs w:val="32"/>
          <w:highlight w:val="none"/>
          <w:lang w:eastAsia="zh-CN"/>
        </w:rPr>
        <w:t>万元。</w:t>
      </w:r>
    </w:p>
    <w:p w14:paraId="09D5CC4D">
      <w:pPr>
        <w:pStyle w:val="14"/>
        <w:keepNext w:val="0"/>
        <w:keepLines w:val="0"/>
        <w:pageBreakBefore w:val="0"/>
        <w:widowControl w:val="0"/>
        <w:numPr>
          <w:ilvl w:val="0"/>
          <w:numId w:val="2"/>
        </w:numPr>
        <w:kinsoku/>
        <w:wordWrap/>
        <w:overflowPunct/>
        <w:topLinePunct w:val="0"/>
        <w:bidi w:val="0"/>
        <w:spacing w:line="560" w:lineRule="exact"/>
        <w:ind w:firstLine="640" w:firstLineChars="200"/>
        <w:textAlignment w:val="auto"/>
        <w:rPr>
          <w:rFonts w:hint="eastAsia" w:eastAsia="仿宋_GB2312"/>
          <w:color w:val="000000"/>
          <w:sz w:val="32"/>
          <w:szCs w:val="32"/>
        </w:rPr>
      </w:pPr>
      <w:r>
        <w:rPr>
          <w:rFonts w:hint="eastAsia" w:eastAsia="仿宋_GB2312"/>
          <w:color w:val="000000"/>
          <w:sz w:val="32"/>
          <w:szCs w:val="32"/>
          <w:lang w:eastAsia="zh-CN"/>
        </w:rPr>
        <w:t>单位</w:t>
      </w:r>
      <w:r>
        <w:rPr>
          <w:rFonts w:hint="eastAsia" w:eastAsia="仿宋_GB2312"/>
          <w:color w:val="000000"/>
          <w:sz w:val="32"/>
          <w:szCs w:val="32"/>
        </w:rPr>
        <w:t>预算收支决算情况</w:t>
      </w:r>
    </w:p>
    <w:p w14:paraId="69960A6F">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2025年，下达年初预算996.04万元，其中财政拨款收入996.04万元，事业收入0万元，其他收入0万元，经营收入0万元；使用非财政拨款结余0万元，年初结转和结余0万元。当年财政拨款收入占比100%。</w:t>
      </w:r>
    </w:p>
    <w:p w14:paraId="2FFDE741">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与2024年度相比，2025年度收入增加95.57万元，上升10.6%，其中：2025年度一般公共预算财政拨款收入减少85.95万元，上升10.6%，2025年度事业收入与上年持平，2025年度经营收入与上年持平，2025年度其他收入上年持平。</w:t>
      </w:r>
    </w:p>
    <w:p w14:paraId="1F381034">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与2024年度相比，2025年度支出增加95.57万元，上升10.6%，其中：2025年度基本支出增加134.63万元，上升18.5%，2025年度项目支减少39.17万元，下降22.7%，2025年度事业收入0万元，与2024年持平，2025年度经营收入0万元，与2024年持平，2025年度其他收入0万元，与2024年持平。</w:t>
      </w:r>
    </w:p>
    <w:p w14:paraId="3FACAF45">
      <w:pPr>
        <w:pStyle w:val="14"/>
        <w:keepNext w:val="0"/>
        <w:keepLines w:val="0"/>
        <w:pageBreakBefore w:val="0"/>
        <w:widowControl w:val="0"/>
        <w:numPr>
          <w:ilvl w:val="0"/>
          <w:numId w:val="2"/>
        </w:numPr>
        <w:kinsoku/>
        <w:wordWrap/>
        <w:overflowPunct/>
        <w:topLinePunct w:val="0"/>
        <w:bidi w:val="0"/>
        <w:spacing w:line="560" w:lineRule="exact"/>
        <w:ind w:firstLine="640" w:firstLineChars="200"/>
        <w:textAlignment w:val="auto"/>
        <w:rPr>
          <w:rFonts w:hint="eastAsia" w:eastAsia="仿宋_GB2312"/>
          <w:color w:val="000000"/>
          <w:sz w:val="32"/>
          <w:szCs w:val="32"/>
        </w:rPr>
      </w:pPr>
      <w:r>
        <w:rPr>
          <w:rFonts w:hint="eastAsia" w:eastAsia="仿宋_GB2312"/>
          <w:color w:val="000000"/>
          <w:sz w:val="32"/>
          <w:szCs w:val="32"/>
        </w:rPr>
        <w:t>“三公经费”支出使用</w:t>
      </w:r>
      <w:r>
        <w:rPr>
          <w:rFonts w:hint="eastAsia" w:eastAsia="仿宋_GB2312"/>
          <w:color w:val="auto"/>
          <w:sz w:val="32"/>
          <w:szCs w:val="32"/>
        </w:rPr>
        <w:t>和管理情况</w:t>
      </w:r>
    </w:p>
    <w:p w14:paraId="5BDB967C">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中国共产党永州市委员会政法委员会2025年度“三公”经费财政拨款支出1.4万元，其中：因公出国（境）支出0万元，公务用车购置及运行维护费支出0万元，公务接待费支出1.4万元。</w:t>
      </w:r>
    </w:p>
    <w:p w14:paraId="1DC96C26">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eastAsia="仿宋_GB2312"/>
          <w:color w:val="000000"/>
          <w:sz w:val="32"/>
          <w:szCs w:val="32"/>
        </w:rPr>
      </w:pPr>
      <w:r>
        <w:rPr>
          <w:rFonts w:hint="eastAsia" w:ascii="Times New Roman" w:hAnsi="Times New Roman" w:eastAsia="仿宋_GB2312" w:cs="Times New Roman"/>
          <w:color w:val="000000"/>
          <w:sz w:val="32"/>
          <w:szCs w:val="32"/>
          <w:lang w:val="en-US" w:eastAsia="zh-CN"/>
        </w:rPr>
        <w:t>按照市委办公室、市政府办公室《永州市党政机关国内公务接待管理实施细则》（永办发〔2014〕5号）及市财政局《关于明确市直党政机关公务活动用餐事项的通知》（永财行〔2019〕1号）等相关文件精神，坚持有利公务、务实节俭、严格标准、简化礼仪、高效透明、尊重少数民族风俗习惯原则管理公务接待工作。明确招待用餐档次和标准，报账时要求附派出单位公函、公务接待审批单、公务接待清单、消费明细单、消费正式发票、公务卡刷卡单等原始凭证。按照省、市纪委文件要求，开展“互联网+监督”平台公务（商务、加班餐）用餐监督，严格遵守“不公开不报销，要报销必公开”规定。按《永州市市直机关公务用车使用管理实施细则》（试行）和永州市市直公车平台管理的有关规定执行，年终关账时，根据办公室提供的公务车费用统计情况，分别从单位经费余额部分或集中办公机构专项办公经费中支付。</w:t>
      </w:r>
    </w:p>
    <w:p w14:paraId="4142E625">
      <w:pPr>
        <w:pStyle w:val="14"/>
        <w:keepNext w:val="0"/>
        <w:keepLines w:val="0"/>
        <w:pageBreakBefore w:val="0"/>
        <w:widowControl w:val="0"/>
        <w:kinsoku/>
        <w:wordWrap/>
        <w:overflowPunct/>
        <w:topLinePunct w:val="0"/>
        <w:bidi w:val="0"/>
        <w:spacing w:line="560" w:lineRule="exact"/>
        <w:ind w:firstLine="640"/>
        <w:textAlignment w:val="auto"/>
        <w:rPr>
          <w:rFonts w:ascii="Times New Roman" w:hAnsi="Times New Roman" w:eastAsia="黑体"/>
          <w:sz w:val="32"/>
          <w:szCs w:val="32"/>
        </w:rPr>
      </w:pPr>
      <w:r>
        <w:rPr>
          <w:rFonts w:ascii="Times New Roman" w:hAnsi="Times New Roman" w:eastAsia="黑体"/>
          <w:sz w:val="32"/>
          <w:szCs w:val="32"/>
        </w:rPr>
        <w:t>二、一般公共预算支出情况</w:t>
      </w:r>
    </w:p>
    <w:p w14:paraId="17D9BA93">
      <w:pPr>
        <w:pStyle w:val="14"/>
        <w:keepNext w:val="0"/>
        <w:keepLines w:val="0"/>
        <w:pageBreakBefore w:val="0"/>
        <w:widowControl w:val="0"/>
        <w:kinsoku/>
        <w:wordWrap/>
        <w:overflowPunct/>
        <w:topLinePunct w:val="0"/>
        <w:bidi w:val="0"/>
        <w:spacing w:line="56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（一）基本支出情况</w:t>
      </w:r>
    </w:p>
    <w:p w14:paraId="1285B1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w:t>
      </w:r>
      <w:r>
        <w:rPr>
          <w:rFonts w:hint="eastAsia" w:ascii="Times New Roman" w:hAnsi="Times New Roman" w:eastAsia="仿宋_GB2312"/>
          <w:sz w:val="32"/>
          <w:szCs w:val="32"/>
          <w:lang w:eastAsia="zh-CN"/>
        </w:rPr>
        <w:t>单位基本</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862.32</w:t>
      </w:r>
      <w:r>
        <w:rPr>
          <w:rFonts w:hint="eastAsia" w:ascii="Times New Roman" w:hAnsi="Times New Roman" w:eastAsia="仿宋_GB2312"/>
          <w:sz w:val="32"/>
          <w:szCs w:val="32"/>
        </w:rPr>
        <w:t>万元，</w:t>
      </w:r>
      <w:r>
        <w:rPr>
          <w:rFonts w:hint="eastAsia" w:ascii="仿宋_GB2312" w:eastAsia="仿宋_GB2312"/>
          <w:sz w:val="32"/>
          <w:szCs w:val="32"/>
        </w:rPr>
        <w:t>没有超出预算规模、范围和标准。</w:t>
      </w:r>
      <w:r>
        <w:rPr>
          <w:rFonts w:hint="eastAsia" w:ascii="Times New Roman" w:hAnsi="Times New Roman" w:eastAsia="仿宋_GB2312"/>
          <w:sz w:val="32"/>
          <w:szCs w:val="32"/>
        </w:rPr>
        <w:br w:type="textWrapping"/>
      </w:r>
      <w:r>
        <w:rPr>
          <w:rFonts w:hint="eastAsia" w:eastAsia="仿宋_GB2312"/>
          <w:sz w:val="32"/>
          <w:szCs w:val="32"/>
          <w:lang w:val="en-US" w:eastAsia="zh-CN"/>
        </w:rPr>
        <w:t xml:space="preserve">    </w:t>
      </w:r>
      <w:r>
        <w:rPr>
          <w:rFonts w:hint="eastAsia" w:eastAsia="仿宋_GB2312"/>
          <w:sz w:val="32"/>
          <w:szCs w:val="32"/>
          <w:lang w:eastAsia="zh-CN"/>
        </w:rPr>
        <w:t>（</w:t>
      </w:r>
      <w:r>
        <w:rPr>
          <w:rFonts w:hint="eastAsia" w:eastAsia="仿宋_GB2312"/>
          <w:sz w:val="32"/>
          <w:szCs w:val="32"/>
          <w:lang w:val="en-US" w:eastAsia="zh-CN"/>
        </w:rPr>
        <w:t>1）</w:t>
      </w:r>
      <w:r>
        <w:rPr>
          <w:rFonts w:hint="eastAsia" w:ascii="Times New Roman" w:hAnsi="Times New Roman" w:eastAsia="仿宋_GB2312"/>
          <w:sz w:val="32"/>
          <w:szCs w:val="32"/>
        </w:rPr>
        <w:t>工资福利支出</w:t>
      </w:r>
      <w:r>
        <w:rPr>
          <w:rFonts w:hint="eastAsia" w:ascii="Times New Roman" w:hAnsi="Times New Roman" w:eastAsia="仿宋_GB2312"/>
          <w:sz w:val="32"/>
          <w:szCs w:val="32"/>
          <w:lang w:val="en-US" w:eastAsia="zh-CN"/>
        </w:rPr>
        <w:t>737.64</w:t>
      </w:r>
      <w:r>
        <w:rPr>
          <w:rFonts w:hint="eastAsia" w:ascii="Times New Roman" w:hAnsi="Times New Roman" w:eastAsia="仿宋_GB2312"/>
          <w:sz w:val="32"/>
          <w:szCs w:val="32"/>
        </w:rPr>
        <w:t>万元，</w:t>
      </w:r>
      <w:r>
        <w:rPr>
          <w:rFonts w:hint="eastAsia" w:ascii="仿宋_GB2312" w:eastAsia="仿宋_GB2312"/>
          <w:sz w:val="32"/>
          <w:szCs w:val="32"/>
        </w:rPr>
        <w:t>主要是基本工资、津补贴、奖金、其他社会保障缴费、其他工资福利。</w:t>
      </w:r>
    </w:p>
    <w:p w14:paraId="3B746E7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商品服务支出</w:t>
      </w:r>
      <w:r>
        <w:rPr>
          <w:rFonts w:hint="eastAsia" w:ascii="Times New Roman" w:hAnsi="Times New Roman" w:eastAsia="仿宋_GB2312" w:cs="Times New Roman"/>
          <w:color w:val="000000"/>
          <w:sz w:val="32"/>
          <w:szCs w:val="32"/>
          <w:lang w:val="en-US" w:eastAsia="zh-CN"/>
        </w:rPr>
        <w:t>124.68</w:t>
      </w:r>
      <w:r>
        <w:rPr>
          <w:rFonts w:hint="eastAsia" w:ascii="仿宋_GB2312" w:eastAsia="仿宋_GB2312"/>
          <w:sz w:val="32"/>
          <w:szCs w:val="32"/>
        </w:rPr>
        <w:t>万元，主要是办公费、印刷费、水费、电费、邮电费、物业管理费、差旅费、维修费、租赁费、会议费、培训费、公务接待费、劳务费、福利费、公务用车维护费、其他交通费用、其他商品服务支出。</w:t>
      </w:r>
    </w:p>
    <w:p w14:paraId="401334BC">
      <w:pPr>
        <w:pStyle w:val="14"/>
        <w:keepNext w:val="0"/>
        <w:keepLines w:val="0"/>
        <w:pageBreakBefore w:val="0"/>
        <w:widowControl w:val="0"/>
        <w:kinsoku/>
        <w:wordWrap/>
        <w:overflowPunct/>
        <w:topLinePunct w:val="0"/>
        <w:bidi w:val="0"/>
        <w:spacing w:line="56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（二）项目支出情况</w:t>
      </w:r>
    </w:p>
    <w:p w14:paraId="1CFF48E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楷体" w:eastAsia="仿宋_GB2312"/>
          <w:sz w:val="32"/>
          <w:szCs w:val="32"/>
        </w:rPr>
      </w:pPr>
      <w:r>
        <w:rPr>
          <w:rFonts w:hint="eastAsia" w:ascii="仿宋_GB2312" w:hAnsi="楷体" w:eastAsia="仿宋_GB2312"/>
          <w:sz w:val="32"/>
          <w:szCs w:val="32"/>
        </w:rPr>
        <w:t>1、专项资金安排落实</w:t>
      </w:r>
    </w:p>
    <w:p w14:paraId="487DA0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yellow"/>
          <w:lang w:val="en-US" w:eastAsia="zh-CN"/>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年度我单位由市委、市政府安排、市人大审批安排专项项目</w:t>
      </w:r>
      <w:r>
        <w:rPr>
          <w:rFonts w:hint="eastAsia" w:ascii="仿宋_GB2312" w:eastAsia="仿宋_GB2312"/>
          <w:sz w:val="32"/>
          <w:szCs w:val="32"/>
          <w:lang w:val="en-US" w:eastAsia="zh-CN"/>
        </w:rPr>
        <w:t>7</w:t>
      </w:r>
      <w:r>
        <w:rPr>
          <w:rFonts w:hint="eastAsia" w:ascii="仿宋_GB2312" w:eastAsia="仿宋_GB2312"/>
          <w:sz w:val="32"/>
          <w:szCs w:val="32"/>
        </w:rPr>
        <w:t>项，共收到市级财政拨入专项资金</w:t>
      </w:r>
      <w:r>
        <w:rPr>
          <w:rFonts w:hint="eastAsia" w:ascii="仿宋_GB2312" w:eastAsia="仿宋_GB2312"/>
          <w:sz w:val="32"/>
          <w:szCs w:val="32"/>
          <w:lang w:val="en-US" w:eastAsia="zh-CN"/>
        </w:rPr>
        <w:t>133.72</w:t>
      </w:r>
      <w:r>
        <w:rPr>
          <w:rFonts w:hint="eastAsia" w:ascii="仿宋_GB2312" w:eastAsia="仿宋_GB2312"/>
          <w:sz w:val="32"/>
          <w:szCs w:val="32"/>
        </w:rPr>
        <w:t>万元专项经费主要包括以下几项：</w:t>
      </w: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2024年法学会第二次会员代表大会会议费0.52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2025年维稳及扫黑除恶等重大案情督办协调专项经费40.97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2025年综合治理（平安建设）及市域社会治理等专项经费20.48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Times New Roman" w:hAnsi="Times New Roman" w:eastAsia="仿宋_GB2312" w:cs="Times New Roman"/>
          <w:kern w:val="0"/>
          <w:sz w:val="32"/>
          <w:szCs w:val="32"/>
          <w:lang w:val="en-US" w:eastAsia="zh-CN"/>
        </w:rPr>
        <w:t>2024年平安考核奖励经费</w:t>
      </w:r>
      <w:r>
        <w:rPr>
          <w:rFonts w:hint="eastAsia" w:ascii="Times New Roman" w:hAnsi="Times New Roman" w:eastAsia="仿宋_GB2312" w:cs="Times New Roman"/>
          <w:sz w:val="32"/>
          <w:szCs w:val="32"/>
          <w:lang w:val="en-US" w:eastAsia="zh-CN"/>
        </w:rPr>
        <w:t>18.99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仿宋_GB2312" w:eastAsia="仿宋_GB2312"/>
          <w:sz w:val="32"/>
          <w:szCs w:val="32"/>
          <w:lang w:eastAsia="zh-CN"/>
        </w:rPr>
        <w:t>（</w:t>
      </w:r>
      <w:r>
        <w:rPr>
          <w:rFonts w:hint="eastAsia" w:ascii="仿宋_GB2312" w:eastAsia="仿宋_GB2312"/>
          <w:sz w:val="32"/>
          <w:szCs w:val="32"/>
          <w:lang w:val="en-US" w:eastAsia="zh-CN"/>
        </w:rPr>
        <w:t>5</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2025年维稳工作经费10万元，</w:t>
      </w:r>
      <w:r>
        <w:rPr>
          <w:rFonts w:hint="eastAsia" w:ascii="仿宋_GB2312" w:eastAsia="仿宋_GB2312"/>
          <w:sz w:val="32"/>
          <w:szCs w:val="32"/>
          <w:lang w:eastAsia="zh-CN"/>
        </w:rPr>
        <w:t>（</w:t>
      </w:r>
      <w:r>
        <w:rPr>
          <w:rFonts w:hint="eastAsia" w:ascii="仿宋_GB2312" w:eastAsia="仿宋_GB2312"/>
          <w:sz w:val="32"/>
          <w:szCs w:val="32"/>
          <w:lang w:val="en-US" w:eastAsia="zh-CN"/>
        </w:rPr>
        <w:t>6</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2024年度离退休人员生活补贴39.91万元、</w:t>
      </w:r>
      <w:r>
        <w:rPr>
          <w:rFonts w:hint="eastAsia" w:ascii="仿宋_GB2312" w:eastAsia="仿宋_GB2312"/>
          <w:sz w:val="32"/>
          <w:szCs w:val="32"/>
          <w:lang w:eastAsia="zh-CN"/>
        </w:rPr>
        <w:t>（</w:t>
      </w:r>
      <w:r>
        <w:rPr>
          <w:rFonts w:hint="eastAsia" w:ascii="仿宋_GB2312" w:eastAsia="仿宋_GB2312"/>
          <w:sz w:val="32"/>
          <w:szCs w:val="32"/>
          <w:lang w:val="en-US" w:eastAsia="zh-CN"/>
        </w:rPr>
        <w:t>7</w:t>
      </w:r>
      <w:r>
        <w:rPr>
          <w:rFonts w:hint="eastAsia" w:ascii="仿宋_GB2312" w:eastAsia="仿宋_GB2312"/>
          <w:sz w:val="32"/>
          <w:szCs w:val="32"/>
          <w:lang w:eastAsia="zh-CN"/>
        </w:rPr>
        <w:t>）</w:t>
      </w:r>
      <w:r>
        <w:rPr>
          <w:rFonts w:hint="eastAsia" w:ascii="Times New Roman" w:hAnsi="Times New Roman" w:eastAsia="仿宋_GB2312" w:cs="Times New Roman"/>
          <w:sz w:val="32"/>
          <w:szCs w:val="32"/>
          <w:lang w:val="en-US" w:eastAsia="zh-CN"/>
        </w:rPr>
        <w:t>2024年度公务员医疗补助2.85万元。</w:t>
      </w:r>
    </w:p>
    <w:p w14:paraId="2CDF4388">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楷体" w:eastAsia="仿宋_GB2312" w:cs="仿宋_GB2312"/>
          <w:bCs/>
          <w:sz w:val="32"/>
          <w:szCs w:val="28"/>
        </w:rPr>
      </w:pPr>
      <w:r>
        <w:rPr>
          <w:rFonts w:hint="eastAsia" w:ascii="仿宋_GB2312" w:hAnsi="楷体" w:eastAsia="仿宋_GB2312" w:cs="仿宋_GB2312"/>
          <w:bCs/>
          <w:sz w:val="32"/>
          <w:szCs w:val="28"/>
        </w:rPr>
        <w:t>2、专项资金实际使用情况</w:t>
      </w:r>
    </w:p>
    <w:p w14:paraId="7F98DA62">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年专项资金实际使用</w:t>
      </w:r>
      <w:r>
        <w:rPr>
          <w:rFonts w:hint="eastAsia" w:ascii="仿宋_GB2312" w:eastAsia="仿宋_GB2312"/>
          <w:sz w:val="32"/>
          <w:szCs w:val="32"/>
          <w:lang w:val="en-US" w:eastAsia="zh-CN"/>
        </w:rPr>
        <w:t>133.73</w:t>
      </w:r>
      <w:r>
        <w:rPr>
          <w:rFonts w:hint="eastAsia" w:ascii="仿宋_GB2312" w:eastAsia="仿宋_GB2312"/>
          <w:sz w:val="32"/>
          <w:szCs w:val="32"/>
        </w:rPr>
        <w:t>万元。</w:t>
      </w:r>
    </w:p>
    <w:p w14:paraId="1FADAB43">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楷体" w:eastAsia="仿宋_GB2312" w:cs="仿宋_GB2312"/>
          <w:bCs/>
          <w:sz w:val="32"/>
          <w:szCs w:val="28"/>
        </w:rPr>
      </w:pPr>
      <w:r>
        <w:rPr>
          <w:rFonts w:hint="eastAsia" w:ascii="仿宋_GB2312" w:hAnsi="楷体" w:eastAsia="仿宋_GB2312" w:cs="仿宋_GB2312"/>
          <w:bCs/>
          <w:sz w:val="32"/>
          <w:szCs w:val="28"/>
        </w:rPr>
        <w:t>3、专项资金管理情况分析</w:t>
      </w:r>
    </w:p>
    <w:p w14:paraId="50733F67">
      <w:pPr>
        <w:keepNext w:val="0"/>
        <w:keepLines w:val="0"/>
        <w:pageBreakBefore w:val="0"/>
        <w:widowControl w:val="0"/>
        <w:kinsoku/>
        <w:wordWrap/>
        <w:overflowPunct/>
        <w:topLinePunct w:val="0"/>
        <w:bidi w:val="0"/>
        <w:spacing w:line="560" w:lineRule="exact"/>
        <w:ind w:firstLine="640" w:firstLineChars="200"/>
        <w:textAlignment w:val="auto"/>
        <w:rPr>
          <w:rFonts w:ascii="Times New Roman" w:hAnsi="Times New Roman" w:eastAsia="仿宋_GB2312"/>
          <w:sz w:val="32"/>
          <w:szCs w:val="32"/>
        </w:rPr>
      </w:pPr>
      <w:r>
        <w:rPr>
          <w:rFonts w:hint="eastAsia" w:ascii="仿宋_GB2312" w:hAnsi="仿宋_GB2312" w:eastAsia="仿宋_GB2312" w:cs="仿宋_GB2312"/>
          <w:bCs/>
          <w:sz w:val="32"/>
          <w:szCs w:val="32"/>
        </w:rPr>
        <w:t>为加强专项项目管理，提高专项资金的使用效率，就重点专项项目制定了《机关财务管理制度》、《机关专项业务资金管理办法》。专项资金的分配、使用、管理严格按制度执行，大额资金支出实行“三重一大”集体决策机制，项目招标、评审、结算按政府采购办、评审中心、国库集中支付的要求进行，确保资金使用公开、公正、科学、高效，专款专用、不被挤占、挪用、借用或随意调整，实行报账制管理等原则执行。</w:t>
      </w:r>
    </w:p>
    <w:p w14:paraId="1804B775">
      <w:pPr>
        <w:pStyle w:val="14"/>
        <w:keepNext w:val="0"/>
        <w:keepLines w:val="0"/>
        <w:pageBreakBefore w:val="0"/>
        <w:widowControl w:val="0"/>
        <w:numPr>
          <w:ilvl w:val="0"/>
          <w:numId w:val="4"/>
        </w:numPr>
        <w:kinsoku/>
        <w:wordWrap/>
        <w:overflowPunct/>
        <w:topLinePunct w:val="0"/>
        <w:bidi w:val="0"/>
        <w:spacing w:line="560" w:lineRule="exact"/>
        <w:ind w:firstLine="640"/>
        <w:jc w:val="both"/>
        <w:textAlignment w:val="auto"/>
        <w:rPr>
          <w:rFonts w:hint="eastAsia" w:ascii="Times New Roman" w:hAnsi="Times New Roman" w:eastAsia="黑体"/>
          <w:sz w:val="32"/>
          <w:szCs w:val="32"/>
        </w:rPr>
      </w:pP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14:paraId="372EC472">
      <w:pPr>
        <w:pStyle w:val="14"/>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我单位无政府性基金预算支出情况</w:t>
      </w:r>
    </w:p>
    <w:p w14:paraId="4F25EDA7">
      <w:pPr>
        <w:pStyle w:val="14"/>
        <w:keepNext w:val="0"/>
        <w:keepLines w:val="0"/>
        <w:pageBreakBefore w:val="0"/>
        <w:widowControl w:val="0"/>
        <w:numPr>
          <w:ilvl w:val="0"/>
          <w:numId w:val="4"/>
        </w:numPr>
        <w:kinsoku/>
        <w:wordWrap/>
        <w:overflowPunct/>
        <w:topLinePunct w:val="0"/>
        <w:bidi w:val="0"/>
        <w:spacing w:line="560" w:lineRule="exact"/>
        <w:ind w:left="0" w:leftChars="0" w:firstLine="640" w:firstLineChars="200"/>
        <w:jc w:val="both"/>
        <w:textAlignment w:val="auto"/>
        <w:rPr>
          <w:rFonts w:hint="eastAsia" w:ascii="Times New Roman" w:hAnsi="Times New Roman" w:eastAsia="黑体"/>
          <w:sz w:val="32"/>
          <w:szCs w:val="32"/>
        </w:rPr>
      </w:pP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14:paraId="66433E26">
      <w:pPr>
        <w:pStyle w:val="14"/>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我单位无国有资本经营预算支出情况</w:t>
      </w:r>
    </w:p>
    <w:p w14:paraId="09A5B811">
      <w:pPr>
        <w:pStyle w:val="14"/>
        <w:keepNext w:val="0"/>
        <w:keepLines w:val="0"/>
        <w:pageBreakBefore w:val="0"/>
        <w:widowControl w:val="0"/>
        <w:numPr>
          <w:ilvl w:val="0"/>
          <w:numId w:val="4"/>
        </w:numPr>
        <w:kinsoku/>
        <w:wordWrap/>
        <w:overflowPunct/>
        <w:topLinePunct w:val="0"/>
        <w:bidi w:val="0"/>
        <w:spacing w:line="560" w:lineRule="exact"/>
        <w:ind w:left="0" w:leftChars="0" w:firstLine="640" w:firstLineChars="200"/>
        <w:jc w:val="both"/>
        <w:textAlignment w:val="auto"/>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14:paraId="28749EBE">
      <w:pPr>
        <w:pStyle w:val="14"/>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Times New Roman" w:hAnsi="Times New Roman" w:eastAsia="黑体"/>
          <w:sz w:val="32"/>
          <w:szCs w:val="32"/>
        </w:rPr>
      </w:pPr>
      <w:r>
        <w:rPr>
          <w:rFonts w:hint="eastAsia" w:ascii="Times New Roman" w:hAnsi="Times New Roman" w:eastAsia="仿宋_GB2312"/>
          <w:color w:val="000000"/>
          <w:sz w:val="32"/>
          <w:szCs w:val="32"/>
        </w:rPr>
        <w:t>我单位无社会保险基金预算支出情况</w:t>
      </w:r>
    </w:p>
    <w:p w14:paraId="40B040BC">
      <w:pPr>
        <w:keepNext w:val="0"/>
        <w:keepLines w:val="0"/>
        <w:pageBreakBefore w:val="0"/>
        <w:widowControl w:val="0"/>
        <w:kinsoku/>
        <w:wordWrap/>
        <w:overflowPunct/>
        <w:topLinePunct w:val="0"/>
        <w:bidi w:val="0"/>
        <w:spacing w:line="560" w:lineRule="exact"/>
        <w:ind w:firstLine="640" w:firstLineChars="200"/>
        <w:jc w:val="both"/>
        <w:textAlignment w:val="auto"/>
        <w:rPr>
          <w:rFonts w:eastAsia="黑体"/>
          <w:sz w:val="32"/>
          <w:szCs w:val="32"/>
          <w:highlight w:val="yellow"/>
        </w:rPr>
      </w:pPr>
      <w:r>
        <w:rPr>
          <w:rFonts w:eastAsia="黑体"/>
          <w:sz w:val="32"/>
          <w:szCs w:val="32"/>
        </w:rPr>
        <w:t>六、</w:t>
      </w:r>
      <w:r>
        <w:rPr>
          <w:rFonts w:eastAsia="黑体"/>
          <w:sz w:val="32"/>
          <w:szCs w:val="32"/>
          <w:highlight w:val="none"/>
        </w:rPr>
        <w:t>部门整体支出绩效情况</w:t>
      </w:r>
    </w:p>
    <w:p w14:paraId="13A08291">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eastAsia="仿宋_GB2312"/>
          <w:color w:val="000000"/>
          <w:sz w:val="32"/>
          <w:szCs w:val="32"/>
          <w:lang w:eastAsia="zh-CN"/>
        </w:rPr>
      </w:pPr>
      <w:r>
        <w:rPr>
          <w:rFonts w:hint="eastAsia" w:eastAsia="仿宋_GB2312"/>
          <w:color w:val="000000"/>
          <w:sz w:val="32"/>
          <w:szCs w:val="32"/>
          <w:lang w:eastAsia="zh-CN"/>
        </w:rPr>
        <w:t>我单位所有指标基本达到了预期的效果，所有项目经费都实现了价值最大化。</w:t>
      </w:r>
    </w:p>
    <w:p w14:paraId="59481CAF">
      <w:pPr>
        <w:keepNext w:val="0"/>
        <w:keepLines w:val="0"/>
        <w:pageBreakBefore w:val="0"/>
        <w:widowControl w:val="0"/>
        <w:kinsoku/>
        <w:wordWrap/>
        <w:overflowPunct/>
        <w:topLinePunct w:val="0"/>
        <w:bidi w:val="0"/>
        <w:spacing w:line="560" w:lineRule="exact"/>
        <w:ind w:firstLine="640" w:firstLineChars="200"/>
        <w:jc w:val="both"/>
        <w:textAlignment w:val="auto"/>
        <w:rPr>
          <w:rFonts w:eastAsia="仿宋_GB2312"/>
          <w:color w:val="000000"/>
          <w:sz w:val="32"/>
          <w:szCs w:val="32"/>
          <w:highlight w:val="yellow"/>
        </w:rPr>
      </w:pPr>
      <w:r>
        <w:rPr>
          <w:rFonts w:hint="eastAsia" w:ascii="仿宋_GB2312" w:hAnsi="仿宋" w:eastAsia="仿宋_GB2312"/>
          <w:sz w:val="32"/>
          <w:szCs w:val="32"/>
          <w:highlight w:val="none"/>
          <w:lang w:val="en-US" w:eastAsia="zh-CN"/>
        </w:rPr>
        <w:t>市委政法委2025年度成效：1、意识形态工作深入推进。整合政法系统宣传资源，打造永州政法《法润潇湘·平安在线》宣传品牌。2、夯实基层基础。完成了11个县级综治中心、184个乡级综治中心规范化建设。3、全力做好节点安保。圆满完成全国两会、党的二十届四中全会等重要节点安保，尤其是“湘超”赛事安保，实现了7场主场、3场第二第三观赛现场“零事故”。4、深化“五警”建设，努力锻造忠诚干净担当的政法铁军。召开全市政法系统党风廉政建设工作会议；开展深入贯彻中央八项规定精神学习教育；推进“强作风纪律、锻政法铁军”专项整治，组织开展两轮政法系统纪律作风明察暗访。举办全市政法系统“法治润潇湘 铁血担正义”主题演讲比赛和首届全市“政法杯”气排球比赛，政法队伍凝聚力、向心力持续增强。</w:t>
      </w:r>
    </w:p>
    <w:p w14:paraId="5ECFD9DE">
      <w:pPr>
        <w:pStyle w:val="14"/>
        <w:keepNext w:val="0"/>
        <w:keepLines w:val="0"/>
        <w:pageBreakBefore w:val="0"/>
        <w:widowControl w:val="0"/>
        <w:kinsoku/>
        <w:wordWrap/>
        <w:overflowPunct/>
        <w:topLinePunct w:val="0"/>
        <w:bidi w:val="0"/>
        <w:spacing w:line="560" w:lineRule="exact"/>
        <w:ind w:firstLine="640"/>
        <w:jc w:val="both"/>
        <w:textAlignment w:val="auto"/>
        <w:rPr>
          <w:rFonts w:ascii="Times New Roman" w:hAnsi="Times New Roman" w:eastAsia="黑体"/>
          <w:sz w:val="32"/>
          <w:szCs w:val="32"/>
        </w:rPr>
      </w:pPr>
      <w:r>
        <w:rPr>
          <w:rFonts w:ascii="Times New Roman" w:hAnsi="Times New Roman" w:eastAsia="黑体"/>
          <w:sz w:val="32"/>
          <w:szCs w:val="32"/>
        </w:rPr>
        <w:t>七、存在的问题及原因分析</w:t>
      </w:r>
    </w:p>
    <w:p w14:paraId="54C44C7D">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（1）预算管理方面</w:t>
      </w:r>
    </w:p>
    <w:p w14:paraId="21B80F2A">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中国共产党永州市委员会政法委员会的202</w:t>
      </w:r>
      <w:r>
        <w:rPr>
          <w:rFonts w:hint="eastAsia" w:ascii="仿宋_GB2312" w:eastAsia="仿宋_GB2312"/>
          <w:sz w:val="32"/>
          <w:szCs w:val="32"/>
          <w:lang w:val="en-US" w:eastAsia="zh-CN"/>
        </w:rPr>
        <w:t>5</w:t>
      </w:r>
      <w:r>
        <w:rPr>
          <w:rFonts w:hint="eastAsia" w:ascii="仿宋_GB2312" w:eastAsia="仿宋_GB2312"/>
          <w:sz w:val="32"/>
          <w:szCs w:val="32"/>
        </w:rPr>
        <w:t>年度各专项资金收支基本平衡，达到了预期目标。预算编制的计划性和执行管理上有待提高，制度的执行有待进一步强化，资金使用的合规性有待进一步规范。</w:t>
      </w:r>
    </w:p>
    <w:p w14:paraId="5C38570B">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（2）项目核算方面</w:t>
      </w:r>
    </w:p>
    <w:p w14:paraId="44BD2A71">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年中国共产党永州市委员会政法委员会主要专项支出包括市政法委维稳及扫黑除恶等重大案情督办协调专项、综合治理专项检查评估及迎检专项经费。财务核算在制度上还有待完善。</w:t>
      </w:r>
    </w:p>
    <w:p w14:paraId="08D15D59">
      <w:pPr>
        <w:keepNext w:val="0"/>
        <w:keepLines w:val="0"/>
        <w:pageBreakBefore w:val="0"/>
        <w:widowControl w:val="0"/>
        <w:numPr>
          <w:ilvl w:val="0"/>
          <w:numId w:val="5"/>
        </w:numPr>
        <w:kinsoku/>
        <w:wordWrap/>
        <w:overflowPunct/>
        <w:topLinePunct w:val="0"/>
        <w:bidi w:val="0"/>
        <w:spacing w:line="560" w:lineRule="exact"/>
        <w:ind w:firstLine="640" w:firstLineChars="200"/>
        <w:jc w:val="both"/>
        <w:textAlignment w:val="auto"/>
        <w:rPr>
          <w:rFonts w:eastAsia="黑体"/>
          <w:sz w:val="32"/>
          <w:szCs w:val="32"/>
        </w:rPr>
      </w:pPr>
      <w:r>
        <w:rPr>
          <w:rFonts w:eastAsia="黑体"/>
          <w:sz w:val="32"/>
          <w:szCs w:val="32"/>
        </w:rPr>
        <w:t>下一步改进措施</w:t>
      </w:r>
    </w:p>
    <w:p w14:paraId="4883AC84">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一）加强财务管理，严格财务审核。加强单位财务管理，健全单位财务管理制度体系，规范单位财务行为。在费用报账支付时，按照预算规定的费用项目和用途进行资金使用审核、列报支付、财务核算，杜绝超支现象的发生。</w:t>
      </w:r>
    </w:p>
    <w:p w14:paraId="11EA0D19">
      <w:pPr>
        <w:keepNext w:val="0"/>
        <w:keepLines w:val="0"/>
        <w:pageBreakBefore w:val="0"/>
        <w:widowControl w:val="0"/>
        <w:kinsoku/>
        <w:wordWrap/>
        <w:overflowPunct/>
        <w:topLinePunct w:val="0"/>
        <w:bidi w:val="0"/>
        <w:spacing w:line="560" w:lineRule="exact"/>
        <w:ind w:firstLine="640" w:firstLineChars="200"/>
        <w:textAlignment w:val="auto"/>
        <w:rPr>
          <w:rFonts w:eastAsia="黑体"/>
          <w:sz w:val="32"/>
          <w:szCs w:val="32"/>
        </w:rPr>
      </w:pPr>
      <w:r>
        <w:rPr>
          <w:rFonts w:hint="eastAsia" w:ascii="仿宋_GB2312" w:hAnsi="Times New Roman" w:eastAsia="仿宋_GB2312" w:cs="Times New Roman"/>
          <w:sz w:val="32"/>
          <w:szCs w:val="32"/>
        </w:rPr>
        <w:t>（二</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加强项目资金管理，严格规范项目资金使用</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严格规范专项资金的审批程序，切实做好专项资金专款专用，严禁专项资金挪作他用。设置专项资金科目进行核算，真实反馈专项资金使用情况，严禁专项资金在项目间自行调剂。</w:t>
      </w:r>
    </w:p>
    <w:p w14:paraId="19BFD0B8">
      <w:pPr>
        <w:keepNext w:val="0"/>
        <w:keepLines w:val="0"/>
        <w:pageBreakBefore w:val="0"/>
        <w:widowControl w:val="0"/>
        <w:numPr>
          <w:ilvl w:val="0"/>
          <w:numId w:val="5"/>
        </w:numPr>
        <w:kinsoku/>
        <w:wordWrap/>
        <w:overflowPunct/>
        <w:topLinePunct w:val="0"/>
        <w:bidi w:val="0"/>
        <w:spacing w:line="560" w:lineRule="exact"/>
        <w:ind w:left="0" w:leftChars="0" w:firstLine="640" w:firstLineChars="200"/>
        <w:jc w:val="both"/>
        <w:textAlignment w:val="auto"/>
        <w:rPr>
          <w:rFonts w:eastAsia="黑体"/>
          <w:sz w:val="32"/>
          <w:szCs w:val="32"/>
        </w:rPr>
      </w:pPr>
      <w:r>
        <w:rPr>
          <w:rFonts w:eastAsia="黑体"/>
          <w:sz w:val="32"/>
          <w:szCs w:val="32"/>
        </w:rPr>
        <w:t>部门整体支出绩效自评结果拟应用和公开情况</w:t>
      </w:r>
    </w:p>
    <w:p w14:paraId="4857C38E">
      <w:pPr>
        <w:keepNext w:val="0"/>
        <w:keepLines w:val="0"/>
        <w:pageBreakBefore w:val="0"/>
        <w:widowControl w:val="0"/>
        <w:kinsoku/>
        <w:wordWrap/>
        <w:overflowPunct/>
        <w:topLinePunct w:val="0"/>
        <w:bidi w:val="0"/>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（一）根据绩效评价结果建立整改机制</w:t>
      </w:r>
    </w:p>
    <w:p w14:paraId="6C655C83">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对项目支出开展绩效评价工作是一项全新的工作，虽然我单位也成立的绩效评价工作小组，但我单位没有这方面的专业人员，对项目支出绩效评价工作不熟悉，对该项工作还有待加强。</w:t>
      </w:r>
    </w:p>
    <w:p w14:paraId="48006CC5">
      <w:pPr>
        <w:keepNext w:val="0"/>
        <w:keepLines w:val="0"/>
        <w:pageBreakBefore w:val="0"/>
        <w:widowControl w:val="0"/>
        <w:kinsoku/>
        <w:wordWrap/>
        <w:overflowPunct/>
        <w:topLinePunct w:val="0"/>
        <w:bidi w:val="0"/>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（二）强化评价结果在项目申报和预算编制中的有效应用</w:t>
      </w:r>
    </w:p>
    <w:p w14:paraId="0B498F42">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我单位对绩效评价中发现的问题、达不到绩效目标或评价结果较差的项目，予以通报批评、限期整改。根据情况调整项目或相应调减项目预算，直至取消该项财政支出。</w:t>
      </w:r>
    </w:p>
    <w:p w14:paraId="2880BF99">
      <w:pPr>
        <w:keepNext w:val="0"/>
        <w:keepLines w:val="0"/>
        <w:pageBreakBefore w:val="0"/>
        <w:widowControl w:val="0"/>
        <w:kinsoku/>
        <w:wordWrap/>
        <w:overflowPunct/>
        <w:topLinePunct w:val="0"/>
        <w:bidi w:val="0"/>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（三）部门绩效评价信息反馈公开机制</w:t>
      </w:r>
    </w:p>
    <w:p w14:paraId="3CB9DB53">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eastAsia="黑体"/>
          <w:sz w:val="32"/>
          <w:szCs w:val="32"/>
        </w:rPr>
      </w:pPr>
      <w:r>
        <w:rPr>
          <w:rFonts w:hint="eastAsia" w:ascii="仿宋_GB2312" w:eastAsia="仿宋_GB2312"/>
          <w:sz w:val="32"/>
          <w:szCs w:val="32"/>
        </w:rPr>
        <w:t>我单位建立评价信息反馈公开机制，绩效结果信息、问题及整改意见等及时反馈给项目实施各处室，项目实施处室针对整改意见，落实整改情况后及时报送委机关办公室，同时，以内部通报等形式确保我单位内部可查询、可借鉴、可参考。以上评价情况除涉密项目外，我单位均按市财政局相关要求进行了及时公开。</w:t>
      </w:r>
    </w:p>
    <w:p w14:paraId="6A61B67C">
      <w:pPr>
        <w:keepNext w:val="0"/>
        <w:keepLines w:val="0"/>
        <w:pageBreakBefore w:val="0"/>
        <w:widowControl w:val="0"/>
        <w:kinsoku/>
        <w:wordWrap/>
        <w:overflowPunct/>
        <w:topLinePunct w:val="0"/>
        <w:bidi w:val="0"/>
        <w:spacing w:line="560" w:lineRule="exact"/>
        <w:ind w:firstLine="640" w:firstLineChars="200"/>
        <w:jc w:val="both"/>
        <w:textAlignment w:val="auto"/>
        <w:rPr>
          <w:rFonts w:eastAsia="黑体"/>
          <w:sz w:val="32"/>
          <w:szCs w:val="32"/>
        </w:rPr>
      </w:pPr>
      <w:r>
        <w:rPr>
          <w:rFonts w:hint="eastAsia" w:eastAsia="黑体"/>
          <w:sz w:val="32"/>
          <w:szCs w:val="32"/>
        </w:rPr>
        <w:t>十、</w:t>
      </w:r>
      <w:r>
        <w:rPr>
          <w:rFonts w:eastAsia="黑体"/>
          <w:sz w:val="32"/>
          <w:szCs w:val="32"/>
        </w:rPr>
        <w:t>其他需要说明的情况</w:t>
      </w:r>
    </w:p>
    <w:p w14:paraId="2215C22F"/>
    <w:p w14:paraId="793BDE6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5350A">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4B3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197B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2A144">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42A144">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61E97"/>
    <w:multiLevelType w:val="singleLevel"/>
    <w:tmpl w:val="91961E97"/>
    <w:lvl w:ilvl="0" w:tentative="0">
      <w:start w:val="2"/>
      <w:numFmt w:val="decimal"/>
      <w:suff w:val="nothing"/>
      <w:lvlText w:val="（%1）"/>
      <w:lvlJc w:val="left"/>
    </w:lvl>
  </w:abstractNum>
  <w:abstractNum w:abstractNumId="1">
    <w:nsid w:val="B7A4CFA8"/>
    <w:multiLevelType w:val="singleLevel"/>
    <w:tmpl w:val="B7A4CFA8"/>
    <w:lvl w:ilvl="0" w:tentative="0">
      <w:start w:val="8"/>
      <w:numFmt w:val="chineseCounting"/>
      <w:suff w:val="nothing"/>
      <w:lvlText w:val="%1、"/>
      <w:lvlJc w:val="left"/>
      <w:rPr>
        <w:rFonts w:hint="eastAsia"/>
      </w:rPr>
    </w:lvl>
  </w:abstractNum>
  <w:abstractNum w:abstractNumId="2">
    <w:nsid w:val="2522EB96"/>
    <w:multiLevelType w:val="singleLevel"/>
    <w:tmpl w:val="2522EB96"/>
    <w:lvl w:ilvl="0" w:tentative="0">
      <w:start w:val="2"/>
      <w:numFmt w:val="decimal"/>
      <w:suff w:val="nothing"/>
      <w:lvlText w:val="（%1）"/>
      <w:lvlJc w:val="left"/>
    </w:lvl>
  </w:abstractNum>
  <w:abstractNum w:abstractNumId="3">
    <w:nsid w:val="6D2FDD7D"/>
    <w:multiLevelType w:val="singleLevel"/>
    <w:tmpl w:val="6D2FDD7D"/>
    <w:lvl w:ilvl="0" w:tentative="0">
      <w:start w:val="3"/>
      <w:numFmt w:val="chineseCounting"/>
      <w:suff w:val="nothing"/>
      <w:lvlText w:val="%1、"/>
      <w:lvlJc w:val="left"/>
      <w:rPr>
        <w:rFonts w:hint="eastAsia"/>
      </w:rPr>
    </w:lvl>
  </w:abstractNum>
  <w:abstractNum w:abstractNumId="4">
    <w:nsid w:val="703FE1AC"/>
    <w:multiLevelType w:val="singleLevel"/>
    <w:tmpl w:val="703FE1AC"/>
    <w:lvl w:ilvl="0" w:tentative="0">
      <w:start w:val="2"/>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E7988"/>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160C3A"/>
    <w:rsid w:val="03185E34"/>
    <w:rsid w:val="032015EE"/>
    <w:rsid w:val="05790770"/>
    <w:rsid w:val="071D2A5A"/>
    <w:rsid w:val="0927500E"/>
    <w:rsid w:val="09E7711A"/>
    <w:rsid w:val="0B3A5A04"/>
    <w:rsid w:val="0FBD07A3"/>
    <w:rsid w:val="1008458B"/>
    <w:rsid w:val="11564A53"/>
    <w:rsid w:val="130151F3"/>
    <w:rsid w:val="13884D82"/>
    <w:rsid w:val="16100987"/>
    <w:rsid w:val="16905228"/>
    <w:rsid w:val="195F0334"/>
    <w:rsid w:val="1A791CC0"/>
    <w:rsid w:val="1D97DEFF"/>
    <w:rsid w:val="1DBF2F0B"/>
    <w:rsid w:val="1DFF72E5"/>
    <w:rsid w:val="1EFC6F07"/>
    <w:rsid w:val="1F5F4E35"/>
    <w:rsid w:val="20A86FBE"/>
    <w:rsid w:val="230706D2"/>
    <w:rsid w:val="28821526"/>
    <w:rsid w:val="2CF46C41"/>
    <w:rsid w:val="2D557606"/>
    <w:rsid w:val="2D905B11"/>
    <w:rsid w:val="2F1C2DB2"/>
    <w:rsid w:val="2F8907F0"/>
    <w:rsid w:val="2FDA651D"/>
    <w:rsid w:val="2FDF85B8"/>
    <w:rsid w:val="2FFFEE04"/>
    <w:rsid w:val="300C03E8"/>
    <w:rsid w:val="336A3748"/>
    <w:rsid w:val="34DF85B0"/>
    <w:rsid w:val="34E179EA"/>
    <w:rsid w:val="369B2827"/>
    <w:rsid w:val="386B4D57"/>
    <w:rsid w:val="390C0E52"/>
    <w:rsid w:val="39505698"/>
    <w:rsid w:val="3B8F36BC"/>
    <w:rsid w:val="3BCD3EFF"/>
    <w:rsid w:val="3C4A6C58"/>
    <w:rsid w:val="3D326473"/>
    <w:rsid w:val="40A72C26"/>
    <w:rsid w:val="40D1684A"/>
    <w:rsid w:val="42613A32"/>
    <w:rsid w:val="427F4543"/>
    <w:rsid w:val="42F53EEB"/>
    <w:rsid w:val="44A53E52"/>
    <w:rsid w:val="48355490"/>
    <w:rsid w:val="486B45BD"/>
    <w:rsid w:val="491FF225"/>
    <w:rsid w:val="492C75EF"/>
    <w:rsid w:val="497A675C"/>
    <w:rsid w:val="4C261319"/>
    <w:rsid w:val="4D443EBC"/>
    <w:rsid w:val="4DE65204"/>
    <w:rsid w:val="4F881FBC"/>
    <w:rsid w:val="4FC13833"/>
    <w:rsid w:val="4FF76611"/>
    <w:rsid w:val="4FFD214C"/>
    <w:rsid w:val="53896E4D"/>
    <w:rsid w:val="54413D28"/>
    <w:rsid w:val="55F9794B"/>
    <w:rsid w:val="5777D4F5"/>
    <w:rsid w:val="59DD8326"/>
    <w:rsid w:val="5BD11623"/>
    <w:rsid w:val="5D642C38"/>
    <w:rsid w:val="5DEF592A"/>
    <w:rsid w:val="5EEA72F8"/>
    <w:rsid w:val="5EF9D9D8"/>
    <w:rsid w:val="5F65DCDA"/>
    <w:rsid w:val="5FC6BB1E"/>
    <w:rsid w:val="5FF720F1"/>
    <w:rsid w:val="6155202D"/>
    <w:rsid w:val="61C032FD"/>
    <w:rsid w:val="62A96C61"/>
    <w:rsid w:val="63B868A3"/>
    <w:rsid w:val="644D6E57"/>
    <w:rsid w:val="65040463"/>
    <w:rsid w:val="665273EC"/>
    <w:rsid w:val="66A2273D"/>
    <w:rsid w:val="67D61050"/>
    <w:rsid w:val="67FF5C0B"/>
    <w:rsid w:val="68D30229"/>
    <w:rsid w:val="68FB4625"/>
    <w:rsid w:val="691A3634"/>
    <w:rsid w:val="6946402E"/>
    <w:rsid w:val="69C37D29"/>
    <w:rsid w:val="6C996DA0"/>
    <w:rsid w:val="6EFC0924"/>
    <w:rsid w:val="6FB74722"/>
    <w:rsid w:val="6FEF8B7E"/>
    <w:rsid w:val="70235E37"/>
    <w:rsid w:val="712A48C1"/>
    <w:rsid w:val="71A6591B"/>
    <w:rsid w:val="71CA5FB2"/>
    <w:rsid w:val="737D59BA"/>
    <w:rsid w:val="77C37683"/>
    <w:rsid w:val="77EF70C4"/>
    <w:rsid w:val="7897643D"/>
    <w:rsid w:val="79B04C63"/>
    <w:rsid w:val="79D19834"/>
    <w:rsid w:val="79FF515B"/>
    <w:rsid w:val="7B072D48"/>
    <w:rsid w:val="7DAF1F32"/>
    <w:rsid w:val="7E9E1962"/>
    <w:rsid w:val="7E9F11B4"/>
    <w:rsid w:val="7F37EC1E"/>
    <w:rsid w:val="7F7DCD9D"/>
    <w:rsid w:val="7F970A6F"/>
    <w:rsid w:val="7FC1FFF3"/>
    <w:rsid w:val="7FC69637"/>
    <w:rsid w:val="7FDF8620"/>
    <w:rsid w:val="7FE21E8B"/>
    <w:rsid w:val="7FE8C8F7"/>
    <w:rsid w:val="7FFB242F"/>
    <w:rsid w:val="7FFDB408"/>
    <w:rsid w:val="7FFE4EEB"/>
    <w:rsid w:val="95FB2B98"/>
    <w:rsid w:val="9A639BC2"/>
    <w:rsid w:val="9FF7D786"/>
    <w:rsid w:val="ABBFB23D"/>
    <w:rsid w:val="C3B4DA5A"/>
    <w:rsid w:val="C6763B75"/>
    <w:rsid w:val="CBFF70E0"/>
    <w:rsid w:val="CFF50B82"/>
    <w:rsid w:val="CFFFAD89"/>
    <w:rsid w:val="DCFF90B7"/>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styleId="10">
    <w:name w:val="Strong"/>
    <w:basedOn w:val="9"/>
    <w:qFormat/>
    <w:uiPriority w:val="22"/>
    <w:rPr>
      <w:b/>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3835</Words>
  <Characters>5191</Characters>
  <Lines>69</Lines>
  <Paragraphs>19</Paragraphs>
  <TotalTime>39</TotalTime>
  <ScaleCrop>false</ScaleCrop>
  <LinksUpToDate>false</LinksUpToDate>
  <CharactersWithSpaces>6349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2025-08-19T02:17:00Z</dcterms:created>
  <dc:creator>李航 null</dc:creator>
  <cp:lastModifiedBy>WPS_1509596760</cp:lastModifiedBy>
  <cp:lastPrinted>2024-08-09T10:20:00Z</cp:lastPrinted>
  <dcterms:modified xsi:type="dcterms:W3CDTF">2026-09-24T09:11:49Z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eyJoZGlkIjoiNGJkOWUxNjgzMTBlMzQyMjg1Y2FiODA0MmE2NTQ4NDUiLCJ1c2VySWQiOiIzMTkzMDA1NTUifQ==</vt:lpwstr>
  </property>
</Properties>
</file>