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0BE88">
      <w:pPr>
        <w:pStyle w:val="19"/>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CC8E484">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3CC8E484">
                      <w:pPr>
                        <w:rPr>
                          <w:rFonts w:hint="eastAsia" w:ascii="楷体" w:hAnsi="楷体" w:eastAsia="楷体" w:cs="楷体"/>
                          <w:sz w:val="30"/>
                          <w:szCs w:val="30"/>
                          <w:lang w:val="en-US" w:eastAsia="zh-CN"/>
                        </w:rPr>
                      </w:pPr>
                    </w:p>
                  </w:txbxContent>
                </v:textbox>
              </v:shape>
            </w:pict>
          </mc:Fallback>
        </mc:AlternateContent>
      </w:r>
    </w:p>
    <w:p w14:paraId="06462534">
      <w:pPr>
        <w:pStyle w:val="19"/>
        <w:jc w:val="center"/>
        <w:rPr>
          <w:sz w:val="56"/>
          <w:szCs w:val="56"/>
        </w:rPr>
      </w:pPr>
    </w:p>
    <w:p w14:paraId="23FD5B90">
      <w:pPr>
        <w:pStyle w:val="19"/>
        <w:jc w:val="center"/>
        <w:rPr>
          <w:sz w:val="84"/>
          <w:szCs w:val="84"/>
        </w:rPr>
      </w:pPr>
    </w:p>
    <w:p w14:paraId="07C6DDD0">
      <w:pPr>
        <w:pStyle w:val="19"/>
        <w:jc w:val="center"/>
        <w:rPr>
          <w:sz w:val="84"/>
          <w:szCs w:val="84"/>
        </w:rPr>
      </w:pPr>
    </w:p>
    <w:p w14:paraId="14BBEB19">
      <w:pPr>
        <w:pStyle w:val="19"/>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2CC14DC5">
      <w:pPr>
        <w:pStyle w:val="19"/>
        <w:jc w:val="center"/>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lang w:val="en-US" w:eastAsia="zh-CN"/>
        </w:rPr>
        <w:t>永州市人民政府国有资产监督管理委员会</w:t>
      </w:r>
    </w:p>
    <w:p w14:paraId="643AF730">
      <w:pPr>
        <w:pStyle w:val="19"/>
        <w:jc w:val="center"/>
        <w:rPr>
          <w:rFonts w:hint="eastAsia" w:ascii="方正小标宋_GBK" w:hAnsi="方正小标宋_GBK" w:eastAsia="方正小标宋_GBK" w:cs="方正小标宋_GBK"/>
          <w:sz w:val="84"/>
          <w:szCs w:val="84"/>
        </w:rPr>
      </w:pPr>
      <w:r>
        <w:rPr>
          <w:rFonts w:hint="eastAsia" w:ascii="方正小标宋简体" w:hAnsi="方正小标宋简体" w:eastAsia="方正小标宋简体" w:cs="方正小标宋简体"/>
          <w:sz w:val="72"/>
          <w:szCs w:val="72"/>
        </w:rPr>
        <w:t>部门决算</w:t>
      </w:r>
    </w:p>
    <w:p w14:paraId="1014FCBB">
      <w:pPr>
        <w:pStyle w:val="19"/>
        <w:jc w:val="center"/>
        <w:rPr>
          <w:rFonts w:hint="eastAsia" w:ascii="方正小标宋_GBK" w:hAnsi="方正小标宋_GBK" w:eastAsia="方正小标宋_GBK" w:cs="方正小标宋_GBK"/>
          <w:sz w:val="84"/>
          <w:szCs w:val="84"/>
        </w:rPr>
      </w:pPr>
    </w:p>
    <w:p w14:paraId="4B857753">
      <w:pPr>
        <w:pStyle w:val="19"/>
        <w:jc w:val="center"/>
        <w:rPr>
          <w:rFonts w:hint="eastAsia" w:ascii="方正小标宋_GBK" w:hAnsi="方正小标宋_GBK" w:eastAsia="方正小标宋_GBK" w:cs="方正小标宋_GBK"/>
          <w:sz w:val="56"/>
          <w:szCs w:val="56"/>
        </w:rPr>
      </w:pPr>
    </w:p>
    <w:p w14:paraId="1CA6CAD4">
      <w:pPr>
        <w:pStyle w:val="19"/>
        <w:jc w:val="center"/>
        <w:rPr>
          <w:rFonts w:hint="eastAsia" w:ascii="方正小标宋_GBK" w:hAnsi="方正小标宋_GBK" w:eastAsia="方正小标宋_GBK" w:cs="方正小标宋_GBK"/>
          <w:sz w:val="56"/>
          <w:szCs w:val="56"/>
        </w:rPr>
      </w:pPr>
    </w:p>
    <w:p w14:paraId="30FD3565">
      <w:pPr>
        <w:pStyle w:val="19"/>
        <w:jc w:val="both"/>
        <w:rPr>
          <w:sz w:val="56"/>
          <w:szCs w:val="56"/>
        </w:rPr>
      </w:pPr>
    </w:p>
    <w:p w14:paraId="7631C952">
      <w:pPr>
        <w:pStyle w:val="19"/>
        <w:spacing w:line="500" w:lineRule="exact"/>
        <w:jc w:val="both"/>
        <w:rPr>
          <w:b/>
          <w:sz w:val="36"/>
          <w:szCs w:val="28"/>
        </w:rPr>
      </w:pPr>
    </w:p>
    <w:p w14:paraId="419B0F59">
      <w:pPr>
        <w:pStyle w:val="19"/>
        <w:spacing w:line="500" w:lineRule="exact"/>
        <w:jc w:val="center"/>
        <w:rPr>
          <w:rFonts w:hint="eastAsia"/>
          <w:b w:val="0"/>
          <w:bCs/>
          <w:sz w:val="36"/>
          <w:szCs w:val="28"/>
        </w:rPr>
      </w:pPr>
      <w:r>
        <w:rPr>
          <w:rFonts w:hint="eastAsia"/>
          <w:b w:val="0"/>
          <w:bCs/>
          <w:sz w:val="36"/>
          <w:szCs w:val="28"/>
        </w:rPr>
        <w:t>目</w:t>
      </w:r>
      <w:r>
        <w:rPr>
          <w:rFonts w:hint="eastAsia"/>
          <w:b w:val="0"/>
          <w:bCs/>
          <w:sz w:val="36"/>
          <w:szCs w:val="28"/>
          <w:lang w:val="en-US" w:eastAsia="zh-CN"/>
        </w:rPr>
        <w:t xml:space="preserve"> </w:t>
      </w:r>
      <w:r>
        <w:rPr>
          <w:rFonts w:hint="eastAsia"/>
          <w:b w:val="0"/>
          <w:bCs/>
          <w:sz w:val="36"/>
          <w:szCs w:val="28"/>
        </w:rPr>
        <w:t>录</w:t>
      </w:r>
    </w:p>
    <w:p w14:paraId="462CA26D">
      <w:pPr>
        <w:pStyle w:val="19"/>
        <w:spacing w:line="500" w:lineRule="exact"/>
        <w:jc w:val="center"/>
        <w:rPr>
          <w:rFonts w:hint="eastAsia"/>
          <w:b w:val="0"/>
          <w:bCs/>
          <w:sz w:val="36"/>
          <w:szCs w:val="28"/>
        </w:rPr>
      </w:pPr>
    </w:p>
    <w:p w14:paraId="38C22B7A">
      <w:pPr>
        <w:pStyle w:val="19"/>
        <w:keepNext w:val="0"/>
        <w:keepLines w:val="0"/>
        <w:pageBreakBefore w:val="0"/>
        <w:widowControl w:val="0"/>
        <w:kinsoku/>
        <w:wordWrap/>
        <w:overflowPunct/>
        <w:topLinePunct w:val="0"/>
        <w:bidi w:val="0"/>
        <w:snapToGrid/>
        <w:spacing w:line="600" w:lineRule="exac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第一部分</w:t>
      </w:r>
      <w:r>
        <w:rPr>
          <w:rFonts w:hint="eastAsia" w:ascii="黑体" w:hAnsi="黑体" w:eastAsia="黑体" w:cs="黑体"/>
          <w:b w:val="0"/>
          <w:bCs/>
          <w:sz w:val="32"/>
          <w:szCs w:val="32"/>
          <w:lang w:val="en-US" w:eastAsia="zh-CN"/>
        </w:rPr>
        <w:t xml:space="preserve"> </w:t>
      </w:r>
      <w:r>
        <w:rPr>
          <w:rFonts w:hint="eastAsia"/>
          <w:b w:val="0"/>
          <w:bCs/>
          <w:sz w:val="32"/>
          <w:szCs w:val="32"/>
        </w:rPr>
        <w:t>永州市人民政府国有资产监督管理委员会概况</w:t>
      </w:r>
    </w:p>
    <w:p w14:paraId="1CB49E8F">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一、部门职责</w:t>
      </w:r>
    </w:p>
    <w:p w14:paraId="4D7CFFA0">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二、机构设置</w:t>
      </w:r>
      <w:r>
        <w:rPr>
          <w:rFonts w:hint="eastAsia" w:ascii="仿宋_GB2312" w:hAnsi="仿宋_GB2312" w:eastAsia="仿宋_GB2312" w:cs="仿宋_GB2312"/>
          <w:sz w:val="32"/>
          <w:szCs w:val="32"/>
          <w:lang w:val="en-US" w:eastAsia="zh-CN"/>
        </w:rPr>
        <w:t>及决算单位构成</w:t>
      </w:r>
    </w:p>
    <w:p w14:paraId="4C0165AB">
      <w:pPr>
        <w:pStyle w:val="19"/>
        <w:keepNext w:val="0"/>
        <w:keepLines w:val="0"/>
        <w:pageBreakBefore w:val="0"/>
        <w:widowControl w:val="0"/>
        <w:kinsoku/>
        <w:wordWrap/>
        <w:overflowPunct/>
        <w:topLinePunct w:val="0"/>
        <w:bidi w:val="0"/>
        <w:snapToGrid/>
        <w:spacing w:line="600" w:lineRule="exact"/>
        <w:textAlignment w:val="auto"/>
        <w:rPr>
          <w:rFonts w:hint="default" w:eastAsia="黑体"/>
          <w:b w:val="0"/>
          <w:bCs/>
          <w:sz w:val="32"/>
          <w:szCs w:val="32"/>
          <w:lang w:val="en-US" w:eastAsia="zh-CN"/>
        </w:rPr>
      </w:pPr>
      <w:r>
        <w:rPr>
          <w:rFonts w:hint="eastAsia"/>
          <w:b w:val="0"/>
          <w:bCs/>
          <w:sz w:val="32"/>
          <w:szCs w:val="32"/>
        </w:rPr>
        <w:t>第二部分</w:t>
      </w:r>
      <w:r>
        <w:rPr>
          <w:rFonts w:hint="eastAsia"/>
          <w:b w:val="0"/>
          <w:bCs/>
          <w:sz w:val="32"/>
          <w:szCs w:val="32"/>
          <w:lang w:val="en-US" w:eastAsia="zh-CN"/>
        </w:rPr>
        <w:t xml:space="preserve"> </w:t>
      </w:r>
      <w:r>
        <w:rPr>
          <w:rFonts w:hint="eastAsia"/>
          <w:b w:val="0"/>
          <w:bCs/>
          <w:sz w:val="32"/>
          <w:szCs w:val="32"/>
        </w:rPr>
        <w:t>部门决算表</w:t>
      </w:r>
    </w:p>
    <w:p w14:paraId="73EE0609">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14:paraId="388CAB27">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二、收入决算表</w:t>
      </w:r>
    </w:p>
    <w:p w14:paraId="554A2EA9">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三、支出决算表</w:t>
      </w:r>
    </w:p>
    <w:p w14:paraId="01F995AE">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四、财政拨款收入支出决算总表</w:t>
      </w:r>
    </w:p>
    <w:p w14:paraId="51AF6398">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五、一般公共预算财政拨款支出决算表</w:t>
      </w:r>
    </w:p>
    <w:p w14:paraId="121E738C">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六、一般公共预算财政拨款基本支出决算明细表</w:t>
      </w:r>
    </w:p>
    <w:p w14:paraId="42F00985">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七、政府性基金预算财政拨款收入支出决算表</w:t>
      </w:r>
    </w:p>
    <w:p w14:paraId="28C958EB">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八、国有资本经营预算财政拨款支出决算表</w:t>
      </w:r>
    </w:p>
    <w:p w14:paraId="4E622039">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九、财政拨款“三公”经费支出决算表</w:t>
      </w:r>
    </w:p>
    <w:p w14:paraId="480ECB38">
      <w:pPr>
        <w:pStyle w:val="19"/>
        <w:keepNext w:val="0"/>
        <w:keepLines w:val="0"/>
        <w:pageBreakBefore w:val="0"/>
        <w:widowControl w:val="0"/>
        <w:kinsoku/>
        <w:wordWrap/>
        <w:overflowPunct/>
        <w:topLinePunct w:val="0"/>
        <w:bidi w:val="0"/>
        <w:snapToGrid/>
        <w:spacing w:line="600" w:lineRule="exact"/>
        <w:textAlignment w:val="auto"/>
        <w:rPr>
          <w:rFonts w:hint="eastAsia"/>
          <w:b w:val="0"/>
          <w:bCs/>
          <w:sz w:val="32"/>
          <w:szCs w:val="32"/>
        </w:rPr>
      </w:pPr>
      <w:r>
        <w:rPr>
          <w:rFonts w:hint="eastAsia"/>
          <w:b w:val="0"/>
          <w:bCs/>
          <w:sz w:val="32"/>
          <w:szCs w:val="32"/>
        </w:rPr>
        <w:t>第三部分</w:t>
      </w:r>
      <w:r>
        <w:rPr>
          <w:rFonts w:hint="eastAsia"/>
          <w:b w:val="0"/>
          <w:bCs/>
          <w:sz w:val="32"/>
          <w:szCs w:val="32"/>
          <w:lang w:val="en-US" w:eastAsia="zh-CN"/>
        </w:rPr>
        <w:t xml:space="preserve"> </w:t>
      </w:r>
      <w:r>
        <w:rPr>
          <w:rFonts w:hint="eastAsia"/>
          <w:b w:val="0"/>
          <w:bCs/>
          <w:sz w:val="32"/>
          <w:szCs w:val="32"/>
        </w:rPr>
        <w:t>部门决算情况说明</w:t>
      </w:r>
    </w:p>
    <w:p w14:paraId="0FE1B749">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一、收入支出决算总体情况说明</w:t>
      </w:r>
    </w:p>
    <w:p w14:paraId="6498CA40">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二、收入决算情况说明</w:t>
      </w:r>
    </w:p>
    <w:p w14:paraId="77C74F81">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三、支出决算情况说明</w:t>
      </w:r>
    </w:p>
    <w:p w14:paraId="528BC344">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四、财政拨款收入支出决算总体情况说明</w:t>
      </w:r>
    </w:p>
    <w:p w14:paraId="35483F89">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五、一般公共预算财政拨款支出决算情况说明</w:t>
      </w:r>
    </w:p>
    <w:p w14:paraId="06CAB6F7">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六、一般公共预算财政拨款基本支出决算情况说明</w:t>
      </w:r>
    </w:p>
    <w:p w14:paraId="249B8639">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七、财政拨款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经费支出决算情况说明</w:t>
      </w:r>
    </w:p>
    <w:p w14:paraId="3FB0BA4A">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八、政府性基金预算收入支出决算情况</w:t>
      </w:r>
    </w:p>
    <w:p w14:paraId="0D279E7D">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九、关于机关运行经费支出说明</w:t>
      </w:r>
    </w:p>
    <w:p w14:paraId="70AB769E">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十、一般性支出情况说明</w:t>
      </w:r>
    </w:p>
    <w:p w14:paraId="64DFF733">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十一、关于政府采购支出说明</w:t>
      </w:r>
    </w:p>
    <w:p w14:paraId="69D8280E">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十二、关于国有资产占用情况说明</w:t>
      </w:r>
    </w:p>
    <w:p w14:paraId="22920476">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十三、关于</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绩效</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情况的说明</w:t>
      </w:r>
    </w:p>
    <w:p w14:paraId="229C5420">
      <w:pPr>
        <w:pStyle w:val="19"/>
        <w:keepNext w:val="0"/>
        <w:keepLines w:val="0"/>
        <w:pageBreakBefore w:val="0"/>
        <w:widowControl w:val="0"/>
        <w:kinsoku/>
        <w:wordWrap/>
        <w:overflowPunct/>
        <w:topLinePunct w:val="0"/>
        <w:bidi w:val="0"/>
        <w:snapToGrid/>
        <w:spacing w:line="600" w:lineRule="exact"/>
        <w:textAlignment w:val="auto"/>
        <w:rPr>
          <w:rFonts w:hint="eastAsia"/>
          <w:b w:val="0"/>
          <w:bCs/>
          <w:sz w:val="32"/>
          <w:szCs w:val="32"/>
        </w:rPr>
      </w:pPr>
      <w:r>
        <w:rPr>
          <w:rFonts w:hint="eastAsia"/>
          <w:b w:val="0"/>
          <w:bCs/>
          <w:sz w:val="32"/>
          <w:szCs w:val="32"/>
        </w:rPr>
        <w:t>第四部分</w:t>
      </w:r>
      <w:r>
        <w:rPr>
          <w:rFonts w:hint="eastAsia"/>
          <w:b w:val="0"/>
          <w:bCs/>
          <w:sz w:val="32"/>
          <w:szCs w:val="32"/>
          <w:lang w:val="en-US" w:eastAsia="zh-CN"/>
        </w:rPr>
        <w:t xml:space="preserve"> </w:t>
      </w:r>
      <w:r>
        <w:rPr>
          <w:rFonts w:hint="eastAsia"/>
          <w:b w:val="0"/>
          <w:bCs/>
          <w:sz w:val="32"/>
          <w:szCs w:val="32"/>
        </w:rPr>
        <w:t>名词解释</w:t>
      </w:r>
    </w:p>
    <w:p w14:paraId="5FA8B903">
      <w:pPr>
        <w:pStyle w:val="19"/>
        <w:keepNext w:val="0"/>
        <w:keepLines w:val="0"/>
        <w:pageBreakBefore w:val="0"/>
        <w:widowControl w:val="0"/>
        <w:kinsoku/>
        <w:wordWrap/>
        <w:overflowPunct/>
        <w:topLinePunct w:val="0"/>
        <w:bidi w:val="0"/>
        <w:snapToGrid/>
        <w:spacing w:line="600" w:lineRule="exact"/>
        <w:textAlignment w:val="auto"/>
        <w:rPr>
          <w:rFonts w:hint="eastAsia"/>
          <w:b w:val="0"/>
          <w:bCs/>
          <w:sz w:val="32"/>
          <w:szCs w:val="32"/>
          <w:lang w:eastAsia="zh-CN"/>
        </w:rPr>
      </w:pPr>
      <w:r>
        <w:rPr>
          <w:rFonts w:hint="eastAsia"/>
          <w:b w:val="0"/>
          <w:bCs/>
          <w:sz w:val="32"/>
          <w:szCs w:val="32"/>
        </w:rPr>
        <w:t>第</w:t>
      </w:r>
      <w:r>
        <w:rPr>
          <w:rFonts w:hint="eastAsia"/>
          <w:b w:val="0"/>
          <w:bCs/>
          <w:sz w:val="32"/>
          <w:szCs w:val="32"/>
          <w:lang w:eastAsia="zh-CN"/>
        </w:rPr>
        <w:t>五</w:t>
      </w:r>
      <w:r>
        <w:rPr>
          <w:rFonts w:hint="eastAsia"/>
          <w:b w:val="0"/>
          <w:bCs/>
          <w:sz w:val="32"/>
          <w:szCs w:val="32"/>
        </w:rPr>
        <w:t>部分</w:t>
      </w:r>
      <w:r>
        <w:rPr>
          <w:rFonts w:hint="eastAsia"/>
          <w:b w:val="0"/>
          <w:bCs/>
          <w:sz w:val="32"/>
          <w:szCs w:val="32"/>
          <w:lang w:val="en-US" w:eastAsia="zh-CN"/>
        </w:rPr>
        <w:t xml:space="preserve"> </w:t>
      </w:r>
      <w:r>
        <w:rPr>
          <w:rFonts w:hint="eastAsia"/>
          <w:b w:val="0"/>
          <w:bCs/>
          <w:sz w:val="32"/>
          <w:szCs w:val="32"/>
          <w:lang w:eastAsia="zh-CN"/>
        </w:rPr>
        <w:t>附件</w:t>
      </w:r>
    </w:p>
    <w:p w14:paraId="6562F076">
      <w:pPr>
        <w:pStyle w:val="19"/>
        <w:spacing w:line="500" w:lineRule="exact"/>
        <w:rPr>
          <w:rFonts w:hint="eastAsia" w:ascii="黑体" w:hAnsi="黑体" w:eastAsia="黑体" w:cs="黑体"/>
          <w:b w:val="0"/>
          <w:bCs/>
          <w:sz w:val="28"/>
          <w:szCs w:val="28"/>
        </w:rPr>
      </w:pPr>
    </w:p>
    <w:p w14:paraId="3F211F66">
      <w:pPr>
        <w:jc w:val="center"/>
        <w:rPr>
          <w:sz w:val="72"/>
          <w:szCs w:val="72"/>
        </w:rPr>
      </w:pPr>
    </w:p>
    <w:p w14:paraId="5419CDA2">
      <w:pPr>
        <w:jc w:val="center"/>
        <w:rPr>
          <w:sz w:val="72"/>
          <w:szCs w:val="72"/>
        </w:rPr>
      </w:pPr>
    </w:p>
    <w:p w14:paraId="0C06E4A4">
      <w:pPr>
        <w:jc w:val="center"/>
        <w:rPr>
          <w:sz w:val="72"/>
          <w:szCs w:val="72"/>
        </w:rPr>
      </w:pPr>
    </w:p>
    <w:p w14:paraId="2314EF44">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7A787F15">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4E30CA7B">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3126C8FA">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26B0CBE0">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0E0ED52A">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7CED21B1">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4258D087">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13C4B704">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6BC1ADFD">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0F733FAB">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2B91BCDA">
      <w:pPr>
        <w:pStyle w:val="19"/>
        <w:keepNext w:val="0"/>
        <w:keepLines w:val="0"/>
        <w:pageBreakBefore w:val="0"/>
        <w:widowControl w:val="0"/>
        <w:kinsoku/>
        <w:wordWrap/>
        <w:overflowPunct/>
        <w:topLinePunct w:val="0"/>
        <w:bidi w:val="0"/>
        <w:snapToGrid/>
        <w:spacing w:line="600" w:lineRule="exact"/>
        <w:ind w:firstLine="1800" w:firstLineChars="250"/>
        <w:textAlignment w:val="auto"/>
        <w:rPr>
          <w:sz w:val="72"/>
          <w:szCs w:val="72"/>
        </w:rPr>
      </w:pPr>
    </w:p>
    <w:p w14:paraId="17C55909">
      <w:pPr>
        <w:rPr>
          <w:rFonts w:hint="eastAsia" w:ascii="方正小标宋_GBK" w:hAnsi="方正小标宋_GBK" w:eastAsia="方正小标宋_GBK" w:cs="方正小标宋_GBK"/>
          <w:sz w:val="72"/>
          <w:szCs w:val="72"/>
        </w:rPr>
      </w:pPr>
    </w:p>
    <w:p w14:paraId="1E18E254">
      <w:pPr>
        <w:pStyle w:val="1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8722F57">
      <w:pPr>
        <w:pStyle w:val="19"/>
        <w:jc w:val="center"/>
        <w:rPr>
          <w:rFonts w:hint="eastAsia" w:ascii="方正小标宋_GBK" w:hAnsi="方正小标宋_GBK" w:eastAsia="方正小标宋_GBK" w:cs="方正小标宋_GBK"/>
          <w:sz w:val="84"/>
          <w:szCs w:val="84"/>
        </w:rPr>
      </w:pPr>
    </w:p>
    <w:p w14:paraId="62C96BDC">
      <w:pPr>
        <w:jc w:val="center"/>
        <w:rPr>
          <w:rFonts w:ascii="黑体" w:eastAsia="黑体" w:cs="黑体"/>
          <w:color w:val="000000"/>
          <w:spacing w:val="-4"/>
          <w:kern w:val="0"/>
          <w:sz w:val="70"/>
          <w:szCs w:val="70"/>
        </w:rPr>
      </w:pPr>
      <w:r>
        <w:rPr>
          <w:rFonts w:hint="eastAsia" w:ascii="黑体" w:eastAsia="黑体" w:cs="黑体"/>
          <w:color w:val="000000"/>
          <w:spacing w:val="-4"/>
          <w:kern w:val="0"/>
          <w:sz w:val="70"/>
          <w:szCs w:val="70"/>
        </w:rPr>
        <w:t>永州市人民政府国有资产监督管理委员会概况</w:t>
      </w:r>
    </w:p>
    <w:p w14:paraId="7D52EA1A">
      <w:pPr>
        <w:jc w:val="center"/>
        <w:rPr>
          <w:rFonts w:hint="eastAsia" w:ascii="方正小标宋_GBK" w:hAnsi="方正小标宋_GBK" w:eastAsia="方正小标宋_GBK" w:cs="方正小标宋_GBK"/>
          <w:sz w:val="72"/>
          <w:szCs w:val="72"/>
        </w:rPr>
      </w:pPr>
    </w:p>
    <w:p w14:paraId="7563C6D6">
      <w:pPr>
        <w:jc w:val="center"/>
        <w:rPr>
          <w:rFonts w:hint="eastAsia" w:ascii="方正小标宋_GBK" w:hAnsi="方正小标宋_GBK" w:eastAsia="方正小标宋_GBK" w:cs="方正小标宋_GBK"/>
          <w:sz w:val="72"/>
          <w:szCs w:val="72"/>
        </w:rPr>
      </w:pPr>
    </w:p>
    <w:p w14:paraId="4858D3FE">
      <w:pPr>
        <w:jc w:val="center"/>
        <w:rPr>
          <w:sz w:val="72"/>
          <w:szCs w:val="72"/>
        </w:rPr>
      </w:pPr>
    </w:p>
    <w:p w14:paraId="38FECF58">
      <w:pPr>
        <w:jc w:val="center"/>
        <w:rPr>
          <w:sz w:val="72"/>
          <w:szCs w:val="72"/>
        </w:rPr>
      </w:pPr>
    </w:p>
    <w:p w14:paraId="0F405512">
      <w:pPr>
        <w:jc w:val="center"/>
        <w:rPr>
          <w:sz w:val="72"/>
          <w:szCs w:val="72"/>
        </w:rPr>
      </w:pPr>
    </w:p>
    <w:p w14:paraId="4A3077E7">
      <w:pPr>
        <w:snapToGrid w:val="0"/>
        <w:spacing w:line="360" w:lineRule="auto"/>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一、部门职责</w:t>
      </w:r>
    </w:p>
    <w:p w14:paraId="04118F5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w:t>
      </w:r>
      <w:r>
        <w:rPr>
          <w:rFonts w:hint="eastAsia" w:ascii="仿宋_GB2312" w:hAnsi="仿宋_GB2312" w:eastAsia="仿宋_GB2312" w:cs="仿宋_GB2312"/>
          <w:bCs/>
          <w:sz w:val="32"/>
          <w:szCs w:val="32"/>
        </w:rPr>
        <w:t>依照《中华人民共和国公司法》、《企业国有资产监督管理暂行条例》等法律、行政法规履行出资人职责</w:t>
      </w:r>
      <w:r>
        <w:rPr>
          <w:rFonts w:hint="eastAsia" w:ascii="仿宋_GB2312" w:hAnsi="仿宋_GB2312" w:eastAsia="仿宋_GB2312" w:cs="仿宋_GB2312"/>
          <w:bCs/>
          <w:sz w:val="32"/>
          <w:szCs w:val="32"/>
          <w:lang w:val="en-US" w:eastAsia="zh-CN"/>
        </w:rPr>
        <w:t>；</w:t>
      </w:r>
    </w:p>
    <w:p w14:paraId="5BAED21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（二）承担</w:t>
      </w:r>
      <w:r>
        <w:rPr>
          <w:rFonts w:hint="eastAsia" w:ascii="仿宋_GB2312" w:hAnsi="仿宋_GB2312" w:eastAsia="仿宋_GB2312" w:cs="仿宋_GB2312"/>
          <w:bCs/>
          <w:sz w:val="32"/>
          <w:szCs w:val="32"/>
        </w:rPr>
        <w:t>监管企业国有资产保值增值的责任</w:t>
      </w:r>
      <w:r>
        <w:rPr>
          <w:rFonts w:hint="eastAsia" w:ascii="仿宋_GB2312" w:hAnsi="仿宋_GB2312" w:eastAsia="仿宋_GB2312" w:cs="仿宋_GB2312"/>
          <w:bCs/>
          <w:sz w:val="32"/>
          <w:szCs w:val="32"/>
          <w:lang w:val="en-US" w:eastAsia="zh-CN"/>
        </w:rPr>
        <w:t>；</w:t>
      </w:r>
    </w:p>
    <w:p w14:paraId="612FF89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（三）</w:t>
      </w:r>
      <w:r>
        <w:rPr>
          <w:rFonts w:hint="eastAsia" w:ascii="仿宋_GB2312" w:hAnsi="仿宋_GB2312" w:eastAsia="仿宋_GB2312" w:cs="仿宋_GB2312"/>
          <w:bCs/>
          <w:sz w:val="32"/>
          <w:szCs w:val="32"/>
        </w:rPr>
        <w:t>指导和推进市属承担监督所国有企业改革和重组；</w:t>
      </w:r>
    </w:p>
    <w:p w14:paraId="541DC06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（四）</w:t>
      </w:r>
      <w:r>
        <w:rPr>
          <w:rFonts w:hint="eastAsia" w:ascii="仿宋_GB2312" w:hAnsi="仿宋_GB2312" w:eastAsia="仿宋_GB2312" w:cs="仿宋_GB2312"/>
          <w:bCs/>
          <w:sz w:val="32"/>
          <w:szCs w:val="32"/>
        </w:rPr>
        <w:t>通过法定程序，对所监管企业的负责人进行任免、考核、奖惩；</w:t>
      </w:r>
    </w:p>
    <w:p w14:paraId="2CE9D84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（五）</w:t>
      </w:r>
      <w:r>
        <w:rPr>
          <w:rFonts w:hint="eastAsia" w:ascii="仿宋_GB2312" w:hAnsi="仿宋_GB2312" w:eastAsia="仿宋_GB2312" w:cs="仿宋_GB2312"/>
          <w:bCs/>
          <w:sz w:val="32"/>
          <w:szCs w:val="32"/>
        </w:rPr>
        <w:t>负责组织所监管企业</w:t>
      </w:r>
      <w:r>
        <w:rPr>
          <w:rFonts w:hint="eastAsia" w:ascii="仿宋_GB2312" w:hAnsi="仿宋_GB2312" w:eastAsia="仿宋_GB2312" w:cs="仿宋_GB2312"/>
          <w:bCs/>
          <w:sz w:val="32"/>
          <w:szCs w:val="32"/>
          <w:lang w:eastAsia="zh-CN"/>
        </w:rPr>
        <w:t>上缴</w:t>
      </w:r>
      <w:r>
        <w:rPr>
          <w:rFonts w:hint="eastAsia" w:ascii="仿宋_GB2312" w:hAnsi="仿宋_GB2312" w:eastAsia="仿宋_GB2312" w:cs="仿宋_GB2312"/>
          <w:bCs/>
          <w:sz w:val="32"/>
          <w:szCs w:val="32"/>
        </w:rPr>
        <w:t>国有资本收益；</w:t>
      </w:r>
    </w:p>
    <w:p w14:paraId="56FE3C6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（六）</w:t>
      </w:r>
      <w:r>
        <w:rPr>
          <w:rFonts w:hint="eastAsia" w:ascii="仿宋_GB2312" w:hAnsi="仿宋_GB2312" w:eastAsia="仿宋_GB2312" w:cs="仿宋_GB2312"/>
          <w:bCs/>
          <w:sz w:val="32"/>
          <w:szCs w:val="32"/>
        </w:rPr>
        <w:t>负责企业国有资产基础管理，起草有关国有资产管理的规范性文件；根据市政府授权，代表</w:t>
      </w:r>
      <w:r>
        <w:rPr>
          <w:rFonts w:hint="eastAsia" w:ascii="仿宋_GB2312" w:hAnsi="仿宋_GB2312" w:eastAsia="仿宋_GB2312" w:cs="仿宋_GB2312"/>
          <w:bCs/>
          <w:sz w:val="32"/>
          <w:szCs w:val="32"/>
          <w:lang w:val="en-US" w:eastAsia="zh-CN"/>
        </w:rPr>
        <w:t>政府</w:t>
      </w:r>
      <w:r>
        <w:rPr>
          <w:rFonts w:hint="eastAsia" w:ascii="仿宋_GB2312" w:hAnsi="仿宋_GB2312" w:eastAsia="仿宋_GB2312" w:cs="仿宋_GB2312"/>
          <w:bCs/>
          <w:sz w:val="32"/>
          <w:szCs w:val="32"/>
        </w:rPr>
        <w:t>对市属国有企业履行国有资产出资人职责，并进行监督管理。</w:t>
      </w:r>
    </w:p>
    <w:p w14:paraId="6191088E">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二、机构设置及决算单位构成</w:t>
      </w:r>
    </w:p>
    <w:p w14:paraId="5021A6F3">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rPr>
        <w:t>（一）内设机构设置</w:t>
      </w:r>
      <w:r>
        <w:rPr>
          <w:rFonts w:hint="eastAsia" w:ascii="楷体_GB2312" w:hAnsi="楷体_GB2312" w:eastAsia="楷体_GB2312" w:cs="楷体_GB2312"/>
          <w:b/>
          <w:bCs w:val="0"/>
          <w:sz w:val="32"/>
          <w:szCs w:val="32"/>
          <w:lang w:eastAsia="zh-CN"/>
        </w:rPr>
        <w:t>。</w:t>
      </w:r>
    </w:p>
    <w:p w14:paraId="36E3218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永州市人民政府国有资产监督管理委员会</w:t>
      </w:r>
      <w:r>
        <w:rPr>
          <w:rFonts w:hint="eastAsia" w:ascii="仿宋_GB2312" w:hAnsi="仿宋_GB2312" w:eastAsia="仿宋_GB2312" w:cs="仿宋_GB2312"/>
          <w:bCs/>
          <w:sz w:val="32"/>
          <w:szCs w:val="32"/>
        </w:rPr>
        <w:t>内设</w:t>
      </w:r>
      <w:r>
        <w:rPr>
          <w:rFonts w:hint="eastAsia" w:ascii="仿宋_GB2312" w:hAnsi="仿宋_GB2312" w:eastAsia="仿宋_GB2312" w:cs="仿宋_GB2312"/>
          <w:bCs/>
          <w:sz w:val="32"/>
          <w:szCs w:val="32"/>
          <w:lang w:val="en-US" w:eastAsia="zh-CN"/>
        </w:rPr>
        <w:t>机构包括：</w:t>
      </w:r>
      <w:r>
        <w:rPr>
          <w:rFonts w:hint="eastAsia" w:ascii="仿宋_GB2312" w:hAnsi="仿宋_GB2312" w:eastAsia="仿宋_GB2312" w:cs="仿宋_GB2312"/>
          <w:sz w:val="32"/>
          <w:szCs w:val="32"/>
        </w:rPr>
        <w:t>办公室、</w:t>
      </w:r>
      <w:r>
        <w:rPr>
          <w:rFonts w:hint="eastAsia" w:ascii="仿宋_GB2312" w:hAnsi="仿宋_GB2312" w:eastAsia="仿宋_GB2312" w:cs="仿宋_GB2312"/>
          <w:sz w:val="32"/>
          <w:szCs w:val="32"/>
          <w:lang w:eastAsia="zh-CN"/>
        </w:rPr>
        <w:t>监督与考核科</w:t>
      </w:r>
      <w:r>
        <w:rPr>
          <w:rFonts w:hint="eastAsia" w:ascii="仿宋_GB2312" w:hAnsi="仿宋_GB2312" w:eastAsia="仿宋_GB2312" w:cs="仿宋_GB2312"/>
          <w:sz w:val="32"/>
          <w:szCs w:val="32"/>
        </w:rPr>
        <w:t>、产权管理科、规划发展和改革改制科、人事科、</w:t>
      </w:r>
      <w:r>
        <w:rPr>
          <w:rFonts w:hint="eastAsia" w:ascii="仿宋_GB2312" w:hAnsi="仿宋_GB2312" w:eastAsia="仿宋_GB2312" w:cs="仿宋_GB2312"/>
          <w:sz w:val="32"/>
          <w:szCs w:val="32"/>
          <w:lang w:eastAsia="zh-CN"/>
        </w:rPr>
        <w:t>社会责任</w:t>
      </w:r>
      <w:r>
        <w:rPr>
          <w:rFonts w:hint="eastAsia" w:ascii="仿宋_GB2312" w:hAnsi="仿宋_GB2312" w:eastAsia="仿宋_GB2312" w:cs="仿宋_GB2312"/>
          <w:sz w:val="32"/>
          <w:szCs w:val="32"/>
        </w:rPr>
        <w:t>科、</w:t>
      </w:r>
      <w:r>
        <w:rPr>
          <w:rFonts w:hint="eastAsia" w:ascii="仿宋_GB2312" w:hAnsi="仿宋_GB2312" w:eastAsia="仿宋_GB2312" w:cs="仿宋_GB2312"/>
          <w:sz w:val="32"/>
          <w:szCs w:val="32"/>
          <w:lang w:val="en-US" w:eastAsia="zh-CN"/>
        </w:rPr>
        <w:t>对外</w:t>
      </w:r>
      <w:r>
        <w:rPr>
          <w:rFonts w:hint="eastAsia" w:ascii="仿宋_GB2312" w:hAnsi="仿宋_GB2312" w:eastAsia="仿宋_GB2312" w:cs="仿宋_GB2312"/>
          <w:sz w:val="32"/>
          <w:szCs w:val="32"/>
        </w:rPr>
        <w:t>合作科、党建科8个职能科室；归口管理市国有资产运营服务中心、市医药产业发展服务中心、市铜山岭有色金属矿社区服务中心。</w:t>
      </w:r>
    </w:p>
    <w:p w14:paraId="2ECE6A2E">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Cs/>
          <w:sz w:val="32"/>
          <w:szCs w:val="32"/>
        </w:rPr>
        <w:t>人员编制共3</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名，其中行政编制1</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名，工勤编制2名，全额拨款事业编制13名，现有干部职工</w:t>
      </w:r>
      <w:r>
        <w:rPr>
          <w:rFonts w:hint="eastAsia" w:ascii="仿宋_GB2312" w:hAnsi="仿宋_GB2312" w:eastAsia="仿宋_GB2312" w:cs="仿宋_GB2312"/>
          <w:bCs/>
          <w:sz w:val="32"/>
          <w:szCs w:val="32"/>
          <w:lang w:val="en-US" w:eastAsia="zh-CN"/>
        </w:rPr>
        <w:t>27</w:t>
      </w:r>
      <w:r>
        <w:rPr>
          <w:rFonts w:hint="eastAsia" w:ascii="仿宋_GB2312" w:hAnsi="仿宋_GB2312" w:eastAsia="仿宋_GB2312" w:cs="仿宋_GB2312"/>
          <w:bCs/>
          <w:sz w:val="32"/>
          <w:szCs w:val="32"/>
        </w:rPr>
        <w:t>人。车辆编制1台，实有车辆0台</w:t>
      </w:r>
      <w:r>
        <w:rPr>
          <w:rFonts w:hint="eastAsia" w:ascii="仿宋_GB2312" w:hAnsi="仿宋_GB2312" w:eastAsia="仿宋_GB2312" w:cs="仿宋_GB2312"/>
          <w:sz w:val="32"/>
          <w:szCs w:val="32"/>
        </w:rPr>
        <w:t>。</w:t>
      </w:r>
    </w:p>
    <w:p w14:paraId="77A0622F">
      <w:pPr>
        <w:keepNext w:val="0"/>
        <w:keepLines w:val="0"/>
        <w:pageBreakBefore w:val="0"/>
        <w:widowControl w:val="0"/>
        <w:numPr>
          <w:ilvl w:val="0"/>
          <w:numId w:val="1"/>
        </w:numPr>
        <w:kinsoku/>
        <w:wordWrap/>
        <w:overflowPunct/>
        <w:topLinePunct w:val="0"/>
        <w:autoSpaceDE/>
        <w:autoSpaceDN/>
        <w:bidi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决算单位构成</w:t>
      </w:r>
      <w:r>
        <w:rPr>
          <w:rFonts w:hint="eastAsia" w:ascii="楷体_GB2312" w:hAnsi="楷体_GB2312" w:eastAsia="楷体_GB2312" w:cs="楷体_GB2312"/>
          <w:b/>
          <w:bCs/>
          <w:sz w:val="32"/>
          <w:szCs w:val="32"/>
          <w:lang w:eastAsia="zh-CN"/>
        </w:rPr>
        <w:t>。</w:t>
      </w:r>
    </w:p>
    <w:p w14:paraId="690E3B7A">
      <w:pPr>
        <w:keepNext w:val="0"/>
        <w:keepLines w:val="0"/>
        <w:pageBreakBefore w:val="0"/>
        <w:widowControl w:val="0"/>
        <w:kinsoku/>
        <w:wordWrap/>
        <w:overflowPunct/>
        <w:topLinePunct w:val="0"/>
        <w:autoSpaceDE/>
        <w:autoSpaceDN/>
        <w:bidi w:val="0"/>
        <w:snapToGrid w:val="0"/>
        <w:spacing w:line="600" w:lineRule="exact"/>
        <w:textAlignment w:val="auto"/>
        <w:rPr>
          <w:rFonts w:hint="eastAsia" w:eastAsia="方正小标宋_GBK"/>
          <w:sz w:val="72"/>
          <w:szCs w:val="7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Cs/>
          <w:sz w:val="32"/>
          <w:szCs w:val="32"/>
          <w:lang w:val="en-US" w:eastAsia="zh-CN"/>
        </w:rPr>
        <w:t>永州市人民政府国有资产监督管理委员会</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年度部门决算汇总公开单位构成包括：</w:t>
      </w:r>
      <w:r>
        <w:rPr>
          <w:rFonts w:hint="eastAsia" w:ascii="仿宋_GB2312" w:hAnsi="仿宋_GB2312" w:eastAsia="仿宋_GB2312" w:cs="仿宋_GB2312"/>
          <w:bCs/>
          <w:sz w:val="32"/>
          <w:szCs w:val="32"/>
        </w:rPr>
        <w:t>永州市人民政府国有资产监督管理委员会本级以及下属管理的两个事业单位：永州市国有资产运营服务中心、永州市医药产业发展服务中心</w:t>
      </w:r>
      <w:r>
        <w:rPr>
          <w:rFonts w:hint="eastAsia" w:ascii="仿宋_GB2312" w:hAnsi="仿宋_GB2312" w:eastAsia="仿宋_GB2312" w:cs="仿宋_GB2312"/>
          <w:bCs/>
          <w:sz w:val="32"/>
          <w:szCs w:val="32"/>
          <w:lang w:eastAsia="zh-CN"/>
        </w:rPr>
        <w:t>。</w:t>
      </w:r>
    </w:p>
    <w:p w14:paraId="7D7B9861">
      <w:pPr>
        <w:pStyle w:val="19"/>
        <w:jc w:val="both"/>
        <w:rPr>
          <w:rFonts w:hint="eastAsia" w:eastAsia="方正小标宋_GBK"/>
          <w:sz w:val="72"/>
          <w:szCs w:val="72"/>
          <w:lang w:val="en-US" w:eastAsia="zh-CN"/>
        </w:rPr>
      </w:pPr>
    </w:p>
    <w:p w14:paraId="533EED65">
      <w:pPr>
        <w:pStyle w:val="19"/>
        <w:jc w:val="both"/>
        <w:rPr>
          <w:rFonts w:hint="eastAsia" w:eastAsia="方正小标宋_GBK"/>
          <w:sz w:val="72"/>
          <w:szCs w:val="72"/>
          <w:lang w:val="en-US" w:eastAsia="zh-CN"/>
        </w:rPr>
      </w:pPr>
    </w:p>
    <w:p w14:paraId="4E6E533A">
      <w:pPr>
        <w:pStyle w:val="19"/>
        <w:jc w:val="both"/>
        <w:rPr>
          <w:rFonts w:hint="eastAsia" w:eastAsia="方正小标宋_GBK"/>
          <w:sz w:val="72"/>
          <w:szCs w:val="72"/>
          <w:lang w:val="en-US" w:eastAsia="zh-CN"/>
        </w:rPr>
      </w:pPr>
    </w:p>
    <w:p w14:paraId="42565F6C">
      <w:pPr>
        <w:pStyle w:val="19"/>
        <w:jc w:val="both"/>
        <w:rPr>
          <w:rFonts w:hint="eastAsia" w:eastAsia="方正小标宋_GBK"/>
          <w:sz w:val="72"/>
          <w:szCs w:val="72"/>
          <w:lang w:val="en-US" w:eastAsia="zh-CN"/>
        </w:rPr>
      </w:pPr>
    </w:p>
    <w:p w14:paraId="6DA6E181">
      <w:pPr>
        <w:pStyle w:val="19"/>
        <w:jc w:val="both"/>
        <w:rPr>
          <w:rFonts w:hint="eastAsia" w:eastAsia="方正小标宋_GBK"/>
          <w:sz w:val="72"/>
          <w:szCs w:val="72"/>
          <w:lang w:val="en-US" w:eastAsia="zh-CN"/>
        </w:rPr>
      </w:pPr>
    </w:p>
    <w:p w14:paraId="25B9AE7F">
      <w:pPr>
        <w:pStyle w:val="19"/>
        <w:jc w:val="both"/>
        <w:rPr>
          <w:rFonts w:hint="eastAsia" w:eastAsia="方正小标宋_GBK"/>
          <w:sz w:val="72"/>
          <w:szCs w:val="72"/>
          <w:lang w:val="en-US" w:eastAsia="zh-CN"/>
        </w:rPr>
      </w:pPr>
    </w:p>
    <w:p w14:paraId="7942F75F">
      <w:pPr>
        <w:pStyle w:val="19"/>
        <w:jc w:val="both"/>
        <w:rPr>
          <w:rFonts w:hint="eastAsia" w:eastAsia="方正小标宋_GBK"/>
          <w:sz w:val="72"/>
          <w:szCs w:val="72"/>
          <w:lang w:val="en-US" w:eastAsia="zh-CN"/>
        </w:rPr>
      </w:pPr>
    </w:p>
    <w:p w14:paraId="60C5A069">
      <w:pPr>
        <w:pStyle w:val="19"/>
        <w:jc w:val="both"/>
        <w:rPr>
          <w:rFonts w:hint="eastAsia" w:eastAsia="方正小标宋_GBK"/>
          <w:sz w:val="72"/>
          <w:szCs w:val="72"/>
          <w:lang w:val="en-US" w:eastAsia="zh-CN"/>
        </w:rPr>
      </w:pPr>
    </w:p>
    <w:p w14:paraId="7C02C35D">
      <w:pPr>
        <w:pStyle w:val="19"/>
        <w:jc w:val="both"/>
        <w:rPr>
          <w:rFonts w:hint="eastAsia" w:eastAsia="方正小标宋_GBK"/>
          <w:sz w:val="72"/>
          <w:szCs w:val="72"/>
          <w:lang w:val="en-US" w:eastAsia="zh-CN"/>
        </w:rPr>
      </w:pPr>
    </w:p>
    <w:p w14:paraId="4A096872">
      <w:pPr>
        <w:pStyle w:val="19"/>
        <w:jc w:val="both"/>
        <w:rPr>
          <w:rFonts w:hint="eastAsia" w:eastAsia="方正小标宋_GBK"/>
          <w:sz w:val="72"/>
          <w:szCs w:val="72"/>
          <w:lang w:val="en-US" w:eastAsia="zh-CN"/>
        </w:rPr>
      </w:pPr>
    </w:p>
    <w:p w14:paraId="384B6E4E">
      <w:pPr>
        <w:pStyle w:val="19"/>
        <w:jc w:val="both"/>
        <w:rPr>
          <w:rFonts w:hint="eastAsia" w:eastAsia="方正小标宋_GBK"/>
          <w:sz w:val="72"/>
          <w:szCs w:val="72"/>
          <w:lang w:val="en-US" w:eastAsia="zh-CN"/>
        </w:rPr>
      </w:pPr>
    </w:p>
    <w:p w14:paraId="208C9D88">
      <w:pPr>
        <w:pStyle w:val="19"/>
        <w:jc w:val="both"/>
        <w:rPr>
          <w:rFonts w:hint="eastAsia" w:eastAsia="方正小标宋_GBK"/>
          <w:sz w:val="72"/>
          <w:szCs w:val="72"/>
          <w:lang w:val="en-US" w:eastAsia="zh-CN"/>
        </w:rPr>
      </w:pPr>
    </w:p>
    <w:p w14:paraId="3F25A749">
      <w:pPr>
        <w:pStyle w:val="19"/>
        <w:jc w:val="both"/>
        <w:rPr>
          <w:rFonts w:hint="eastAsia" w:eastAsia="方正小标宋_GBK"/>
          <w:sz w:val="72"/>
          <w:szCs w:val="72"/>
          <w:lang w:val="en-US" w:eastAsia="zh-CN"/>
        </w:rPr>
      </w:pPr>
    </w:p>
    <w:p w14:paraId="4E8EB7B1">
      <w:pPr>
        <w:pStyle w:val="19"/>
        <w:jc w:val="both"/>
        <w:rPr>
          <w:rFonts w:hint="eastAsia" w:eastAsia="方正小标宋_GBK"/>
          <w:sz w:val="72"/>
          <w:szCs w:val="72"/>
          <w:lang w:val="en-US" w:eastAsia="zh-CN"/>
        </w:rPr>
      </w:pPr>
    </w:p>
    <w:p w14:paraId="66C9297C">
      <w:pPr>
        <w:pStyle w:val="19"/>
        <w:jc w:val="both"/>
        <w:rPr>
          <w:rFonts w:hint="eastAsia" w:eastAsia="方正小标宋_GBK"/>
          <w:sz w:val="72"/>
          <w:szCs w:val="72"/>
          <w:lang w:val="en-US" w:eastAsia="zh-CN"/>
        </w:rPr>
      </w:pPr>
    </w:p>
    <w:p w14:paraId="3AB5043E">
      <w:pPr>
        <w:pStyle w:val="19"/>
        <w:jc w:val="both"/>
        <w:rPr>
          <w:rFonts w:hint="eastAsia" w:eastAsia="方正小标宋_GBK"/>
          <w:sz w:val="72"/>
          <w:szCs w:val="72"/>
          <w:lang w:val="en-US" w:eastAsia="zh-CN"/>
        </w:rPr>
      </w:pPr>
    </w:p>
    <w:p w14:paraId="07472C44">
      <w:pPr>
        <w:pStyle w:val="19"/>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第二部分</w:t>
      </w:r>
    </w:p>
    <w:p w14:paraId="0535C242">
      <w:pPr>
        <w:pStyle w:val="19"/>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52"/>
          <w:szCs w:val="52"/>
        </w:rPr>
        <w:t>部门决算表</w:t>
      </w:r>
    </w:p>
    <w:p w14:paraId="1BE4F2D0">
      <w:pPr>
        <w:jc w:val="center"/>
        <w:rPr>
          <w:rFonts w:hint="eastAsia" w:ascii="黑体" w:hAnsi="黑体" w:eastAsia="黑体" w:cs="黑体"/>
          <w:b/>
          <w:bCs/>
          <w:color w:val="000000"/>
          <w:kern w:val="0"/>
          <w:sz w:val="44"/>
          <w:szCs w:val="44"/>
          <w:lang w:val="en-US" w:eastAsia="zh-CN" w:bidi="ar-SA"/>
        </w:rPr>
      </w:pPr>
      <w:r>
        <w:rPr>
          <w:rFonts w:hint="eastAsia" w:ascii="黑体" w:hAnsi="黑体" w:eastAsia="黑体" w:cs="黑体"/>
          <w:b/>
          <w:bCs/>
          <w:color w:val="000000"/>
          <w:kern w:val="0"/>
          <w:sz w:val="44"/>
          <w:szCs w:val="44"/>
          <w:lang w:val="en-US" w:eastAsia="zh-CN" w:bidi="ar-SA"/>
        </w:rPr>
        <w:t>详见《附件1：2025年度部门决算公开表）</w:t>
      </w:r>
    </w:p>
    <w:p w14:paraId="05A6DAAF">
      <w:pPr>
        <w:jc w:val="both"/>
        <w:rPr>
          <w:rFonts w:hint="eastAsia" w:ascii="黑体" w:hAnsi="黑体" w:eastAsia="黑体" w:cs="黑体"/>
          <w:sz w:val="44"/>
          <w:szCs w:val="44"/>
        </w:rPr>
      </w:pPr>
    </w:p>
    <w:p w14:paraId="730AEB72">
      <w:pPr>
        <w:jc w:val="center"/>
        <w:rPr>
          <w:sz w:val="72"/>
          <w:szCs w:val="72"/>
        </w:rPr>
      </w:pPr>
    </w:p>
    <w:p w14:paraId="7C4BCBCF">
      <w:pPr>
        <w:jc w:val="center"/>
        <w:rPr>
          <w:sz w:val="72"/>
          <w:szCs w:val="72"/>
        </w:rPr>
      </w:pPr>
    </w:p>
    <w:p w14:paraId="666C1C17">
      <w:pPr>
        <w:jc w:val="left"/>
        <w:rPr>
          <w:sz w:val="32"/>
          <w:szCs w:val="32"/>
        </w:rPr>
      </w:pPr>
    </w:p>
    <w:p w14:paraId="0A823ACB">
      <w:pPr>
        <w:jc w:val="left"/>
        <w:rPr>
          <w:rFonts w:asciiTheme="minorEastAsia" w:hAnsiTheme="minorEastAsia"/>
          <w:sz w:val="32"/>
          <w:szCs w:val="32"/>
        </w:rPr>
        <w:sectPr>
          <w:pgSz w:w="11906" w:h="16838"/>
          <w:pgMar w:top="1417" w:right="1587" w:bottom="1417" w:left="1587" w:header="851" w:footer="992" w:gutter="0"/>
          <w:cols w:space="425" w:num="1"/>
          <w:docGrid w:type="lines" w:linePitch="312" w:charSpace="0"/>
        </w:sectPr>
      </w:pPr>
    </w:p>
    <w:p w14:paraId="0EBC8C1F">
      <w:pPr>
        <w:pStyle w:val="19"/>
        <w:rPr>
          <w:sz w:val="72"/>
          <w:szCs w:val="72"/>
        </w:rPr>
      </w:pPr>
    </w:p>
    <w:p w14:paraId="2263A11B">
      <w:pPr>
        <w:pStyle w:val="19"/>
        <w:rPr>
          <w:sz w:val="72"/>
          <w:szCs w:val="72"/>
        </w:rPr>
      </w:pPr>
    </w:p>
    <w:p w14:paraId="66D54D20">
      <w:pPr>
        <w:pStyle w:val="19"/>
        <w:rPr>
          <w:sz w:val="72"/>
          <w:szCs w:val="72"/>
        </w:rPr>
      </w:pPr>
    </w:p>
    <w:p w14:paraId="098C6EC0">
      <w:pPr>
        <w:pStyle w:val="19"/>
        <w:jc w:val="center"/>
        <w:rPr>
          <w:sz w:val="72"/>
          <w:szCs w:val="72"/>
        </w:rPr>
      </w:pPr>
    </w:p>
    <w:p w14:paraId="7BC13FAF">
      <w:pPr>
        <w:pStyle w:val="19"/>
        <w:jc w:val="center"/>
        <w:rPr>
          <w:rFonts w:hint="eastAsia" w:ascii="方正小标宋_GBK" w:hAnsi="方正小标宋_GBK" w:eastAsia="方正小标宋_GBK" w:cs="方正小标宋_GBK"/>
          <w:sz w:val="72"/>
          <w:szCs w:val="72"/>
        </w:rPr>
      </w:pPr>
    </w:p>
    <w:p w14:paraId="4351EDA1">
      <w:pPr>
        <w:pStyle w:val="19"/>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第三部分</w:t>
      </w:r>
    </w:p>
    <w:p w14:paraId="40B8B8D3">
      <w:pPr>
        <w:pStyle w:val="19"/>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202</w:t>
      </w:r>
      <w:r>
        <w:rPr>
          <w:rFonts w:hint="eastAsia" w:ascii="方正小标宋_GBK" w:hAnsi="方正小标宋_GBK" w:eastAsia="方正小标宋_GBK" w:cs="方正小标宋_GBK"/>
          <w:sz w:val="52"/>
          <w:szCs w:val="52"/>
          <w:lang w:val="en-US" w:eastAsia="zh-CN"/>
        </w:rPr>
        <w:t>5</w:t>
      </w:r>
      <w:r>
        <w:rPr>
          <w:rFonts w:hint="eastAsia" w:ascii="方正小标宋_GBK" w:hAnsi="方正小标宋_GBK" w:eastAsia="方正小标宋_GBK" w:cs="方正小标宋_GBK"/>
          <w:sz w:val="52"/>
          <w:szCs w:val="52"/>
        </w:rPr>
        <w:t>年度部门决算情况说明</w:t>
      </w:r>
    </w:p>
    <w:p w14:paraId="31256682">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2A2C4A65">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31DF81D2">
      <w:pPr>
        <w:keepNext w:val="0"/>
        <w:keepLines w:val="0"/>
        <w:pageBreakBefore w:val="0"/>
        <w:widowControl w:val="0"/>
        <w:kinsoku/>
        <w:wordWrap/>
        <w:overflowPunct/>
        <w:topLinePunct w:val="0"/>
        <w:autoSpaceDE/>
        <w:autoSpaceDN/>
        <w:bidi w:val="0"/>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年度收</w:t>
      </w:r>
      <w:r>
        <w:rPr>
          <w:rFonts w:hint="eastAsia" w:ascii="仿宋_GB2312" w:hAnsi="仿宋_GB2312" w:eastAsia="仿宋_GB2312" w:cs="仿宋_GB2312"/>
          <w:sz w:val="32"/>
          <w:szCs w:val="32"/>
          <w:lang w:val="en-US" w:eastAsia="zh-CN"/>
        </w:rPr>
        <w:t>入</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605.08</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val="en-US" w:eastAsia="zh-CN"/>
        </w:rPr>
        <w:t>增加39.2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增长6.93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增加了2025年在职</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工资福利</w:t>
      </w:r>
      <w:r>
        <w:rPr>
          <w:rFonts w:hint="eastAsia" w:ascii="仿宋_GB2312" w:hAnsi="仿宋_GB2312" w:eastAsia="仿宋_GB2312" w:cs="仿宋_GB2312"/>
          <w:sz w:val="32"/>
          <w:szCs w:val="32"/>
          <w:lang w:val="en-US" w:eastAsia="zh-CN"/>
        </w:rPr>
        <w:t>收入和其他往来收入</w:t>
      </w:r>
      <w:r>
        <w:rPr>
          <w:rFonts w:hint="eastAsia" w:ascii="仿宋_GB2312" w:hAnsi="仿宋_GB2312" w:eastAsia="仿宋_GB2312" w:cs="仿宋_GB2312"/>
          <w:sz w:val="32"/>
          <w:szCs w:val="32"/>
        </w:rPr>
        <w:t>。</w:t>
      </w:r>
    </w:p>
    <w:p w14:paraId="7A0F25E4">
      <w:pPr>
        <w:pStyle w:val="4"/>
        <w:keepNext w:val="0"/>
        <w:keepLines w:val="0"/>
        <w:pageBreakBefore w:val="0"/>
        <w:kinsoku/>
        <w:wordWrap/>
        <w:topLinePunct w:val="0"/>
        <w:bidi w:val="0"/>
        <w:spacing w:line="600" w:lineRule="exact"/>
        <w:ind w:firstLine="640" w:firstLineChars="200"/>
        <w:textAlignment w:val="auto"/>
        <w:rPr>
          <w:rFonts w:hint="eastAsia"/>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605.08</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val="en-US" w:eastAsia="zh-CN"/>
        </w:rPr>
        <w:t>增加39.2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增长6.93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增加了2025年在职</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工资福利支出</w:t>
      </w:r>
      <w:r>
        <w:rPr>
          <w:rFonts w:hint="eastAsia" w:ascii="仿宋_GB2312" w:hAnsi="仿宋_GB2312" w:eastAsia="仿宋_GB2312" w:cs="仿宋_GB2312"/>
          <w:sz w:val="32"/>
          <w:szCs w:val="32"/>
          <w:lang w:val="en-US" w:eastAsia="zh-CN"/>
        </w:rPr>
        <w:t>和其他往来支出</w:t>
      </w:r>
      <w:r>
        <w:rPr>
          <w:rFonts w:hint="eastAsia" w:ascii="仿宋_GB2312" w:hAnsi="仿宋_GB2312" w:eastAsia="仿宋_GB2312" w:cs="仿宋_GB2312"/>
          <w:sz w:val="32"/>
          <w:szCs w:val="32"/>
        </w:rPr>
        <w:t>。</w:t>
      </w:r>
    </w:p>
    <w:p w14:paraId="6AFD281D">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3C528A4">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年度收入合计</w:t>
      </w:r>
      <w:r>
        <w:rPr>
          <w:rFonts w:hint="eastAsia" w:ascii="仿宋_GB2312" w:hAnsi="仿宋_GB2312" w:eastAsia="仿宋_GB2312" w:cs="仿宋_GB2312"/>
          <w:sz w:val="32"/>
          <w:szCs w:val="32"/>
          <w:lang w:val="en-US" w:eastAsia="zh-CN"/>
        </w:rPr>
        <w:t>605.08</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599.64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99.1</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5.44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0.9</w:t>
      </w:r>
      <w:r>
        <w:rPr>
          <w:rFonts w:hint="eastAsia" w:ascii="仿宋_GB2312" w:hAnsi="仿宋_GB2312" w:eastAsia="仿宋_GB2312" w:cs="仿宋_GB2312"/>
          <w:sz w:val="32"/>
          <w:szCs w:val="32"/>
        </w:rPr>
        <w:t>%。</w:t>
      </w:r>
    </w:p>
    <w:p w14:paraId="7E9714D6">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F88775F">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年度支出合计</w:t>
      </w:r>
      <w:r>
        <w:rPr>
          <w:rFonts w:hint="eastAsia" w:ascii="仿宋_GB2312" w:hAnsi="仿宋_GB2312" w:eastAsia="仿宋_GB2312" w:cs="仿宋_GB2312"/>
          <w:sz w:val="32"/>
          <w:szCs w:val="32"/>
          <w:lang w:val="en-US" w:eastAsia="zh-CN"/>
        </w:rPr>
        <w:t>605.08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545.93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90.22</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59.15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9.78</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bookmarkStart w:id="0" w:name="_GoBack"/>
      <w:bookmarkEnd w:id="0"/>
    </w:p>
    <w:p w14:paraId="6E648876">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1CAA2B4">
      <w:pPr>
        <w:pStyle w:val="19"/>
        <w:keepNext w:val="0"/>
        <w:keepLines w:val="0"/>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年度财政拨款收</w:t>
      </w:r>
      <w:r>
        <w:rPr>
          <w:rFonts w:hint="eastAsia" w:ascii="仿宋_GB2312" w:hAnsi="仿宋_GB2312" w:eastAsia="仿宋_GB2312" w:cs="仿宋_GB2312"/>
          <w:sz w:val="32"/>
          <w:szCs w:val="32"/>
          <w:lang w:val="en-US" w:eastAsia="zh-CN"/>
        </w:rPr>
        <w:t>、支</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599.64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545.93</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val="en-US" w:eastAsia="zh-CN"/>
        </w:rPr>
        <w:t>552.3万元减少6.37万元，降低1.15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主要原因是今年年中有一名公务员退休减少了工资福利支出。</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53.71</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val="en-US" w:eastAsia="zh-CN"/>
        </w:rPr>
        <w:t>6.96万元增长671.7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增长的主要原因是增加了2024年</w:t>
      </w:r>
      <w:r>
        <w:rPr>
          <w:rFonts w:hint="eastAsia" w:ascii="仿宋_GB2312" w:hAnsi="仿宋_GB2312" w:eastAsia="仿宋_GB2312" w:cs="仿宋_GB2312"/>
          <w:sz w:val="32"/>
          <w:szCs w:val="32"/>
        </w:rPr>
        <w:t>职教、幼教人员年终生活补贴</w:t>
      </w:r>
      <w:r>
        <w:rPr>
          <w:rFonts w:hint="eastAsia" w:ascii="仿宋_GB2312" w:hAnsi="仿宋_GB2312" w:eastAsia="仿宋_GB2312" w:cs="仿宋_GB2312"/>
          <w:sz w:val="32"/>
          <w:szCs w:val="32"/>
          <w:lang w:val="en-US" w:eastAsia="zh-CN"/>
        </w:rPr>
        <w:t>51.78万元决算口径</w:t>
      </w:r>
      <w:r>
        <w:rPr>
          <w:rFonts w:hint="eastAsia" w:ascii="仿宋_GB2312" w:hAnsi="仿宋_GB2312" w:eastAsia="仿宋_GB2312" w:cs="仿宋_GB2312"/>
          <w:sz w:val="32"/>
          <w:szCs w:val="32"/>
        </w:rPr>
        <w:t>。</w:t>
      </w:r>
    </w:p>
    <w:p w14:paraId="73571CA7">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474AA2A">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15B06E5D">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599.64</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99.1</w:t>
      </w:r>
      <w:r>
        <w:rPr>
          <w:rFonts w:hint="eastAsia" w:ascii="仿宋_GB2312" w:hAnsi="仿宋_GB2312" w:eastAsia="仿宋_GB2312" w:cs="仿宋_GB2312"/>
          <w:sz w:val="32"/>
          <w:szCs w:val="32"/>
        </w:rPr>
        <w:t>%，与上年相比，财政拨款支出</w:t>
      </w:r>
      <w:r>
        <w:rPr>
          <w:rFonts w:hint="eastAsia" w:ascii="仿宋_GB2312" w:hAnsi="仿宋_GB2312" w:eastAsia="仿宋_GB2312" w:cs="仿宋_GB2312"/>
          <w:sz w:val="32"/>
          <w:szCs w:val="32"/>
          <w:lang w:val="en-US" w:eastAsia="zh-CN"/>
        </w:rPr>
        <w:t>增加40.38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增长7.22</w:t>
      </w:r>
      <w:r>
        <w:rPr>
          <w:rFonts w:hint="eastAsia" w:ascii="仿宋_GB2312" w:hAnsi="仿宋_GB2312" w:eastAsia="仿宋_GB2312" w:cs="仿宋_GB2312"/>
          <w:sz w:val="32"/>
          <w:szCs w:val="32"/>
        </w:rPr>
        <w:t>%，主要是</w:t>
      </w:r>
      <w:r>
        <w:rPr>
          <w:rFonts w:hint="eastAsia" w:ascii="仿宋_GB2312" w:hAnsi="仿宋_GB2312" w:eastAsia="仿宋_GB2312" w:cs="仿宋_GB2312"/>
          <w:sz w:val="32"/>
          <w:szCs w:val="32"/>
          <w:lang w:val="en-US" w:eastAsia="zh-CN"/>
        </w:rPr>
        <w:t>增加了2025年在职</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工资福利支出</w:t>
      </w:r>
      <w:r>
        <w:rPr>
          <w:rFonts w:hint="eastAsia" w:ascii="仿宋_GB2312" w:hAnsi="仿宋_GB2312" w:eastAsia="仿宋_GB2312" w:cs="仿宋_GB2312"/>
          <w:sz w:val="32"/>
          <w:szCs w:val="32"/>
          <w:lang w:val="en-US" w:eastAsia="zh-CN"/>
        </w:rPr>
        <w:t>和其他往来支出</w:t>
      </w:r>
      <w:r>
        <w:rPr>
          <w:rFonts w:hint="eastAsia" w:ascii="仿宋_GB2312" w:hAnsi="仿宋_GB2312" w:eastAsia="仿宋_GB2312" w:cs="仿宋_GB2312"/>
          <w:sz w:val="32"/>
          <w:szCs w:val="32"/>
        </w:rPr>
        <w:t>。</w:t>
      </w:r>
    </w:p>
    <w:p w14:paraId="79F3AFDC">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77C31DD0">
      <w:pPr>
        <w:pStyle w:val="19"/>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599.64</w:t>
      </w:r>
      <w:r>
        <w:rPr>
          <w:rFonts w:hint="eastAsia" w:ascii="仿宋_GB2312" w:hAnsi="仿宋_GB2312" w:eastAsia="仿宋_GB2312" w:cs="仿宋_GB2312"/>
          <w:sz w:val="32"/>
          <w:szCs w:val="32"/>
        </w:rPr>
        <w:t>万元，主要用于以下方面：一般公共服务（类）支出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%；教育（类）支出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社会保障和就业（类）支出123.58万元，</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20.61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卫生健康（类）支出20.82万元，</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3.47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资源勘探工业信息等（类）支出417.9万元，</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69.69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住房保障（类）支出37.35万元，</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6.23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15C9FB08">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29944F7D">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年度财政拨款支出年初预算数为</w:t>
      </w:r>
      <w:r>
        <w:rPr>
          <w:rFonts w:hint="eastAsia" w:ascii="仿宋_GB2312" w:hAnsi="仿宋_GB2312" w:eastAsia="仿宋_GB2312" w:cs="仿宋_GB2312"/>
          <w:sz w:val="32"/>
          <w:szCs w:val="32"/>
          <w:lang w:val="en-US" w:eastAsia="zh-CN"/>
        </w:rPr>
        <w:t>497.97</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599.64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120.42</w:t>
      </w:r>
      <w:r>
        <w:rPr>
          <w:rFonts w:hint="eastAsia" w:ascii="仿宋_GB2312" w:hAnsi="仿宋_GB2312" w:eastAsia="仿宋_GB2312" w:cs="仿宋_GB2312"/>
          <w:sz w:val="32"/>
          <w:szCs w:val="32"/>
        </w:rPr>
        <w:t>%，其中：</w:t>
      </w:r>
    </w:p>
    <w:p w14:paraId="26C50CFB">
      <w:pPr>
        <w:pStyle w:val="19"/>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社会保障和就业支出（类）行政事业单位养老支出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机关事业单位基本养老保险缴费支出</w:t>
      </w:r>
      <w:r>
        <w:rPr>
          <w:rFonts w:hint="eastAsia" w:ascii="仿宋_GB2312" w:hAnsi="仿宋_GB2312" w:eastAsia="仿宋_GB2312" w:cs="仿宋_GB2312"/>
          <w:sz w:val="32"/>
          <w:szCs w:val="32"/>
        </w:rPr>
        <w:t>（项）。</w:t>
      </w:r>
    </w:p>
    <w:p w14:paraId="204C7AD6">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44.62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44.7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100.18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rPr>
        <w:t>决算数</w:t>
      </w:r>
      <w:r>
        <w:rPr>
          <w:rFonts w:hint="eastAsia" w:ascii="仿宋_GB2312" w:hAnsi="仿宋_GB2312" w:eastAsia="仿宋_GB2312" w:cs="仿宋_GB2312"/>
          <w:color w:val="auto"/>
          <w:sz w:val="32"/>
          <w:szCs w:val="32"/>
          <w:lang w:val="en-US" w:eastAsia="zh-CN"/>
        </w:rPr>
        <w:t>大</w:t>
      </w:r>
      <w:r>
        <w:rPr>
          <w:rFonts w:hint="eastAsia" w:ascii="仿宋_GB2312" w:hAnsi="仿宋_GB2312" w:eastAsia="仿宋_GB2312" w:cs="仿宋_GB2312"/>
          <w:color w:val="auto"/>
          <w:sz w:val="32"/>
          <w:szCs w:val="32"/>
        </w:rPr>
        <w:t>于年初预算数的主要原因是：</w:t>
      </w:r>
      <w:r>
        <w:rPr>
          <w:rFonts w:hint="eastAsia" w:ascii="仿宋_GB2312" w:hAnsi="仿宋_GB2312" w:eastAsia="仿宋_GB2312" w:cs="仿宋_GB2312"/>
          <w:color w:val="auto"/>
          <w:sz w:val="32"/>
          <w:szCs w:val="32"/>
          <w:lang w:val="en-US" w:eastAsia="zh-CN"/>
        </w:rPr>
        <w:t>年初社保缴费基数调整增加所致。</w:t>
      </w:r>
    </w:p>
    <w:p w14:paraId="371E50AD">
      <w:pPr>
        <w:pStyle w:val="19"/>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社会保障和就业支出（类）行政事业单位养老支出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其他行政事业单位养老支出</w:t>
      </w:r>
      <w:r>
        <w:rPr>
          <w:rFonts w:hint="eastAsia" w:ascii="仿宋_GB2312" w:hAnsi="仿宋_GB2312" w:eastAsia="仿宋_GB2312" w:cs="仿宋_GB2312"/>
          <w:sz w:val="32"/>
          <w:szCs w:val="32"/>
        </w:rPr>
        <w:t>（项）。</w:t>
      </w:r>
    </w:p>
    <w:p w14:paraId="3EB9B15C">
      <w:pPr>
        <w:pStyle w:val="19"/>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26.27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w:t>
      </w:r>
      <w:r>
        <w:rPr>
          <w:rFonts w:hint="eastAsia" w:ascii="仿宋_GB2312" w:hAnsi="仿宋_GB2312" w:eastAsia="仿宋_GB2312" w:cs="仿宋_GB2312"/>
          <w:sz w:val="32"/>
          <w:szCs w:val="32"/>
        </w:rPr>
        <w:t>于年初预算数的主要原</w:t>
      </w:r>
      <w:r>
        <w:rPr>
          <w:rFonts w:hint="eastAsia" w:ascii="仿宋_GB2312" w:hAnsi="仿宋_GB2312" w:eastAsia="仿宋_GB2312" w:cs="仿宋_GB2312"/>
          <w:color w:val="auto"/>
          <w:sz w:val="32"/>
          <w:szCs w:val="32"/>
        </w:rPr>
        <w:t>因是：</w:t>
      </w:r>
      <w:r>
        <w:rPr>
          <w:rFonts w:hint="eastAsia" w:ascii="仿宋_GB2312" w:hAnsi="仿宋_GB2312" w:eastAsia="仿宋_GB2312" w:cs="仿宋_GB2312"/>
          <w:color w:val="auto"/>
          <w:sz w:val="32"/>
          <w:szCs w:val="32"/>
          <w:lang w:val="en-US" w:eastAsia="zh-CN"/>
        </w:rPr>
        <w:t>年中财政补发了2025年度退休人员生活补贴。</w:t>
      </w:r>
    </w:p>
    <w:p w14:paraId="3A761152">
      <w:pPr>
        <w:pStyle w:val="19"/>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3、社会保障和就业支出（类）抚恤</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死亡抚恤</w:t>
      </w:r>
      <w:r>
        <w:rPr>
          <w:rFonts w:hint="eastAsia" w:ascii="仿宋_GB2312" w:hAnsi="仿宋_GB2312" w:eastAsia="仿宋_GB2312" w:cs="仿宋_GB2312"/>
          <w:sz w:val="32"/>
          <w:szCs w:val="32"/>
        </w:rPr>
        <w:t>（项）。</w:t>
      </w:r>
    </w:p>
    <w:p w14:paraId="0A081929">
      <w:pPr>
        <w:pStyle w:val="19"/>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0.83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w:t>
      </w:r>
      <w:r>
        <w:rPr>
          <w:rFonts w:hint="eastAsia" w:ascii="仿宋_GB2312" w:hAnsi="仿宋_GB2312" w:eastAsia="仿宋_GB2312" w:cs="仿宋_GB2312"/>
          <w:sz w:val="32"/>
          <w:szCs w:val="32"/>
        </w:rPr>
        <w:t>于年初预算数的主要原因是：</w:t>
      </w:r>
      <w:r>
        <w:rPr>
          <w:rFonts w:hint="eastAsia" w:ascii="Times New Roman" w:hAnsi="Times New Roman" w:eastAsia="仿宋_GB2312"/>
          <w:sz w:val="32"/>
          <w:szCs w:val="32"/>
        </w:rPr>
        <w:t>财政统一安排，未列入单位预算</w:t>
      </w:r>
      <w:r>
        <w:rPr>
          <w:rFonts w:hint="eastAsia" w:ascii="Times New Roman" w:hAnsi="Times New Roman" w:eastAsia="仿宋_GB2312"/>
          <w:sz w:val="32"/>
          <w:szCs w:val="32"/>
          <w:lang w:eastAsia="zh-CN"/>
        </w:rPr>
        <w:t>。</w:t>
      </w:r>
    </w:p>
    <w:p w14:paraId="2B1053DE">
      <w:pPr>
        <w:pStyle w:val="19"/>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4、卫生健康</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行政事业单位医疗</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行政单位医疗</w:t>
      </w:r>
      <w:r>
        <w:rPr>
          <w:rFonts w:hint="eastAsia" w:ascii="仿宋_GB2312" w:hAnsi="仿宋_GB2312" w:eastAsia="仿宋_GB2312" w:cs="仿宋_GB2312"/>
          <w:sz w:val="32"/>
          <w:szCs w:val="32"/>
        </w:rPr>
        <w:t>（项）。</w:t>
      </w:r>
    </w:p>
    <w:p w14:paraId="7D874A19">
      <w:pPr>
        <w:pStyle w:val="19"/>
        <w:keepNext w:val="0"/>
        <w:keepLines w:val="0"/>
        <w:pageBreakBefore w:val="0"/>
        <w:kinsoku/>
        <w:wordWrap/>
        <w:topLinePunct w:val="0"/>
        <w:bidi w:val="0"/>
        <w:spacing w:line="600" w:lineRule="exact"/>
        <w:ind w:firstLine="640" w:firstLineChars="200"/>
        <w:jc w:val="both"/>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18.76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18.88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100.64</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rPr>
        <w:t>决算数</w:t>
      </w:r>
      <w:r>
        <w:rPr>
          <w:rFonts w:hint="eastAsia" w:ascii="仿宋_GB2312" w:hAnsi="仿宋_GB2312" w:eastAsia="仿宋_GB2312" w:cs="仿宋_GB2312"/>
          <w:color w:val="auto"/>
          <w:sz w:val="32"/>
          <w:szCs w:val="32"/>
          <w:lang w:val="en-US" w:eastAsia="zh-CN"/>
        </w:rPr>
        <w:t>大</w:t>
      </w:r>
      <w:r>
        <w:rPr>
          <w:rFonts w:hint="eastAsia" w:ascii="仿宋_GB2312" w:hAnsi="仿宋_GB2312" w:eastAsia="仿宋_GB2312" w:cs="仿宋_GB2312"/>
          <w:color w:val="auto"/>
          <w:sz w:val="32"/>
          <w:szCs w:val="32"/>
        </w:rPr>
        <w:t>于年初预算数的主要原因是：</w:t>
      </w:r>
      <w:r>
        <w:rPr>
          <w:rFonts w:hint="eastAsia" w:ascii="仿宋_GB2312" w:hAnsi="仿宋_GB2312" w:eastAsia="仿宋_GB2312" w:cs="仿宋_GB2312"/>
          <w:color w:val="auto"/>
          <w:sz w:val="32"/>
          <w:szCs w:val="32"/>
          <w:lang w:val="en-US" w:eastAsia="zh-CN"/>
        </w:rPr>
        <w:t>年初医保缴费基数调整增加所致。</w:t>
      </w:r>
    </w:p>
    <w:p w14:paraId="7027FA80">
      <w:pPr>
        <w:pStyle w:val="19"/>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5、卫生健康</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行政事业单位医疗</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公务员医疗补助</w:t>
      </w:r>
      <w:r>
        <w:rPr>
          <w:rFonts w:hint="eastAsia" w:ascii="仿宋_GB2312" w:hAnsi="仿宋_GB2312" w:eastAsia="仿宋_GB2312" w:cs="仿宋_GB2312"/>
          <w:sz w:val="32"/>
          <w:szCs w:val="32"/>
        </w:rPr>
        <w:t>（项）。</w:t>
      </w:r>
    </w:p>
    <w:p w14:paraId="68DC46EB">
      <w:pPr>
        <w:pStyle w:val="19"/>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%，决算数大于年初预算数的主要原因</w:t>
      </w:r>
      <w:r>
        <w:rPr>
          <w:rFonts w:hint="eastAsia" w:ascii="仿宋_GB2312" w:hAnsi="仿宋_GB2312" w:eastAsia="仿宋_GB2312" w:cs="仿宋_GB2312"/>
          <w:color w:val="auto"/>
          <w:sz w:val="32"/>
          <w:szCs w:val="32"/>
        </w:rPr>
        <w:t>是：年中追加安排的公务员医疗补助资金。</w:t>
      </w:r>
    </w:p>
    <w:p w14:paraId="58F6C5C8">
      <w:pPr>
        <w:pStyle w:val="19"/>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6、资源勘探工业信息等（类）国有资产监管（款）行政运行（项）</w:t>
      </w:r>
    </w:p>
    <w:p w14:paraId="7015F46F">
      <w:pPr>
        <w:pStyle w:val="19"/>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394.11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390.56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99.1</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val="en-US" w:eastAsia="zh-CN"/>
        </w:rPr>
        <w:t>退休2名工作人员，相应减少了人员经费支出。</w:t>
      </w:r>
    </w:p>
    <w:p w14:paraId="3DD4DB22">
      <w:pPr>
        <w:pStyle w:val="19"/>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7、住房保障支出（类）住房改革支出（款）住房公积金（项）</w:t>
      </w:r>
    </w:p>
    <w:p w14:paraId="693FFEE7">
      <w:pPr>
        <w:pStyle w:val="19"/>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37.35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37.35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于年初预算数</w:t>
      </w:r>
      <w:r>
        <w:rPr>
          <w:rFonts w:hint="eastAsia" w:ascii="仿宋_GB2312" w:hAnsi="仿宋_GB2312" w:eastAsia="仿宋_GB2312" w:cs="仿宋_GB2312"/>
          <w:sz w:val="32"/>
          <w:szCs w:val="32"/>
          <w:lang w:val="en-US" w:eastAsia="zh-CN"/>
        </w:rPr>
        <w:t>。</w:t>
      </w:r>
    </w:p>
    <w:p w14:paraId="2C885EFB">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0D9A9B76">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545.93</w:t>
      </w:r>
      <w:r>
        <w:rPr>
          <w:rFonts w:hint="eastAsia" w:ascii="仿宋_GB2312" w:hAnsi="仿宋_GB2312" w:eastAsia="仿宋_GB2312" w:cs="仿宋_GB2312"/>
          <w:sz w:val="32"/>
          <w:szCs w:val="32"/>
        </w:rPr>
        <w:t>万元，其中：</w:t>
      </w:r>
    </w:p>
    <w:p w14:paraId="4D0B4E15">
      <w:pPr>
        <w:pStyle w:val="19"/>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461.33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84.5</w:t>
      </w:r>
      <w:r>
        <w:rPr>
          <w:rFonts w:hint="eastAsia" w:ascii="仿宋_GB2312" w:hAnsi="仿宋_GB2312" w:eastAsia="仿宋_GB2312" w:cs="仿宋_GB2312"/>
          <w:sz w:val="32"/>
          <w:szCs w:val="32"/>
        </w:rPr>
        <w:t>%,主要包括基本工资、津贴补贴、奖金、</w:t>
      </w:r>
      <w:r>
        <w:rPr>
          <w:rFonts w:hint="eastAsia" w:ascii="仿宋_GB2312" w:hAnsi="仿宋_GB2312" w:eastAsia="仿宋_GB2312" w:cs="仿宋_GB2312"/>
          <w:sz w:val="32"/>
          <w:szCs w:val="32"/>
          <w:lang w:val="en-US" w:eastAsia="zh-CN"/>
        </w:rPr>
        <w:t>绩效工资、机关事业单位养老保险缴费、职工基本医疗保险缴费、</w:t>
      </w:r>
      <w:r>
        <w:rPr>
          <w:rFonts w:hint="eastAsia" w:ascii="仿宋_GB2312" w:hAnsi="仿宋_GB2312" w:eastAsia="仿宋_GB2312" w:cs="仿宋_GB2312"/>
          <w:sz w:val="32"/>
          <w:szCs w:val="32"/>
        </w:rPr>
        <w:t>伙食补助费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其他工资福利支出等</w:t>
      </w:r>
      <w:r>
        <w:rPr>
          <w:rFonts w:hint="eastAsia" w:ascii="仿宋_GB2312" w:hAnsi="仿宋_GB2312" w:eastAsia="仿宋_GB2312" w:cs="仿宋_GB2312"/>
          <w:sz w:val="32"/>
          <w:szCs w:val="32"/>
          <w:lang w:eastAsia="zh-CN"/>
        </w:rPr>
        <w:t>。</w:t>
      </w:r>
    </w:p>
    <w:p w14:paraId="5A7B21EE">
      <w:pPr>
        <w:pStyle w:val="19"/>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b/>
          <w:bCs/>
          <w:sz w:val="32"/>
          <w:szCs w:val="32"/>
          <w:lang w:val="en-US" w:eastAsia="zh-CN"/>
        </w:rPr>
        <w:t>84.6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15.5</w:t>
      </w:r>
      <w:r>
        <w:rPr>
          <w:rFonts w:hint="eastAsia" w:ascii="仿宋_GB2312" w:hAnsi="仿宋_GB2312" w:eastAsia="仿宋_GB2312" w:cs="仿宋_GB2312"/>
          <w:sz w:val="32"/>
          <w:szCs w:val="32"/>
        </w:rPr>
        <w:t>%，主要包括办公费、印刷费、咨询费、手续费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差旅费、水电费、会议费、培训费、公务接待费、工会经费、福利费、其他交通费、其他商品和服务支出等</w:t>
      </w:r>
      <w:r>
        <w:rPr>
          <w:rFonts w:hint="eastAsia" w:ascii="仿宋_GB2312" w:hAnsi="仿宋_GB2312" w:eastAsia="仿宋_GB2312" w:cs="仿宋_GB2312"/>
          <w:sz w:val="32"/>
          <w:szCs w:val="32"/>
        </w:rPr>
        <w:t>。</w:t>
      </w:r>
    </w:p>
    <w:p w14:paraId="592A3F05">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val="en-US" w:eastAsia="zh-CN"/>
        </w:rPr>
        <w:t>七、</w:t>
      </w:r>
      <w:r>
        <w:rPr>
          <w:rFonts w:hint="eastAsia" w:ascii="黑体" w:hAnsi="黑体" w:eastAsia="黑体" w:cs="黑体"/>
          <w:b w:val="0"/>
          <w:bCs/>
          <w:sz w:val="32"/>
          <w:szCs w:val="32"/>
        </w:rPr>
        <w:t>财政拨款</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三公</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经费支出决算情况说明</w:t>
      </w:r>
    </w:p>
    <w:p w14:paraId="4E1ED9A7">
      <w:pPr>
        <w:pStyle w:val="19"/>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（一）“三公”经费财政拨款支出决算总体情况说明</w:t>
      </w:r>
    </w:p>
    <w:p w14:paraId="65B3B3D4">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“三公”经费财政拨款支出预算为</w:t>
      </w:r>
      <w:r>
        <w:rPr>
          <w:rFonts w:hint="eastAsia" w:ascii="仿宋_GB2312" w:hAnsi="仿宋_GB2312" w:eastAsia="仿宋_GB2312" w:cs="仿宋_GB2312"/>
          <w:sz w:val="32"/>
          <w:szCs w:val="32"/>
          <w:lang w:val="en-US" w:eastAsia="zh-CN"/>
        </w:rPr>
        <w:t>0.3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83.33</w:t>
      </w:r>
      <w:r>
        <w:rPr>
          <w:rFonts w:hint="eastAsia" w:ascii="仿宋_GB2312" w:hAnsi="仿宋_GB2312" w:eastAsia="仿宋_GB2312" w:cs="仿宋_GB2312"/>
          <w:sz w:val="32"/>
          <w:szCs w:val="32"/>
        </w:rPr>
        <w:t>%，与上年相比减少</w:t>
      </w:r>
      <w:r>
        <w:rPr>
          <w:rFonts w:hint="eastAsia" w:ascii="仿宋_GB2312" w:hAnsi="仿宋_GB2312" w:eastAsia="仿宋_GB2312" w:cs="仿宋_GB2312"/>
          <w:sz w:val="32"/>
          <w:szCs w:val="32"/>
          <w:lang w:val="en-US" w:eastAsia="zh-CN"/>
        </w:rPr>
        <w:t>800元，</w:t>
      </w:r>
      <w:r>
        <w:rPr>
          <w:rFonts w:hint="eastAsia" w:ascii="仿宋_GB2312" w:hAnsi="仿宋_GB2312" w:eastAsia="仿宋_GB2312" w:cs="仿宋_GB2312"/>
          <w:sz w:val="32"/>
          <w:szCs w:val="32"/>
        </w:rPr>
        <w:t>下降</w:t>
      </w:r>
      <w:r>
        <w:rPr>
          <w:rFonts w:hint="eastAsia" w:ascii="仿宋_GB2312" w:hAnsi="仿宋_GB2312" w:eastAsia="仿宋_GB2312" w:cs="仿宋_GB2312"/>
          <w:sz w:val="32"/>
          <w:szCs w:val="32"/>
          <w:lang w:val="en-US" w:eastAsia="zh-CN"/>
        </w:rPr>
        <w:t>24.24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rPr>
        <w:t>于预算数的主要原因是：</w:t>
      </w:r>
      <w:r>
        <w:rPr>
          <w:rFonts w:hint="eastAsia" w:ascii="仿宋_GB2312" w:hAnsi="仿宋_GB2312" w:eastAsia="仿宋_GB2312" w:cs="仿宋_GB2312"/>
          <w:sz w:val="32"/>
          <w:szCs w:val="32"/>
          <w:lang w:eastAsia="zh-CN"/>
        </w:rPr>
        <w:t>严格按财政“过紧日子”要求，精减了接待次数和人员</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lang w:val="en-US" w:eastAsia="zh-CN"/>
        </w:rPr>
        <w:t>上年</w:t>
      </w:r>
      <w:r>
        <w:rPr>
          <w:rFonts w:hint="eastAsia" w:ascii="仿宋_GB2312" w:hAnsi="仿宋_GB2312" w:eastAsia="仿宋_GB2312" w:cs="仿宋_GB2312"/>
          <w:sz w:val="32"/>
          <w:szCs w:val="32"/>
        </w:rPr>
        <w:t>数的主要原因是</w:t>
      </w:r>
      <w:r>
        <w:rPr>
          <w:rFonts w:hint="eastAsia" w:ascii="仿宋_GB2312" w:hAnsi="仿宋_GB2312" w:eastAsia="仿宋_GB2312" w:cs="仿宋_GB2312"/>
          <w:sz w:val="32"/>
          <w:szCs w:val="32"/>
          <w:lang w:eastAsia="zh-CN"/>
        </w:rPr>
        <w:t>本年</w:t>
      </w:r>
      <w:r>
        <w:rPr>
          <w:rFonts w:hint="eastAsia" w:ascii="仿宋_GB2312" w:hAnsi="仿宋_GB2312" w:eastAsia="仿宋_GB2312" w:cs="仿宋_GB2312"/>
          <w:sz w:val="32"/>
          <w:szCs w:val="32"/>
          <w:lang w:val="en-US" w:eastAsia="zh-CN"/>
        </w:rPr>
        <w:t>只有</w:t>
      </w:r>
      <w:r>
        <w:rPr>
          <w:rFonts w:hint="eastAsia" w:ascii="仿宋_GB2312" w:hAnsi="仿宋_GB2312" w:eastAsia="仿宋_GB2312" w:cs="仿宋_GB2312"/>
          <w:sz w:val="32"/>
          <w:szCs w:val="32"/>
          <w:lang w:eastAsia="zh-CN"/>
        </w:rPr>
        <w:t>公务接待</w:t>
      </w:r>
      <w:r>
        <w:rPr>
          <w:rFonts w:hint="eastAsia" w:ascii="仿宋_GB2312" w:hAnsi="仿宋_GB2312" w:eastAsia="仿宋_GB2312" w:cs="仿宋_GB2312"/>
          <w:sz w:val="32"/>
          <w:szCs w:val="32"/>
          <w:lang w:val="en-US" w:eastAsia="zh-CN"/>
        </w:rPr>
        <w:t>支出0.25万元,</w:t>
      </w:r>
      <w:r>
        <w:rPr>
          <w:rFonts w:hint="eastAsia" w:ascii="仿宋_GB2312" w:hAnsi="仿宋_GB2312" w:eastAsia="仿宋_GB2312" w:cs="仿宋_GB2312"/>
          <w:sz w:val="32"/>
          <w:szCs w:val="32"/>
          <w:lang w:eastAsia="zh-CN"/>
        </w:rPr>
        <w:t>严格按</w:t>
      </w:r>
      <w:r>
        <w:rPr>
          <w:rFonts w:hint="eastAsia" w:ascii="仿宋_GB2312" w:hAnsi="仿宋_GB2312" w:eastAsia="仿宋_GB2312" w:cs="仿宋_GB2312"/>
          <w:sz w:val="32"/>
          <w:szCs w:val="32"/>
          <w:lang w:val="en-US" w:eastAsia="zh-CN"/>
        </w:rPr>
        <w:t>公务接待相关</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color w:val="auto"/>
          <w:sz w:val="32"/>
          <w:szCs w:val="32"/>
          <w:u w:val="none"/>
          <w:lang w:eastAsia="zh-CN"/>
        </w:rPr>
        <w:t>精减</w:t>
      </w:r>
      <w:r>
        <w:rPr>
          <w:rFonts w:hint="eastAsia" w:ascii="仿宋_GB2312" w:hAnsi="仿宋_GB2312" w:eastAsia="仿宋_GB2312" w:cs="仿宋_GB2312"/>
          <w:sz w:val="32"/>
          <w:szCs w:val="32"/>
          <w:lang w:eastAsia="zh-CN"/>
        </w:rPr>
        <w:t>接待次数和人员</w:t>
      </w:r>
      <w:r>
        <w:rPr>
          <w:rFonts w:hint="eastAsia" w:ascii="仿宋_GB2312" w:hAnsi="仿宋_GB2312" w:eastAsia="仿宋_GB2312" w:cs="仿宋_GB2312"/>
          <w:sz w:val="32"/>
          <w:szCs w:val="32"/>
        </w:rPr>
        <w:t>。</w:t>
      </w:r>
    </w:p>
    <w:p w14:paraId="19402760">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（二）“三公”经费财政拨款支出决算具体情况说明</w:t>
      </w:r>
    </w:p>
    <w:p w14:paraId="4883B6C7">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bCs/>
          <w:i/>
          <w:color w:val="auto"/>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因公出国（境）费支出</w:t>
      </w:r>
      <w:r>
        <w:rPr>
          <w:rFonts w:hint="eastAsia" w:ascii="仿宋_GB2312" w:hAnsi="仿宋_GB2312" w:eastAsia="仿宋_GB2312" w:cs="仿宋_GB2312"/>
          <w:sz w:val="32"/>
          <w:szCs w:val="32"/>
          <w:lang w:val="en-US" w:eastAsia="zh-CN"/>
        </w:rPr>
        <w:t>预算为0万元，支出</w:t>
      </w:r>
      <w:r>
        <w:rPr>
          <w:rFonts w:hint="eastAsia" w:ascii="仿宋_GB2312" w:hAnsi="仿宋_GB2312" w:eastAsia="仿宋_GB2312" w:cs="仿宋_GB2312"/>
          <w:sz w:val="32"/>
          <w:szCs w:val="32"/>
        </w:rPr>
        <w:t>决算为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完成预算的0%；与上年相比持平。决算数与预算数持平，主要原因是没有因公出国出境业务。2025</w:t>
      </w:r>
      <w:r>
        <w:rPr>
          <w:rFonts w:hint="eastAsia" w:ascii="仿宋_GB2312" w:hAnsi="仿宋_GB2312" w:eastAsia="仿宋_GB2312" w:cs="仿宋_GB2312"/>
          <w:sz w:val="32"/>
          <w:szCs w:val="32"/>
        </w:rPr>
        <w:t>年安排因公出国（境）团组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个，累计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人次</w:t>
      </w:r>
      <w:r>
        <w:rPr>
          <w:rFonts w:hint="eastAsia" w:ascii="仿宋_GB2312" w:hAnsi="仿宋_GB2312" w:eastAsia="仿宋_GB2312" w:cs="仿宋_GB2312"/>
          <w:sz w:val="32"/>
          <w:szCs w:val="32"/>
          <w:lang w:val="en-US" w:eastAsia="zh-CN"/>
        </w:rPr>
        <w:t>.</w:t>
      </w:r>
    </w:p>
    <w:p w14:paraId="2243E439">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bCs/>
          <w:i/>
          <w:color w:val="auto"/>
          <w:kern w:val="0"/>
          <w:sz w:val="32"/>
          <w:szCs w:val="32"/>
          <w:lang w:val="en-US" w:eastAsia="zh-CN" w:bidi="ar-SA"/>
        </w:rPr>
      </w:pPr>
      <w:r>
        <w:rPr>
          <w:rFonts w:hint="eastAsia" w:ascii="仿宋_GB2312" w:hAnsi="仿宋_GB2312" w:eastAsia="仿宋_GB2312" w:cs="仿宋_GB2312"/>
          <w:sz w:val="32"/>
          <w:szCs w:val="32"/>
        </w:rPr>
        <w:t>2、公务用车购置费及运行维护费支出</w:t>
      </w:r>
      <w:r>
        <w:rPr>
          <w:rFonts w:hint="eastAsia" w:ascii="仿宋_GB2312" w:hAnsi="仿宋_GB2312" w:eastAsia="仿宋_GB2312" w:cs="仿宋_GB2312"/>
          <w:sz w:val="32"/>
          <w:szCs w:val="32"/>
          <w:lang w:val="en-US" w:eastAsia="zh-CN"/>
        </w:rPr>
        <w:t>预算为0万元，支出</w:t>
      </w:r>
      <w:r>
        <w:rPr>
          <w:rFonts w:hint="eastAsia" w:ascii="仿宋_GB2312" w:hAnsi="仿宋_GB2312" w:eastAsia="仿宋_GB2312" w:cs="仿宋_GB2312"/>
          <w:sz w:val="32"/>
          <w:szCs w:val="32"/>
        </w:rPr>
        <w:t>决算为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完成预算的0%；与上年相比持平。</w:t>
      </w:r>
      <w:r>
        <w:rPr>
          <w:rFonts w:hint="eastAsia" w:ascii="仿宋_GB2312" w:hAnsi="仿宋_GB2312" w:eastAsia="仿宋_GB2312" w:cs="仿宋_GB2312"/>
          <w:sz w:val="32"/>
          <w:szCs w:val="32"/>
        </w:rPr>
        <w:t>其中：公务用车购置费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万元，更新公务用车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rPr>
        <w:t>公务用车运行维护费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截至2025</w:t>
      </w:r>
      <w:r>
        <w:rPr>
          <w:rFonts w:hint="eastAsia" w:ascii="仿宋_GB2312" w:hAnsi="仿宋_GB2312" w:eastAsia="仿宋_GB2312" w:cs="仿宋_GB2312"/>
          <w:sz w:val="32"/>
          <w:szCs w:val="32"/>
        </w:rPr>
        <w:t>年12月31日，我单位开支财政拨款的公务用车保有量为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p>
    <w:p w14:paraId="15790878">
      <w:pPr>
        <w:pStyle w:val="19"/>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公务接待费支出</w:t>
      </w:r>
      <w:r>
        <w:rPr>
          <w:rFonts w:hint="eastAsia" w:ascii="仿宋_GB2312" w:hAnsi="仿宋_GB2312" w:eastAsia="仿宋_GB2312" w:cs="仿宋_GB2312"/>
          <w:sz w:val="32"/>
          <w:szCs w:val="32"/>
          <w:lang w:val="en-US" w:eastAsia="zh-CN"/>
        </w:rPr>
        <w:t>预算为0.3万元，支出</w:t>
      </w:r>
      <w:r>
        <w:rPr>
          <w:rFonts w:hint="eastAsia" w:ascii="仿宋_GB2312" w:hAnsi="仿宋_GB2312" w:eastAsia="仿宋_GB2312" w:cs="仿宋_GB2312"/>
          <w:sz w:val="32"/>
          <w:szCs w:val="32"/>
        </w:rPr>
        <w:t>决算为</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完成预算的83.33%；</w:t>
      </w:r>
      <w:r>
        <w:rPr>
          <w:rFonts w:hint="eastAsia" w:ascii="仿宋_GB2312" w:hAnsi="仿宋_GB2312" w:eastAsia="仿宋_GB2312" w:cs="仿宋_GB2312"/>
          <w:sz w:val="32"/>
          <w:szCs w:val="32"/>
        </w:rPr>
        <w:t>与上年相比减少</w:t>
      </w:r>
      <w:r>
        <w:rPr>
          <w:rFonts w:hint="eastAsia" w:ascii="仿宋_GB2312" w:hAnsi="仿宋_GB2312" w:eastAsia="仿宋_GB2312" w:cs="仿宋_GB2312"/>
          <w:sz w:val="32"/>
          <w:szCs w:val="32"/>
          <w:lang w:val="en-US" w:eastAsia="zh-CN"/>
        </w:rPr>
        <w:t>800元，</w:t>
      </w:r>
      <w:r>
        <w:rPr>
          <w:rFonts w:hint="eastAsia" w:ascii="仿宋_GB2312" w:hAnsi="仿宋_GB2312" w:eastAsia="仿宋_GB2312" w:cs="仿宋_GB2312"/>
          <w:sz w:val="32"/>
          <w:szCs w:val="32"/>
        </w:rPr>
        <w:t>下降</w:t>
      </w:r>
      <w:r>
        <w:rPr>
          <w:rFonts w:hint="eastAsia" w:ascii="仿宋_GB2312" w:hAnsi="仿宋_GB2312" w:eastAsia="仿宋_GB2312" w:cs="仿宋_GB2312"/>
          <w:sz w:val="32"/>
          <w:szCs w:val="32"/>
          <w:lang w:val="en-US" w:eastAsia="zh-CN"/>
        </w:rPr>
        <w:t>24.24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rPr>
        <w:t>于预算数的主要原因是：</w:t>
      </w:r>
      <w:r>
        <w:rPr>
          <w:rFonts w:hint="eastAsia" w:ascii="仿宋_GB2312" w:hAnsi="仿宋_GB2312" w:eastAsia="仿宋_GB2312" w:cs="仿宋_GB2312"/>
          <w:sz w:val="32"/>
          <w:szCs w:val="32"/>
          <w:lang w:eastAsia="zh-CN"/>
        </w:rPr>
        <w:t>严格按财政“过紧日子”要求，精减了接待次数和人员</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lang w:val="en-US" w:eastAsia="zh-CN"/>
        </w:rPr>
        <w:t>上年</w:t>
      </w:r>
      <w:r>
        <w:rPr>
          <w:rFonts w:hint="eastAsia" w:ascii="仿宋_GB2312" w:hAnsi="仿宋_GB2312" w:eastAsia="仿宋_GB2312" w:cs="仿宋_GB2312"/>
          <w:sz w:val="32"/>
          <w:szCs w:val="32"/>
        </w:rPr>
        <w:t>数的主要原因是</w:t>
      </w:r>
      <w:r>
        <w:rPr>
          <w:rFonts w:hint="eastAsia" w:ascii="仿宋_GB2312" w:hAnsi="仿宋_GB2312" w:eastAsia="仿宋_GB2312" w:cs="仿宋_GB2312"/>
          <w:sz w:val="32"/>
          <w:szCs w:val="32"/>
          <w:lang w:eastAsia="zh-CN"/>
        </w:rPr>
        <w:t>本年</w:t>
      </w:r>
      <w:r>
        <w:rPr>
          <w:rFonts w:hint="eastAsia" w:ascii="仿宋_GB2312" w:hAnsi="仿宋_GB2312" w:eastAsia="仿宋_GB2312" w:cs="仿宋_GB2312"/>
          <w:sz w:val="32"/>
          <w:szCs w:val="32"/>
          <w:lang w:val="en-US" w:eastAsia="zh-CN"/>
        </w:rPr>
        <w:t>只有</w:t>
      </w:r>
      <w:r>
        <w:rPr>
          <w:rFonts w:hint="eastAsia" w:ascii="仿宋_GB2312" w:hAnsi="仿宋_GB2312" w:eastAsia="仿宋_GB2312" w:cs="仿宋_GB2312"/>
          <w:sz w:val="32"/>
          <w:szCs w:val="32"/>
          <w:lang w:eastAsia="zh-CN"/>
        </w:rPr>
        <w:t>公务接待</w:t>
      </w:r>
      <w:r>
        <w:rPr>
          <w:rFonts w:hint="eastAsia" w:ascii="仿宋_GB2312" w:hAnsi="仿宋_GB2312" w:eastAsia="仿宋_GB2312" w:cs="仿宋_GB2312"/>
          <w:sz w:val="32"/>
          <w:szCs w:val="32"/>
          <w:lang w:val="en-US" w:eastAsia="zh-CN"/>
        </w:rPr>
        <w:t>支出0.25万元,</w:t>
      </w:r>
      <w:r>
        <w:rPr>
          <w:rFonts w:hint="eastAsia" w:ascii="仿宋_GB2312" w:hAnsi="仿宋_GB2312" w:eastAsia="仿宋_GB2312" w:cs="仿宋_GB2312"/>
          <w:sz w:val="32"/>
          <w:szCs w:val="32"/>
          <w:lang w:eastAsia="zh-CN"/>
        </w:rPr>
        <w:t>严格按</w:t>
      </w:r>
      <w:r>
        <w:rPr>
          <w:rFonts w:hint="eastAsia" w:ascii="仿宋_GB2312" w:hAnsi="仿宋_GB2312" w:eastAsia="仿宋_GB2312" w:cs="仿宋_GB2312"/>
          <w:sz w:val="32"/>
          <w:szCs w:val="32"/>
          <w:lang w:val="en-US" w:eastAsia="zh-CN"/>
        </w:rPr>
        <w:t>公务接待相关</w:t>
      </w:r>
      <w:r>
        <w:rPr>
          <w:rFonts w:hint="eastAsia" w:ascii="仿宋_GB2312" w:hAnsi="仿宋_GB2312" w:eastAsia="仿宋_GB2312" w:cs="仿宋_GB2312"/>
          <w:sz w:val="32"/>
          <w:szCs w:val="32"/>
          <w:lang w:eastAsia="zh-CN"/>
        </w:rPr>
        <w:t>要求，精简</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lang w:eastAsia="zh-CN"/>
        </w:rPr>
        <w:t>接待次数和人员</w:t>
      </w:r>
      <w:r>
        <w:rPr>
          <w:rFonts w:hint="eastAsia" w:ascii="仿宋_GB2312" w:hAnsi="仿宋_GB2312" w:eastAsia="仿宋_GB2312" w:cs="仿宋_GB2312"/>
          <w:sz w:val="32"/>
          <w:szCs w:val="32"/>
          <w:lang w:val="en-US" w:eastAsia="zh-CN"/>
        </w:rPr>
        <w:t>。</w:t>
      </w:r>
    </w:p>
    <w:p w14:paraId="0C2B9A40">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6E4E1FFC">
      <w:pPr>
        <w:pStyle w:val="19"/>
        <w:keepNext w:val="0"/>
        <w:keepLines w:val="0"/>
        <w:pageBreakBefore w:val="0"/>
        <w:kinsoku/>
        <w:wordWrap/>
        <w:overflowPunct/>
        <w:topLinePunct w:val="0"/>
        <w:bidi w:val="0"/>
        <w:spacing w:line="600" w:lineRule="exact"/>
        <w:ind w:firstLine="320" w:firstLineChars="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 xml:space="preserve">        </w:t>
      </w:r>
    </w:p>
    <w:p w14:paraId="11B39B33">
      <w:pPr>
        <w:pStyle w:val="19"/>
        <w:keepNext w:val="0"/>
        <w:keepLines w:val="0"/>
        <w:pageBreakBefore w:val="0"/>
        <w:kinsoku/>
        <w:wordWrap/>
        <w:overflowPunct/>
        <w:topLinePunct w:val="0"/>
        <w:bidi w:val="0"/>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年度我委无政府性基金预算收入和支出</w:t>
      </w:r>
      <w:r>
        <w:rPr>
          <w:rFonts w:hint="eastAsia" w:ascii="仿宋_GB2312" w:hAnsi="仿宋_GB2312" w:eastAsia="仿宋_GB2312" w:cs="仿宋_GB2312"/>
          <w:sz w:val="32"/>
          <w:szCs w:val="32"/>
          <w:lang w:eastAsia="zh-CN"/>
        </w:rPr>
        <w:t>。</w:t>
      </w:r>
    </w:p>
    <w:p w14:paraId="11C88345">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九、关于机关运行经费支出说明</w:t>
      </w:r>
    </w:p>
    <w:p w14:paraId="0DA38AD1">
      <w:pPr>
        <w:pStyle w:val="19"/>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rPr>
        <w:t>本部门</w:t>
      </w:r>
      <w:r>
        <w:rPr>
          <w:rFonts w:hint="eastAsia" w:ascii="仿宋_GB2312" w:hAnsi="仿宋_GB2312" w:eastAsia="仿宋_GB2312" w:cs="仿宋_GB2312"/>
          <w:color w:val="auto"/>
          <w:sz w:val="32"/>
          <w:szCs w:val="32"/>
          <w:lang w:eastAsia="zh-CN"/>
        </w:rPr>
        <w:t>2025</w:t>
      </w:r>
      <w:r>
        <w:rPr>
          <w:rFonts w:hint="eastAsia" w:ascii="仿宋_GB2312" w:hAnsi="仿宋_GB2312" w:eastAsia="仿宋_GB2312" w:cs="仿宋_GB2312"/>
          <w:color w:val="auto"/>
          <w:sz w:val="32"/>
          <w:szCs w:val="32"/>
        </w:rPr>
        <w:t>年度机关运行经费支出</w:t>
      </w:r>
      <w:r>
        <w:rPr>
          <w:rFonts w:hint="eastAsia" w:ascii="仿宋_GB2312" w:hAnsi="仿宋_GB2312" w:eastAsia="仿宋_GB2312" w:cs="仿宋_GB2312"/>
          <w:color w:val="auto"/>
          <w:sz w:val="32"/>
          <w:szCs w:val="32"/>
          <w:lang w:val="en-US" w:eastAsia="zh-CN"/>
        </w:rPr>
        <w:t>84.6</w:t>
      </w:r>
      <w:r>
        <w:rPr>
          <w:rFonts w:hint="eastAsia" w:ascii="仿宋_GB2312" w:hAnsi="仿宋_GB2312" w:eastAsia="仿宋_GB2312" w:cs="仿宋_GB2312"/>
          <w:color w:val="auto"/>
          <w:sz w:val="32"/>
          <w:szCs w:val="32"/>
        </w:rPr>
        <w:t>万元，比上年决算数</w:t>
      </w:r>
      <w:r>
        <w:rPr>
          <w:rFonts w:hint="eastAsia" w:ascii="仿宋_GB2312" w:hAnsi="仿宋_GB2312" w:eastAsia="仿宋_GB2312" w:cs="仿宋_GB2312"/>
          <w:color w:val="auto"/>
          <w:sz w:val="32"/>
          <w:szCs w:val="32"/>
          <w:lang w:val="en-US" w:eastAsia="zh-CN"/>
        </w:rPr>
        <w:t>66.15万元增加18.45</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增长27.89</w:t>
      </w:r>
      <w:r>
        <w:rPr>
          <w:rFonts w:hint="eastAsia" w:ascii="仿宋_GB2312" w:hAnsi="仿宋_GB2312" w:eastAsia="仿宋_GB2312" w:cs="仿宋_GB2312"/>
          <w:color w:val="auto"/>
          <w:sz w:val="32"/>
          <w:szCs w:val="32"/>
        </w:rPr>
        <w:t>%。主要原因是：</w:t>
      </w:r>
      <w:r>
        <w:rPr>
          <w:rFonts w:hint="eastAsia" w:ascii="仿宋_GB2312" w:hAnsi="仿宋_GB2312" w:eastAsia="仿宋_GB2312" w:cs="仿宋_GB2312"/>
          <w:color w:val="auto"/>
          <w:sz w:val="32"/>
          <w:szCs w:val="32"/>
          <w:lang w:val="en-US" w:eastAsia="zh-CN"/>
        </w:rPr>
        <w:t>调整了公用经费统计口径，</w:t>
      </w:r>
      <w:r>
        <w:rPr>
          <w:rFonts w:hint="eastAsia" w:ascii="仿宋_GB2312" w:hAnsi="仿宋_GB2312" w:eastAsia="仿宋_GB2312" w:cs="仿宋_GB2312"/>
          <w:sz w:val="32"/>
          <w:szCs w:val="32"/>
          <w:lang w:val="en-US" w:eastAsia="zh-CN"/>
        </w:rPr>
        <w:t>将“非三保”公用经费进行合并。即</w:t>
      </w:r>
      <w:r>
        <w:rPr>
          <w:rFonts w:hint="eastAsia" w:ascii="仿宋_GB2312" w:hAnsi="仿宋_GB2312" w:eastAsia="仿宋_GB2312" w:cs="仿宋_GB2312"/>
          <w:color w:val="auto"/>
          <w:sz w:val="32"/>
          <w:szCs w:val="32"/>
          <w:lang w:val="en-US" w:eastAsia="zh-CN"/>
        </w:rPr>
        <w:t>将用于市属国有企业监管工作经费和国有企业改革工作经费并入综合所致</w:t>
      </w:r>
      <w:r>
        <w:rPr>
          <w:rFonts w:hint="eastAsia" w:ascii="仿宋_GB2312" w:hAnsi="仿宋_GB2312" w:eastAsia="仿宋_GB2312" w:cs="仿宋_GB2312"/>
          <w:sz w:val="32"/>
          <w:szCs w:val="32"/>
          <w:lang w:val="en-US" w:eastAsia="zh-CN"/>
        </w:rPr>
        <w:t>。</w:t>
      </w:r>
    </w:p>
    <w:p w14:paraId="72769A1C">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693599A6">
      <w:pPr>
        <w:keepNext w:val="0"/>
        <w:keepLines w:val="0"/>
        <w:pageBreakBefore w:val="0"/>
        <w:widowControl w:val="0"/>
        <w:kinsoku/>
        <w:wordWrap/>
        <w:overflowPunct/>
        <w:topLinePunct w:val="0"/>
        <w:bidi w:val="0"/>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年本部门</w:t>
      </w:r>
      <w:r>
        <w:rPr>
          <w:rFonts w:hint="eastAsia" w:ascii="仿宋_GB2312" w:hAnsi="仿宋_GB2312" w:eastAsia="仿宋_GB2312" w:cs="仿宋_GB2312"/>
          <w:sz w:val="32"/>
          <w:szCs w:val="32"/>
          <w:lang w:val="en-US" w:eastAsia="zh-CN"/>
        </w:rPr>
        <w:t>会议费预算0.5万元，实际</w:t>
      </w:r>
      <w:r>
        <w:rPr>
          <w:rFonts w:hint="eastAsia" w:ascii="仿宋_GB2312" w:hAnsi="仿宋_GB2312" w:eastAsia="仿宋_GB2312" w:cs="仿宋_GB2312"/>
          <w:sz w:val="32"/>
          <w:szCs w:val="32"/>
        </w:rPr>
        <w:t>开支会议费</w:t>
      </w:r>
      <w:r>
        <w:rPr>
          <w:rFonts w:hint="eastAsia" w:ascii="仿宋_GB2312" w:hAnsi="仿宋_GB2312" w:eastAsia="仿宋_GB2312" w:cs="仿宋_GB2312"/>
          <w:sz w:val="32"/>
          <w:szCs w:val="32"/>
          <w:lang w:val="en-US" w:eastAsia="zh-CN"/>
        </w:rPr>
        <w:t>0万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本年</w:t>
      </w:r>
      <w:r>
        <w:rPr>
          <w:rFonts w:hint="eastAsia" w:ascii="仿宋_GB2312" w:hAnsi="仿宋_GB2312" w:eastAsia="仿宋_GB2312" w:cs="仿宋_GB2312"/>
          <w:color w:val="auto"/>
          <w:sz w:val="32"/>
          <w:szCs w:val="32"/>
          <w:lang w:val="en-US" w:eastAsia="zh-CN"/>
        </w:rPr>
        <w:t>度</w:t>
      </w:r>
      <w:r>
        <w:rPr>
          <w:rFonts w:hint="eastAsia" w:ascii="仿宋_GB2312" w:hAnsi="仿宋_GB2312" w:eastAsia="仿宋_GB2312" w:cs="仿宋_GB2312"/>
          <w:color w:val="auto"/>
          <w:sz w:val="32"/>
          <w:szCs w:val="32"/>
        </w:rPr>
        <w:t>召开</w:t>
      </w:r>
      <w:r>
        <w:rPr>
          <w:rFonts w:hint="eastAsia" w:ascii="仿宋_GB2312" w:hAnsi="仿宋_GB2312" w:eastAsia="仿宋_GB2312" w:cs="仿宋_GB2312"/>
          <w:color w:val="auto"/>
          <w:sz w:val="32"/>
          <w:szCs w:val="32"/>
          <w:lang w:val="en-US" w:eastAsia="zh-CN"/>
        </w:rPr>
        <w:t>13家市属监管企业安全生产、两会期间信访维稳</w:t>
      </w:r>
      <w:r>
        <w:rPr>
          <w:rFonts w:hint="eastAsia" w:ascii="仿宋_GB2312" w:hAnsi="仿宋_GB2312" w:eastAsia="仿宋_GB2312" w:cs="仿宋_GB2312"/>
          <w:color w:val="auto"/>
          <w:sz w:val="32"/>
          <w:szCs w:val="32"/>
        </w:rPr>
        <w:t>会议，人数</w:t>
      </w:r>
      <w:r>
        <w:rPr>
          <w:rFonts w:hint="eastAsia" w:ascii="仿宋_GB2312" w:hAnsi="仿宋_GB2312" w:eastAsia="仿宋_GB2312" w:cs="仿宋_GB2312"/>
          <w:color w:val="auto"/>
          <w:sz w:val="32"/>
          <w:szCs w:val="32"/>
          <w:lang w:val="en-US" w:eastAsia="zh-CN"/>
        </w:rPr>
        <w:t>160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val="en-US" w:eastAsia="zh-CN"/>
        </w:rPr>
        <w:t>。但实际未支出会议费</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2025年计划培训费9万元，实际</w:t>
      </w:r>
      <w:r>
        <w:rPr>
          <w:rFonts w:hint="eastAsia" w:ascii="仿宋_GB2312" w:hAnsi="仿宋_GB2312" w:eastAsia="仿宋_GB2312" w:cs="仿宋_GB2312"/>
          <w:color w:val="auto"/>
          <w:sz w:val="32"/>
          <w:szCs w:val="32"/>
        </w:rPr>
        <w:t>开支培训费</w:t>
      </w:r>
      <w:r>
        <w:rPr>
          <w:rFonts w:hint="eastAsia" w:ascii="仿宋_GB2312" w:hAnsi="仿宋_GB2312" w:eastAsia="仿宋_GB2312" w:cs="仿宋_GB2312"/>
          <w:color w:val="auto"/>
          <w:sz w:val="32"/>
          <w:szCs w:val="32"/>
          <w:lang w:val="en-US" w:eastAsia="zh-CN"/>
        </w:rPr>
        <w:t>0.73</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主要</w:t>
      </w:r>
      <w:r>
        <w:rPr>
          <w:rFonts w:hint="eastAsia" w:ascii="仿宋_GB2312" w:hAnsi="仿宋_GB2312" w:eastAsia="仿宋_GB2312" w:cs="仿宋_GB2312"/>
          <w:color w:val="auto"/>
          <w:sz w:val="32"/>
          <w:szCs w:val="32"/>
        </w:rPr>
        <w:t>用于开展监管企业安全生产、财务预决算培训，</w:t>
      </w:r>
      <w:r>
        <w:rPr>
          <w:rFonts w:hint="eastAsia" w:ascii="仿宋_GB2312" w:hAnsi="仿宋_GB2312" w:eastAsia="仿宋_GB2312" w:cs="仿宋_GB2312"/>
          <w:color w:val="auto"/>
          <w:sz w:val="32"/>
          <w:szCs w:val="32"/>
          <w:lang w:eastAsia="zh-CN"/>
        </w:rPr>
        <w:t>全</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国资国企在线监管系统</w:t>
      </w:r>
      <w:r>
        <w:rPr>
          <w:rFonts w:hint="eastAsia" w:ascii="仿宋_GB2312" w:hAnsi="仿宋_GB2312" w:eastAsia="仿宋_GB2312" w:cs="仿宋_GB2312"/>
          <w:color w:val="auto"/>
          <w:sz w:val="32"/>
          <w:szCs w:val="32"/>
        </w:rPr>
        <w:t>等培训，人数</w:t>
      </w:r>
      <w:r>
        <w:rPr>
          <w:rFonts w:hint="eastAsia" w:ascii="仿宋_GB2312" w:hAnsi="仿宋_GB2312" w:eastAsia="仿宋_GB2312" w:cs="仿宋_GB2312"/>
          <w:color w:val="auto"/>
          <w:sz w:val="32"/>
          <w:szCs w:val="32"/>
          <w:lang w:val="en-US" w:eastAsia="zh-CN"/>
        </w:rPr>
        <w:t>230</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sz w:val="32"/>
          <w:szCs w:val="32"/>
          <w:lang w:val="en-US" w:eastAsia="zh-CN"/>
        </w:rPr>
        <w:t>025年</w:t>
      </w:r>
      <w:r>
        <w:rPr>
          <w:rFonts w:hint="eastAsia" w:ascii="仿宋_GB2312" w:hAnsi="仿宋_GB2312" w:eastAsia="仿宋_GB2312" w:cs="仿宋_GB2312"/>
          <w:sz w:val="32"/>
          <w:szCs w:val="32"/>
        </w:rPr>
        <w:t>本单位本年度未举办节庆、晚会、论坛、赛事等活动。</w:t>
      </w:r>
    </w:p>
    <w:p w14:paraId="0268EEAF">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十一、关于政府采购支出说明</w:t>
      </w:r>
    </w:p>
    <w:p w14:paraId="61B1B08B">
      <w:pPr>
        <w:pStyle w:val="19"/>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年度政府采购支出总额</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%。货物采购授予中小企业合同金额占货物支出金额的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79D00E21">
      <w:pPr>
        <w:pStyle w:val="19"/>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lang w:val="en-US" w:eastAsia="zh-CN"/>
        </w:rPr>
        <w:t xml:space="preserve">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十二、关于国有资产占用情况说明</w:t>
      </w:r>
    </w:p>
    <w:p w14:paraId="38BB3C84">
      <w:pPr>
        <w:pStyle w:val="19"/>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w:t>
      </w:r>
      <w:r>
        <w:rPr>
          <w:rFonts w:hint="eastAsia" w:ascii="仿宋_GB2312" w:hAnsi="仿宋_GB2312" w:eastAsia="仿宋_GB2312" w:cs="仿宋_GB2312"/>
          <w:color w:val="auto"/>
          <w:sz w:val="32"/>
          <w:szCs w:val="32"/>
        </w:rPr>
        <w:t>年12月31日，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58AC2896">
      <w:pPr>
        <w:pStyle w:val="19"/>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hAnsi="黑体" w:cs="黑体"/>
          <w:b w:val="0"/>
          <w:bCs/>
          <w:sz w:val="32"/>
          <w:szCs w:val="32"/>
          <w:lang w:eastAsia="zh-CN"/>
        </w:rPr>
        <w:t>2025</w:t>
      </w:r>
      <w:r>
        <w:rPr>
          <w:rFonts w:hint="eastAsia" w:ascii="黑体" w:hAnsi="黑体" w:eastAsia="黑体" w:cs="黑体"/>
          <w:b w:val="0"/>
          <w:bCs/>
          <w:sz w:val="32"/>
          <w:szCs w:val="32"/>
        </w:rPr>
        <w:t>年度</w:t>
      </w:r>
      <w:r>
        <w:rPr>
          <w:rFonts w:hint="eastAsia" w:ascii="黑体" w:hAnsi="黑体" w:eastAsia="黑体" w:cs="黑体"/>
          <w:b w:val="0"/>
          <w:bCs/>
          <w:sz w:val="32"/>
          <w:szCs w:val="32"/>
          <w:lang w:eastAsia="zh-CN"/>
        </w:rPr>
        <w:t>预算</w:t>
      </w:r>
      <w:r>
        <w:rPr>
          <w:rFonts w:hint="eastAsia" w:ascii="黑体" w:hAnsi="黑体" w:eastAsia="黑体" w:cs="黑体"/>
          <w:b w:val="0"/>
          <w:bCs/>
          <w:sz w:val="32"/>
          <w:szCs w:val="32"/>
        </w:rPr>
        <w:t>绩效情况的说明</w:t>
      </w:r>
    </w:p>
    <w:p w14:paraId="3974CE60">
      <w:pPr>
        <w:pStyle w:val="19"/>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kern w:val="0"/>
          <w:sz w:val="32"/>
          <w:szCs w:val="32"/>
          <w:lang w:val="en-US" w:eastAsia="zh-CN"/>
        </w:rPr>
      </w:pPr>
      <w:r>
        <w:rPr>
          <w:rFonts w:hint="eastAsia" w:ascii="楷体_GB2312" w:hAnsi="楷体_GB2312" w:eastAsia="楷体_GB2312" w:cs="楷体_GB2312"/>
          <w:b/>
          <w:bCs/>
          <w:sz w:val="32"/>
          <w:szCs w:val="32"/>
          <w:lang w:eastAsia="zh-CN"/>
        </w:rPr>
        <w:t>（一）绩效</w:t>
      </w:r>
      <w:r>
        <w:rPr>
          <w:rFonts w:hint="eastAsia" w:ascii="楷体_GB2312" w:hAnsi="楷体_GB2312" w:eastAsia="楷体_GB2312" w:cs="楷体_GB2312"/>
          <w:b/>
          <w:bCs/>
          <w:sz w:val="32"/>
          <w:szCs w:val="32"/>
          <w:lang w:val="en-US" w:eastAsia="zh-CN"/>
        </w:rPr>
        <w:t>评价</w:t>
      </w:r>
      <w:r>
        <w:rPr>
          <w:rFonts w:hint="eastAsia" w:ascii="楷体_GB2312" w:hAnsi="楷体_GB2312" w:eastAsia="楷体_GB2312" w:cs="楷体_GB2312"/>
          <w:b/>
          <w:bCs/>
          <w:sz w:val="32"/>
          <w:szCs w:val="32"/>
          <w:lang w:eastAsia="zh-CN"/>
        </w:rPr>
        <w:t>工作开展情况。</w:t>
      </w:r>
      <w:r>
        <w:rPr>
          <w:rFonts w:hint="eastAsia" w:ascii="楷体_GB2312" w:hAnsi="楷体_GB2312" w:eastAsia="楷体_GB2312" w:cs="楷体_GB2312"/>
          <w:b/>
          <w:bCs/>
          <w:sz w:val="32"/>
          <w:szCs w:val="32"/>
          <w:lang w:val="en-US" w:eastAsia="zh-CN"/>
        </w:rPr>
        <w:t>绩效自评开展情况。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463EDCB3">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600" w:lineRule="exact"/>
        <w:ind w:firstLine="640" w:firstLineChars="200"/>
        <w:jc w:val="both"/>
        <w:textAlignment w:val="auto"/>
        <w:rPr>
          <w:rFonts w:ascii="Times New Roman" w:hAnsi="Times New Roman" w:eastAsia="仿宋_GB2312" w:cs="Times New Roman"/>
          <w:sz w:val="32"/>
          <w:szCs w:val="32"/>
        </w:rPr>
      </w:pPr>
      <w:r>
        <w:rPr>
          <w:rFonts w:hint="eastAsia" w:ascii="楷体_GB2312" w:hAnsi="楷体_GB2312" w:eastAsia="楷体_GB2312" w:cs="楷体_GB2312"/>
          <w:b/>
          <w:bCs/>
          <w:color w:val="000000"/>
          <w:kern w:val="0"/>
          <w:sz w:val="32"/>
          <w:szCs w:val="32"/>
          <w:lang w:val="en-US" w:eastAsia="zh-CN" w:bidi="ar-SA"/>
        </w:rPr>
        <w:t>（二）绩效评价结果。一是绩效自评结果。</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607.09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605.08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99.67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p>
    <w:p w14:paraId="621CA2E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bidi="ar-SA"/>
        </w:rPr>
      </w:pPr>
      <w:r>
        <w:rPr>
          <w:rFonts w:hint="eastAsia" w:ascii="仿宋_GB2312" w:hAnsi="仿宋_GB2312" w:eastAsia="仿宋_GB2312" w:cs="仿宋_GB2312"/>
          <w:b/>
          <w:bCs/>
          <w:color w:val="auto"/>
          <w:sz w:val="32"/>
          <w:szCs w:val="32"/>
          <w:highlight w:val="none"/>
          <w:lang w:val="en-US" w:eastAsia="zh-CN" w:bidi="ar-SA"/>
        </w:rPr>
        <w:t>一是</w:t>
      </w:r>
      <w:r>
        <w:rPr>
          <w:rFonts w:hint="eastAsia" w:ascii="仿宋_GB2312" w:hAnsi="仿宋_GB2312" w:eastAsia="仿宋_GB2312" w:cs="仿宋_GB2312"/>
          <w:b/>
          <w:bCs/>
          <w:color w:val="000000"/>
          <w:sz w:val="32"/>
          <w:szCs w:val="32"/>
          <w:u w:val="none"/>
          <w:lang w:val="en-US" w:eastAsia="zh-CN" w:bidi="ar-SA"/>
        </w:rPr>
        <w:t>积极提升监管效能</w:t>
      </w:r>
      <w:r>
        <w:rPr>
          <w:rFonts w:hint="eastAsia" w:ascii="仿宋_GB2312" w:hAnsi="仿宋_GB2312" w:eastAsia="仿宋_GB2312" w:cs="仿宋_GB2312"/>
          <w:b/>
          <w:bCs/>
          <w:color w:val="auto"/>
          <w:sz w:val="32"/>
          <w:szCs w:val="32"/>
          <w:highlight w:val="none"/>
          <w:lang w:val="en-US" w:eastAsia="zh-CN" w:bidi="ar-SA"/>
        </w:rPr>
        <w:t>。</w:t>
      </w:r>
      <w:r>
        <w:rPr>
          <w:rFonts w:hint="eastAsia" w:ascii="楷体_GB2312" w:hAnsi="楷体_GB2312" w:eastAsia="楷体_GB2312" w:cs="楷体_GB2312"/>
          <w:b w:val="0"/>
          <w:bCs w:val="0"/>
          <w:color w:val="auto"/>
          <w:sz w:val="32"/>
          <w:szCs w:val="32"/>
          <w:lang w:val="en-US" w:eastAsia="zh-CN" w:bidi="ar-SA"/>
        </w:rPr>
        <w:t>强化企业负责人综合绩效考核。</w:t>
      </w:r>
      <w:r>
        <w:rPr>
          <w:rFonts w:hint="eastAsia" w:ascii="仿宋_GB2312" w:hAnsi="仿宋_GB2312" w:eastAsia="仿宋_GB2312" w:cs="仿宋_GB2312"/>
          <w:b w:val="0"/>
          <w:bCs w:val="0"/>
          <w:color w:val="auto"/>
          <w:sz w:val="32"/>
          <w:szCs w:val="32"/>
          <w:u w:val="none"/>
          <w:lang w:val="en-US" w:eastAsia="zh-CN" w:bidi="ar-SA"/>
        </w:rPr>
        <w:t>完善《永州市国资委监管企业负责人综合绩效考核办法》《永州市国资委监管企业负责人薪酬管理办法》，起草《永州市国资委监管企业负责人2025年综合绩效考核实施方案》，重点考核企业减亏及成本控制等指标并与企业负责人薪酬挂钩，凸显考核激励鞭策作用。</w:t>
      </w:r>
      <w:r>
        <w:rPr>
          <w:rFonts w:hint="eastAsia" w:ascii="楷体_GB2312" w:hAnsi="楷体_GB2312" w:eastAsia="楷体_GB2312" w:cs="楷体_GB2312"/>
          <w:b w:val="0"/>
          <w:bCs w:val="0"/>
          <w:color w:val="auto"/>
          <w:sz w:val="32"/>
          <w:szCs w:val="32"/>
          <w:lang w:val="en-US" w:eastAsia="zh-CN" w:bidi="ar-SA"/>
        </w:rPr>
        <w:t>积极推进国有资本经营预算管理工作。</w:t>
      </w:r>
      <w:r>
        <w:rPr>
          <w:rFonts w:hint="eastAsia" w:ascii="仿宋_GB2312" w:hAnsi="仿宋_GB2312" w:eastAsia="仿宋_GB2312" w:cs="仿宋_GB2312"/>
          <w:b w:val="0"/>
          <w:bCs w:val="0"/>
          <w:color w:val="auto"/>
          <w:sz w:val="32"/>
          <w:szCs w:val="32"/>
          <w:u w:val="none"/>
          <w:lang w:val="en-US" w:eastAsia="zh-CN" w:bidi="ar-SA"/>
        </w:rPr>
        <w:t>配合市财政局修改完善《永州市市本级国有资本经营预算管理办法》，明确市本级国有独资企业上交年度净利润比例，本年度组织监管企业上缴收入5.6亿元。</w:t>
      </w:r>
      <w:r>
        <w:rPr>
          <w:rFonts w:hint="eastAsia" w:ascii="楷体_GB2312" w:hAnsi="楷体_GB2312" w:eastAsia="楷体_GB2312" w:cs="楷体_GB2312"/>
          <w:b w:val="0"/>
          <w:bCs w:val="0"/>
          <w:color w:val="auto"/>
          <w:sz w:val="32"/>
          <w:szCs w:val="32"/>
          <w:lang w:val="en-US" w:eastAsia="zh-CN" w:bidi="ar-SA"/>
        </w:rPr>
        <w:t>指导企业积极投身市场化运营。</w:t>
      </w:r>
      <w:r>
        <w:rPr>
          <w:rFonts w:hint="eastAsia" w:ascii="仿宋_GB2312" w:hAnsi="仿宋_GB2312" w:eastAsia="仿宋_GB2312" w:cs="仿宋_GB2312"/>
          <w:b w:val="0"/>
          <w:bCs w:val="0"/>
          <w:color w:val="auto"/>
          <w:sz w:val="32"/>
          <w:szCs w:val="32"/>
          <w:u w:val="none"/>
          <w:lang w:val="en-US" w:eastAsia="zh-CN" w:bidi="ar-SA"/>
        </w:rPr>
        <w:t>市属平台公司市场化转型发展稳步推进，为企业注入新的“造血功能”，其中，城发集团组建低空经济运营有限公司，并成功取得中国民用航空局运营合格证与无人机人才培训资质，编制完成《永州市低空经济发展有限公司发展规划（2025-2030 年）》，建成宋家洲公园滑翔伞基地及低空微场景服务平台，全面构筑永州低空经济“一基地、一联盟、三中心、一产业园”发展新格局；经发集团保安服务公司以武装守押为核心，构建自助设备运维、现金清分、尾箱寄库、金库托管“四位一体”金融外包体系，实现经营规模与服务质量双提升，逐步建成区域领先的专业安保集团。</w:t>
      </w:r>
      <w:r>
        <w:rPr>
          <w:rFonts w:hint="eastAsia" w:ascii="楷体_GB2312" w:hAnsi="楷体_GB2312" w:eastAsia="楷体_GB2312" w:cs="楷体_GB2312"/>
          <w:b w:val="0"/>
          <w:bCs w:val="0"/>
          <w:color w:val="auto"/>
          <w:sz w:val="32"/>
          <w:szCs w:val="32"/>
          <w:lang w:val="en-US" w:eastAsia="zh-CN" w:bidi="ar-SA"/>
        </w:rPr>
        <w:t>想方设法增强企业发展活力，</w:t>
      </w:r>
      <w:r>
        <w:rPr>
          <w:rFonts w:hint="eastAsia" w:ascii="仿宋_GB2312" w:hAnsi="仿宋_GB2312" w:eastAsia="仿宋_GB2312" w:cs="仿宋_GB2312"/>
          <w:b w:val="0"/>
          <w:bCs w:val="0"/>
          <w:color w:val="auto"/>
          <w:sz w:val="32"/>
          <w:szCs w:val="32"/>
          <w:u w:val="none"/>
          <w:lang w:val="en-US" w:eastAsia="zh-CN" w:bidi="ar-SA"/>
        </w:rPr>
        <w:t>市城发集团商品房、车位销售收入2.1亿元，停车收费1136.7万元。经发集团积极布局新能源产业，实现经营性收入7638.6万元。港发集团完成贸易总额22.25亿元，其中鸡蛋、粮油等大宗产品保供13.02亿元，配送6.56亿，进出口贸易2.63亿元，实现外贸业务零突破。国投公司转贷基金滚动投放量为8.5亿元，实现转贷业务收入250万元，服务小微企业数量182余家。</w:t>
      </w:r>
      <w:r>
        <w:rPr>
          <w:rFonts w:hint="eastAsia" w:ascii="楷体_GB2312" w:hAnsi="楷体_GB2312" w:eastAsia="楷体_GB2312" w:cs="楷体_GB2312"/>
          <w:b w:val="0"/>
          <w:bCs w:val="0"/>
          <w:color w:val="auto"/>
          <w:sz w:val="32"/>
          <w:szCs w:val="32"/>
          <w:lang w:val="en-US" w:eastAsia="zh-CN" w:bidi="ar-SA"/>
        </w:rPr>
        <w:t>常态化开展“送解忧”服务。</w:t>
      </w:r>
      <w:r>
        <w:rPr>
          <w:rFonts w:hint="eastAsia" w:ascii="仿宋_GB2312" w:hAnsi="仿宋_GB2312" w:eastAsia="仿宋_GB2312" w:cs="仿宋_GB2312"/>
          <w:b w:val="0"/>
          <w:bCs w:val="0"/>
          <w:color w:val="auto"/>
          <w:sz w:val="32"/>
          <w:szCs w:val="32"/>
          <w:u w:val="none"/>
          <w:lang w:val="en-US" w:eastAsia="zh-CN" w:bidi="ar-SA"/>
        </w:rPr>
        <w:t>积极推进中储粮迁建，多次组织召开中储粮永州直属库整体搬迁工作协调会，会同相关部门起草整体搬迁（二期）征收补偿方案；协调完成长丰集团生活后勤服务剩余资产划转工作，有效解决资产划转遗留问题。</w:t>
      </w:r>
      <w:r>
        <w:rPr>
          <w:rFonts w:hint="eastAsia" w:ascii="楷体_GB2312" w:hAnsi="楷体_GB2312" w:eastAsia="楷体_GB2312" w:cs="楷体_GB2312"/>
          <w:b w:val="0"/>
          <w:bCs w:val="0"/>
          <w:color w:val="auto"/>
          <w:sz w:val="32"/>
          <w:szCs w:val="32"/>
          <w:lang w:val="en-US" w:eastAsia="zh-CN" w:bidi="ar-SA"/>
        </w:rPr>
        <w:t>持续推进国企“三资”清查处置与管理改革工作。</w:t>
      </w:r>
      <w:r>
        <w:rPr>
          <w:rFonts w:hint="eastAsia" w:ascii="仿宋_GB2312" w:hAnsi="仿宋_GB2312" w:eastAsia="仿宋_GB2312" w:cs="仿宋_GB2312"/>
          <w:b w:val="0"/>
          <w:bCs w:val="0"/>
          <w:color w:val="auto"/>
          <w:sz w:val="32"/>
          <w:szCs w:val="32"/>
          <w:u w:val="none"/>
          <w:lang w:val="en-US" w:eastAsia="zh-CN" w:bidi="ar-SA"/>
        </w:rPr>
        <w:t>在前期工作基础上，对监管企业闲置房屋、土地及其其他资产资源再次摸底，形成工作台账，积极推进工作落实，监管企业通过“用、售、租、融”四种方式盘活资产57项，取得收益9.42亿元，</w:t>
      </w:r>
      <w:r>
        <w:rPr>
          <w:rFonts w:hint="eastAsia" w:ascii="仿宋_GB2312" w:hAnsi="仿宋_GB2312" w:eastAsia="仿宋_GB2312" w:cs="仿宋_GB2312"/>
          <w:sz w:val="32"/>
          <w:szCs w:val="32"/>
          <w:lang w:val="en-US" w:eastAsia="zh-CN"/>
        </w:rPr>
        <w:t>完成年度目标任务174.4%；</w:t>
      </w:r>
      <w:r>
        <w:rPr>
          <w:rFonts w:hint="eastAsia" w:ascii="仿宋_GB2312" w:hAnsi="仿宋_GB2312" w:eastAsia="仿宋_GB2312" w:cs="仿宋_GB2312"/>
          <w:b w:val="0"/>
          <w:bCs w:val="0"/>
          <w:color w:val="auto"/>
          <w:sz w:val="32"/>
          <w:szCs w:val="32"/>
          <w:u w:val="none"/>
          <w:lang w:val="en-US" w:eastAsia="zh-CN" w:bidi="ar-SA"/>
        </w:rPr>
        <w:t>利用房屋、土地、车辆抵押融资2.5亿元。</w:t>
      </w:r>
      <w:r>
        <w:rPr>
          <w:rFonts w:hint="eastAsia" w:ascii="楷体_GB2312" w:hAnsi="楷体_GB2312" w:eastAsia="楷体_GB2312" w:cs="楷体_GB2312"/>
          <w:b w:val="0"/>
          <w:bCs w:val="0"/>
          <w:color w:val="auto"/>
          <w:sz w:val="32"/>
          <w:szCs w:val="32"/>
          <w:lang w:val="en-US" w:eastAsia="zh-CN" w:bidi="ar-SA"/>
        </w:rPr>
        <w:t>牵头做好平台公司专项审计整改工作。</w:t>
      </w:r>
      <w:r>
        <w:rPr>
          <w:rFonts w:hint="eastAsia" w:ascii="仿宋_GB2312" w:hAnsi="仿宋_GB2312" w:eastAsia="仿宋_GB2312" w:cs="仿宋_GB2312"/>
          <w:b w:val="0"/>
          <w:bCs w:val="0"/>
          <w:color w:val="auto"/>
          <w:sz w:val="32"/>
          <w:szCs w:val="32"/>
          <w:u w:val="none"/>
          <w:lang w:val="en-US" w:eastAsia="zh-CN" w:bidi="ar-SA"/>
        </w:rPr>
        <w:t>对照问题清单逐个问题明确责任领导、责任科室并制定具体整改措施，形成任务清单》，定期调度相关部门及企业抓好整改落实。目前，专项审计反映的13个问题中立行立改的问题有2个，已完成整改；分阶段整改的问题4个，持续整改的问题7个，均按计划正在进行整改。</w:t>
      </w:r>
    </w:p>
    <w:p w14:paraId="05EF801B">
      <w:pPr>
        <w:pStyle w:val="4"/>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sz w:val="32"/>
          <w:szCs w:val="32"/>
          <w:u w:val="none"/>
          <w:lang w:val="en-US" w:eastAsia="zh-CN" w:bidi="ar-SA"/>
        </w:rPr>
        <w:t>二是防范化解重大风险。</w:t>
      </w:r>
      <w:r>
        <w:rPr>
          <w:rFonts w:hint="eastAsia" w:ascii="楷体_GB2312" w:hAnsi="楷体_GB2312" w:eastAsia="楷体_GB2312" w:cs="楷体_GB2312"/>
          <w:b w:val="0"/>
          <w:bCs w:val="0"/>
          <w:color w:val="auto"/>
          <w:sz w:val="32"/>
          <w:szCs w:val="32"/>
          <w:lang w:val="en-US" w:eastAsia="zh-CN" w:bidi="ar-SA"/>
        </w:rPr>
        <w:t>积极防范化解债务风险。</w:t>
      </w:r>
      <w:r>
        <w:rPr>
          <w:rFonts w:hint="eastAsia" w:ascii="仿宋_GB2312" w:hAnsi="仿宋_GB2312" w:eastAsia="仿宋_GB2312" w:cs="仿宋_GB2312"/>
          <w:b w:val="0"/>
          <w:bCs/>
          <w:color w:val="auto"/>
          <w:spacing w:val="0"/>
          <w:sz w:val="32"/>
          <w:szCs w:val="32"/>
        </w:rPr>
        <w:t>督促指导</w:t>
      </w:r>
      <w:r>
        <w:rPr>
          <w:rFonts w:hint="eastAsia" w:ascii="仿宋_GB2312" w:hAnsi="仿宋_GB2312" w:eastAsia="仿宋_GB2312" w:cs="仿宋_GB2312"/>
          <w:b w:val="0"/>
          <w:bCs/>
          <w:color w:val="auto"/>
          <w:spacing w:val="0"/>
          <w:sz w:val="32"/>
          <w:szCs w:val="32"/>
          <w:lang w:val="en-US" w:eastAsia="zh-CN"/>
        </w:rPr>
        <w:t>监管</w:t>
      </w:r>
      <w:r>
        <w:rPr>
          <w:rFonts w:hint="eastAsia" w:ascii="仿宋_GB2312" w:hAnsi="仿宋_GB2312" w:eastAsia="仿宋_GB2312" w:cs="仿宋_GB2312"/>
          <w:b w:val="0"/>
          <w:bCs/>
          <w:color w:val="auto"/>
          <w:spacing w:val="0"/>
          <w:sz w:val="32"/>
          <w:szCs w:val="32"/>
        </w:rPr>
        <w:t>企业加大</w:t>
      </w:r>
      <w:r>
        <w:rPr>
          <w:rFonts w:hint="eastAsia" w:ascii="仿宋_GB2312" w:hAnsi="仿宋_GB2312" w:eastAsia="仿宋_GB2312" w:cs="仿宋_GB2312"/>
          <w:b w:val="0"/>
          <w:bCs/>
          <w:color w:val="auto"/>
          <w:spacing w:val="0"/>
          <w:sz w:val="32"/>
          <w:szCs w:val="32"/>
          <w:lang w:val="en-US" w:eastAsia="zh-CN"/>
        </w:rPr>
        <w:t>连环债</w:t>
      </w:r>
      <w:r>
        <w:rPr>
          <w:rFonts w:hint="eastAsia" w:ascii="仿宋_GB2312" w:hAnsi="仿宋_GB2312" w:eastAsia="仿宋_GB2312" w:cs="仿宋_GB2312"/>
          <w:b w:val="0"/>
          <w:bCs/>
          <w:color w:val="auto"/>
          <w:spacing w:val="0"/>
          <w:sz w:val="32"/>
          <w:szCs w:val="32"/>
        </w:rPr>
        <w:t>清偿力度，已清偿债务188笔，金额共计24.1亿元，完成进度106%，完成情况市直部门排名第一。每季度会同市债管办调度平台公司压降工作情况上报省工作专班，并先后3次赴县市区督导平台公司压降工作，已完成压降平台公司20家（含2024年超额完成2家）。</w:t>
      </w:r>
      <w:r>
        <w:rPr>
          <w:rFonts w:hint="eastAsia" w:ascii="楷体_GB2312" w:hAnsi="楷体_GB2312" w:eastAsia="楷体_GB2312" w:cs="楷体_GB2312"/>
          <w:b w:val="0"/>
          <w:bCs w:val="0"/>
          <w:color w:val="auto"/>
          <w:sz w:val="32"/>
          <w:szCs w:val="32"/>
          <w:lang w:val="en-US" w:eastAsia="zh-CN" w:bidi="ar-SA"/>
        </w:rPr>
        <w:t>严格审查监管企业年度融资计划。</w:t>
      </w:r>
      <w:r>
        <w:rPr>
          <w:rFonts w:hint="eastAsia" w:ascii="仿宋_GB2312" w:hAnsi="仿宋_GB2312" w:eastAsia="仿宋_GB2312" w:cs="仿宋_GB2312"/>
          <w:b w:val="0"/>
          <w:bCs w:val="0"/>
          <w:sz w:val="32"/>
          <w:szCs w:val="32"/>
          <w:lang w:val="en-US" w:eastAsia="zh-CN"/>
        </w:rPr>
        <w:t>严格执行《永州市国资委监管企业投资融资监督管理办法（试行）》，指导监管企业制定2025年度融资计划并完成审核，要求监管企业新增融资综合成本不超过4.0%。本年度，监管企业完成直接融资17.5亿元，综合成本3.02%。</w:t>
      </w:r>
      <w:r>
        <w:rPr>
          <w:rFonts w:hint="eastAsia" w:ascii="楷体_GB2312" w:hAnsi="楷体_GB2312" w:eastAsia="楷体_GB2312" w:cs="楷体_GB2312"/>
          <w:b w:val="0"/>
          <w:bCs w:val="0"/>
          <w:color w:val="auto"/>
          <w:sz w:val="32"/>
          <w:szCs w:val="32"/>
          <w:lang w:val="en-US" w:eastAsia="zh-CN" w:bidi="ar-SA"/>
        </w:rPr>
        <w:t>持续做好监管企业财务分析和监测工作。</w:t>
      </w:r>
      <w:r>
        <w:rPr>
          <w:rFonts w:hint="eastAsia" w:ascii="仿宋_GB2312" w:hAnsi="仿宋_GB2312" w:eastAsia="仿宋_GB2312" w:cs="仿宋_GB2312"/>
          <w:sz w:val="32"/>
          <w:szCs w:val="32"/>
          <w:lang w:val="en-US" w:eastAsia="zh-CN"/>
        </w:rPr>
        <w:t>组织开展监管企业2024年财务收支管理及内部控制、内部审计相关制度执行情况专项监督检查，重点检查市城发集团、市经发集团、市港发集团、永汽总公司4家监管企业融资、大额资金使用情况、重大项目投资、建设管理及效益情况，交办问题65个。每月定期调度监管企业财务状况按时向省国资委报送财务快报，并统计汇总监管企业经济运营数据及财务报表形成国资动态信息，实时掌握企业运行动</w:t>
      </w:r>
      <w:r>
        <w:rPr>
          <w:rFonts w:hint="eastAsia" w:ascii="仿宋_GB2312" w:hAnsi="仿宋_GB2312" w:eastAsia="仿宋_GB2312" w:cs="仿宋_GB2312"/>
          <w:b w:val="0"/>
          <w:bCs w:val="0"/>
          <w:sz w:val="32"/>
          <w:szCs w:val="32"/>
          <w:lang w:val="en-US" w:eastAsia="zh-CN"/>
        </w:rPr>
        <w:t>态</w:t>
      </w:r>
      <w:r>
        <w:rPr>
          <w:rFonts w:hint="eastAsia" w:ascii="仿宋_GB2312" w:hAnsi="仿宋_GB2312" w:eastAsia="仿宋_GB2312" w:cs="仿宋_GB2312"/>
          <w:sz w:val="32"/>
          <w:szCs w:val="32"/>
          <w:lang w:val="en-US" w:eastAsia="zh-CN"/>
        </w:rPr>
        <w:t>，目前已编制10期国资动态。</w:t>
      </w:r>
    </w:p>
    <w:p w14:paraId="3C24E5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eastAsia="仿宋_GB2312" w:cs="仿宋_GB2312"/>
          <w:b/>
          <w:bCs/>
          <w:sz w:val="32"/>
          <w:szCs w:val="32"/>
          <w:highlight w:val="none"/>
          <w:lang w:val="en-US" w:eastAsia="zh-CN"/>
        </w:rPr>
        <w:t>三</w:t>
      </w:r>
      <w:r>
        <w:rPr>
          <w:rFonts w:hint="eastAsia" w:ascii="仿宋_GB2312" w:hAnsi="Times New Roman" w:eastAsia="仿宋_GB2312" w:cs="仿宋_GB2312"/>
          <w:b/>
          <w:bCs/>
          <w:sz w:val="32"/>
          <w:szCs w:val="32"/>
          <w:highlight w:val="none"/>
          <w:lang w:val="en-US" w:eastAsia="zh-CN"/>
        </w:rPr>
        <w:t>是</w:t>
      </w:r>
      <w:r>
        <w:rPr>
          <w:rFonts w:hint="eastAsia" w:ascii="仿宋_GB2312" w:hAnsi="仿宋_GB2312" w:eastAsia="仿宋_GB2312" w:cs="仿宋_GB2312"/>
          <w:b/>
          <w:bCs/>
          <w:color w:val="000000"/>
          <w:spacing w:val="8"/>
          <w:kern w:val="2"/>
          <w:sz w:val="32"/>
          <w:szCs w:val="32"/>
          <w:u w:val="none"/>
          <w:lang w:val="en-US" w:eastAsia="zh-CN"/>
        </w:rPr>
        <w:t>持续加强党的领导</w:t>
      </w:r>
      <w:r>
        <w:rPr>
          <w:rFonts w:hint="eastAsia" w:ascii="仿宋_GB2312" w:hAnsi="Times New Roman" w:eastAsia="仿宋_GB2312" w:cs="仿宋_GB2312"/>
          <w:b/>
          <w:bCs/>
          <w:sz w:val="32"/>
          <w:szCs w:val="32"/>
          <w:highlight w:val="none"/>
          <w:lang w:val="en-US" w:eastAsia="zh-CN"/>
        </w:rPr>
        <w:t>。</w:t>
      </w:r>
      <w:r>
        <w:rPr>
          <w:rFonts w:hint="eastAsia" w:ascii="楷体_GB2312" w:hAnsi="楷体_GB2312" w:eastAsia="楷体_GB2312" w:cs="楷体_GB2312"/>
          <w:b w:val="0"/>
          <w:bCs w:val="0"/>
          <w:color w:val="auto"/>
          <w:sz w:val="32"/>
          <w:szCs w:val="32"/>
          <w:lang w:val="en-US" w:eastAsia="zh-CN" w:bidi="ar-SA"/>
        </w:rPr>
        <w:t>强化理论学习</w:t>
      </w:r>
      <w:r>
        <w:rPr>
          <w:rFonts w:hint="eastAsia" w:ascii="楷体_GB2312" w:hAnsi="楷体_GB2312" w:eastAsia="楷体_GB2312" w:cs="楷体_GB2312"/>
          <w:b w:val="0"/>
          <w:bCs w:val="0"/>
          <w:color w:val="auto"/>
          <w:sz w:val="32"/>
          <w:szCs w:val="32"/>
          <w:lang w:val="en-GB" w:eastAsia="zh-CN" w:bidi="ar-SA"/>
        </w:rPr>
        <w:t>抓好凝心聚魂工作。</w:t>
      </w:r>
      <w:r>
        <w:rPr>
          <w:rFonts w:hint="eastAsia" w:ascii="仿宋_GB2312" w:eastAsia="仿宋_GB2312" w:cs="宋体"/>
          <w:color w:val="auto"/>
          <w:kern w:val="0"/>
          <w:sz w:val="32"/>
          <w:szCs w:val="32"/>
          <w:lang w:val="en-US" w:eastAsia="zh-CN" w:bidi="ar-SA"/>
        </w:rPr>
        <w:t>组织召开</w:t>
      </w:r>
      <w:r>
        <w:rPr>
          <w:rFonts w:hint="eastAsia" w:ascii="仿宋_GB2312" w:hAnsi="仿宋_GB2312" w:eastAsia="仿宋_GB2312" w:cs="仿宋_GB2312"/>
          <w:b w:val="0"/>
          <w:bCs w:val="0"/>
          <w:color w:val="auto"/>
          <w:sz w:val="32"/>
          <w:szCs w:val="32"/>
          <w:highlight w:val="none"/>
          <w:lang w:val="en-US" w:eastAsia="zh-CN" w:bidi="ar-SA"/>
        </w:rPr>
        <w:t>全市国资委系统党风廉政建设暨反腐败工作会、党组织书记述职评议会、入党积极分子和发展对象培训等一系列会议、培训</w:t>
      </w:r>
      <w:r>
        <w:rPr>
          <w:rFonts w:hint="eastAsia" w:ascii="仿宋_GB2312" w:eastAsia="仿宋_GB2312" w:cs="宋体"/>
          <w:color w:val="auto"/>
          <w:kern w:val="0"/>
          <w:sz w:val="32"/>
          <w:szCs w:val="32"/>
          <w:lang w:val="en-US" w:eastAsia="zh-CN" w:bidi="ar-SA"/>
        </w:rPr>
        <w:t>，</w:t>
      </w:r>
      <w:r>
        <w:rPr>
          <w:rFonts w:eastAsia="仿宋_GB2312" w:cs="楷体"/>
          <w:bCs/>
          <w:sz w:val="32"/>
          <w:szCs w:val="32"/>
          <w:highlight w:val="none"/>
          <w:lang w:val="en-GB"/>
        </w:rPr>
        <w:t>认真贯彻落实</w:t>
      </w:r>
      <w:r>
        <w:rPr>
          <w:rFonts w:hint="eastAsia" w:eastAsia="仿宋_GB2312" w:cs="楷体"/>
          <w:bCs/>
          <w:sz w:val="32"/>
          <w:szCs w:val="32"/>
          <w:highlight w:val="none"/>
          <w:lang w:val="en-US" w:eastAsia="zh-CN"/>
        </w:rPr>
        <w:t>习近平新时代中国特色社会主义思想和党的二十大、二十届四中全会精神</w:t>
      </w:r>
      <w:r>
        <w:rPr>
          <w:rFonts w:hint="eastAsia" w:eastAsia="仿宋_GB2312" w:cs="楷体"/>
          <w:bCs/>
          <w:sz w:val="32"/>
          <w:szCs w:val="32"/>
          <w:highlight w:val="none"/>
          <w:lang w:val="en-GB" w:eastAsia="zh-CN"/>
        </w:rPr>
        <w:t>，</w:t>
      </w:r>
      <w:r>
        <w:rPr>
          <w:rFonts w:hint="eastAsia" w:ascii="仿宋_GB2312" w:eastAsia="仿宋_GB2312" w:cs="宋体"/>
          <w:color w:val="auto"/>
          <w:kern w:val="0"/>
          <w:sz w:val="32"/>
          <w:szCs w:val="32"/>
          <w:lang w:val="en-US" w:eastAsia="zh-CN" w:bidi="ar-SA"/>
        </w:rPr>
        <w:t>指导国资系统党员干部进一步深刻领悟“两个确立”的决定性意义，增强“四个意识”、坚定“四个自信”、做到“两个维护”</w:t>
      </w:r>
      <w:r>
        <w:rPr>
          <w:rFonts w:eastAsia="仿宋_GB2312" w:cs="楷体"/>
          <w:bCs/>
          <w:sz w:val="32"/>
          <w:szCs w:val="32"/>
          <w:highlight w:val="none"/>
          <w:lang w:val="en-GB"/>
        </w:rPr>
        <w:t>。</w:t>
      </w:r>
      <w:r>
        <w:rPr>
          <w:rFonts w:hint="eastAsia" w:ascii="仿宋_GB2312" w:hAnsi="仿宋_GB2312" w:eastAsia="仿宋_GB2312" w:cs="仿宋_GB2312"/>
          <w:bCs/>
          <w:sz w:val="32"/>
          <w:szCs w:val="32"/>
          <w:highlight w:val="none"/>
          <w:lang w:val="en-GB"/>
        </w:rPr>
        <w:t>组织市属监管企业开展“弘理强企，典亮时代”创新理论宣讲活动，落实“一支部一宣讲员”，同步录制了宣讲微视频，并向省国资委推送2个微视频，推荐选手获优秀展演奖。</w:t>
      </w:r>
      <w:r>
        <w:rPr>
          <w:rFonts w:hint="eastAsia" w:ascii="楷体_GB2312" w:hAnsi="楷体_GB2312" w:eastAsia="楷体_GB2312" w:cs="楷体_GB2312"/>
          <w:b w:val="0"/>
          <w:bCs w:val="0"/>
          <w:color w:val="auto"/>
          <w:sz w:val="32"/>
          <w:szCs w:val="32"/>
          <w:lang w:val="en-US" w:eastAsia="zh-CN" w:bidi="ar-SA"/>
        </w:rPr>
        <w:t>开展深入贯彻中央八项规定精神学习教育。</w:t>
      </w:r>
      <w:r>
        <w:rPr>
          <w:rFonts w:hint="eastAsia" w:ascii="仿宋_GB2312" w:hAnsi="仿宋_GB2312" w:eastAsia="仿宋_GB2312" w:cs="仿宋_GB2312"/>
          <w:bCs/>
          <w:sz w:val="32"/>
          <w:szCs w:val="32"/>
          <w:highlight w:val="none"/>
          <w:lang w:val="en-US" w:eastAsia="zh-CN"/>
        </w:rPr>
        <w:t>第一时间</w:t>
      </w:r>
      <w:r>
        <w:rPr>
          <w:rFonts w:hint="eastAsia" w:ascii="仿宋_GB2312" w:hAnsi="仿宋_GB2312" w:eastAsia="仿宋_GB2312" w:cs="仿宋_GB2312"/>
          <w:bCs/>
          <w:sz w:val="32"/>
          <w:szCs w:val="32"/>
          <w:highlight w:val="none"/>
          <w:lang w:val="en-GB"/>
        </w:rPr>
        <w:t>对学习教育工作进行安排部署</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US" w:eastAsia="zh-CN"/>
        </w:rPr>
        <w:t>5</w:t>
      </w:r>
      <w:r>
        <w:rPr>
          <w:rFonts w:hint="eastAsia" w:ascii="仿宋_GB2312" w:hAnsi="仿宋_GB2312" w:eastAsia="仿宋_GB2312" w:cs="仿宋_GB2312"/>
          <w:bCs/>
          <w:sz w:val="32"/>
          <w:szCs w:val="32"/>
          <w:highlight w:val="none"/>
          <w:lang w:val="en-GB"/>
        </w:rPr>
        <w:t>次组织深入贯彻中央八项规定精神学习教育读书班，学习《习近平关于加强党的作风建设论述摘编》、中央八项规定及其实施细则精神</w:t>
      </w:r>
      <w:r>
        <w:rPr>
          <w:rFonts w:hint="eastAsia" w:ascii="仿宋_GB2312" w:hAnsi="仿宋_GB2312" w:eastAsia="仿宋_GB2312" w:cs="仿宋_GB2312"/>
          <w:bCs/>
          <w:sz w:val="32"/>
          <w:szCs w:val="32"/>
          <w:highlight w:val="none"/>
          <w:lang w:val="en-US" w:eastAsia="zh-CN"/>
        </w:rPr>
        <w:t>等学习内容</w:t>
      </w:r>
      <w:r>
        <w:rPr>
          <w:rFonts w:hint="eastAsia" w:ascii="仿宋_GB2312" w:hAnsi="仿宋_GB2312" w:eastAsia="仿宋_GB2312" w:cs="仿宋_GB2312"/>
          <w:bCs/>
          <w:sz w:val="32"/>
          <w:szCs w:val="32"/>
          <w:highlight w:val="none"/>
          <w:lang w:val="en-GB"/>
        </w:rPr>
        <w:t>，结合国资国企工作实际开展专题研讨，并</w:t>
      </w:r>
      <w:r>
        <w:rPr>
          <w:rFonts w:hint="eastAsia" w:ascii="仿宋_GB2312" w:hAnsi="仿宋_GB2312" w:eastAsia="仿宋_GB2312" w:cs="仿宋_GB2312"/>
          <w:bCs/>
          <w:sz w:val="32"/>
          <w:szCs w:val="32"/>
          <w:highlight w:val="none"/>
          <w:lang w:val="en-US" w:eastAsia="zh-CN"/>
        </w:rPr>
        <w:t>深入</w:t>
      </w:r>
      <w:r>
        <w:rPr>
          <w:rFonts w:hint="eastAsia" w:ascii="仿宋_GB2312" w:hAnsi="仿宋_GB2312" w:eastAsia="仿宋_GB2312" w:cs="仿宋_GB2312"/>
          <w:bCs/>
          <w:sz w:val="32"/>
          <w:szCs w:val="32"/>
          <w:highlight w:val="none"/>
          <w:lang w:val="en-GB"/>
        </w:rPr>
        <w:t>查摆问题清单</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GB"/>
        </w:rPr>
        <w:t>组织开展中央八项规定精神学习教育警示教育会，传达学习《关于集中整治违规吃喝的通知》</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GB"/>
        </w:rPr>
        <w:t>通报党员干部违规吃喝严重违反中央八项规定精神典型案例，要求党员干部深刻汲取教训，举一反三，引以为戒</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GB"/>
        </w:rPr>
        <w:t>组织机关全体干部职工、监管企业和改制企业联合支部主要负责同志签订《自觉抵制违规吃喝承诺书》</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US" w:eastAsia="zh-CN"/>
        </w:rPr>
        <w:t>指导完善国资系统12个党组织的学习计划，审核6个党支部班子及班子成员问题清单，交办问题30余个，完善制度32项。</w:t>
      </w:r>
      <w:r>
        <w:rPr>
          <w:rFonts w:hint="eastAsia" w:ascii="楷体_GB2312" w:hAnsi="楷体_GB2312" w:eastAsia="楷体_GB2312" w:cs="楷体_GB2312"/>
          <w:b w:val="0"/>
          <w:bCs w:val="0"/>
          <w:color w:val="auto"/>
          <w:sz w:val="32"/>
          <w:szCs w:val="32"/>
          <w:lang w:val="en-US" w:eastAsia="zh-CN" w:bidi="ar-SA"/>
        </w:rPr>
        <w:t>坚持严的基调推动清廉国企建设。</w:t>
      </w:r>
      <w:r>
        <w:rPr>
          <w:rFonts w:hint="eastAsia" w:ascii="仿宋_GB2312" w:eastAsia="仿宋_GB2312" w:cs="仿宋"/>
          <w:sz w:val="32"/>
          <w:szCs w:val="32"/>
          <w:highlight w:val="none"/>
          <w:lang w:val="en-US" w:eastAsia="zh-CN"/>
        </w:rPr>
        <w:t>持续推动清廉国企建设，下发《市国资系统2025年度落实全面从严治党主体责任工作任务清单》，指导监管企业修改完善《全面从严治党主体责任清单》《领导班子成员从严治党责任清单》；</w:t>
      </w:r>
      <w:r>
        <w:rPr>
          <w:rFonts w:hint="eastAsia" w:ascii="仿宋_GB2312" w:hAnsi="仿宋_GB2312" w:eastAsia="仿宋_GB2312" w:cs="仿宋_GB2312"/>
          <w:b w:val="0"/>
          <w:bCs w:val="0"/>
          <w:color w:val="000000"/>
          <w:spacing w:val="-4"/>
          <w:kern w:val="2"/>
          <w:sz w:val="32"/>
          <w:szCs w:val="32"/>
          <w:highlight w:val="none"/>
          <w:lang w:val="en-US" w:eastAsia="zh-CN" w:bidi="ar-SA"/>
        </w:rPr>
        <w:t>会同</w:t>
      </w:r>
      <w:r>
        <w:rPr>
          <w:rFonts w:hint="eastAsia" w:ascii="仿宋_GB2312" w:hAnsi="Inherit" w:eastAsia="仿宋_GB2312"/>
          <w:b w:val="0"/>
          <w:bCs w:val="0"/>
          <w:color w:val="000000"/>
          <w:sz w:val="32"/>
          <w:szCs w:val="32"/>
          <w:lang w:eastAsia="zh-CN"/>
        </w:rPr>
        <w:t>市纪委监委驻市工信局纪检监察组</w:t>
      </w:r>
      <w:r>
        <w:rPr>
          <w:rFonts w:hint="eastAsia" w:ascii="仿宋_GB2312" w:hAnsi="Inherit" w:eastAsia="仿宋_GB2312"/>
          <w:b w:val="0"/>
          <w:bCs w:val="0"/>
          <w:color w:val="000000"/>
          <w:sz w:val="32"/>
          <w:szCs w:val="32"/>
          <w:lang w:val="en-US" w:eastAsia="zh-CN"/>
        </w:rPr>
        <w:t>赴新纳入监管范围的中</w:t>
      </w:r>
      <w:r>
        <w:rPr>
          <w:rFonts w:hint="eastAsia" w:ascii="仿宋_GB2312" w:hAnsi="仿宋_GB2312" w:eastAsia="仿宋_GB2312" w:cs="仿宋_GB2312"/>
          <w:b w:val="0"/>
          <w:bCs w:val="0"/>
          <w:color w:val="000000"/>
          <w:sz w:val="32"/>
          <w:szCs w:val="32"/>
          <w:lang w:val="en-US" w:eastAsia="zh-CN"/>
        </w:rPr>
        <w:t>Ⅱ</w:t>
      </w:r>
      <w:r>
        <w:rPr>
          <w:rFonts w:hint="eastAsia" w:ascii="仿宋_GB2312" w:hAnsi="Inherit" w:eastAsia="仿宋_GB2312"/>
          <w:b w:val="0"/>
          <w:bCs w:val="0"/>
          <w:color w:val="000000"/>
          <w:sz w:val="32"/>
          <w:szCs w:val="32"/>
          <w:lang w:val="en-US" w:eastAsia="zh-CN"/>
        </w:rPr>
        <w:t>型以下企业调研，堵塞监管漏洞；积极开展全市招投标领域突出问题系统整治，制定工作方案，共摸底对党的十八大以来400万以上招投标项目205个进行摸底排查，并开展自查自纠，规范企业权力运行，</w:t>
      </w:r>
      <w:r>
        <w:rPr>
          <w:rFonts w:hint="eastAsia" w:ascii="仿宋_GB2312" w:eastAsia="仿宋_GB2312" w:cs="仿宋_GB2312"/>
          <w:b w:val="0"/>
          <w:bCs w:val="0"/>
          <w:color w:val="auto"/>
          <w:sz w:val="32"/>
          <w:szCs w:val="32"/>
          <w:highlight w:val="none"/>
          <w:lang w:eastAsia="zh-CN" w:bidi="ar-SA"/>
        </w:rPr>
        <w:t>不断推进全面从严治党走深走实。</w:t>
      </w:r>
    </w:p>
    <w:p w14:paraId="32891A94">
      <w:pPr>
        <w:pStyle w:val="19"/>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color w:val="auto"/>
          <w:sz w:val="72"/>
          <w:szCs w:val="72"/>
        </w:rPr>
      </w:pPr>
      <w:r>
        <w:rPr>
          <w:rFonts w:hint="eastAsia" w:ascii="楷体_GB2312" w:hAnsi="楷体_GB2312" w:eastAsia="楷体_GB2312" w:cs="楷体_GB2312"/>
          <w:b/>
          <w:bCs/>
          <w:sz w:val="32"/>
          <w:szCs w:val="32"/>
          <w:lang w:eastAsia="zh-CN"/>
        </w:rPr>
        <w:t>（三）评价结果应用情况。</w:t>
      </w:r>
      <w:r>
        <w:rPr>
          <w:rFonts w:ascii="Times New Roman" w:hAnsi="Times New Roman" w:eastAsia="仿宋_GB2312" w:cs="Times New Roman"/>
          <w:color w:val="auto"/>
          <w:sz w:val="32"/>
          <w:szCs w:val="32"/>
        </w:rPr>
        <w:t>根据</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12A5F717">
      <w:pPr>
        <w:pStyle w:val="6"/>
        <w:keepNext w:val="0"/>
        <w:keepLines w:val="0"/>
        <w:pageBreakBefore w:val="0"/>
        <w:kinsoku/>
        <w:wordWrap/>
        <w:overflowPunct/>
        <w:topLinePunct w:val="0"/>
        <w:bidi w:val="0"/>
        <w:spacing w:line="600" w:lineRule="exact"/>
        <w:ind w:left="0" w:leftChars="0" w:firstLine="640" w:firstLineChars="200"/>
        <w:jc w:val="both"/>
        <w:textAlignment w:val="auto"/>
        <w:rPr>
          <w:rFonts w:hint="eastAsia" w:ascii="方正小标宋_GBK" w:hAnsi="方正小标宋_GBK" w:eastAsia="方正小标宋_GBK" w:cs="方正小标宋_GBK"/>
          <w:sz w:val="72"/>
          <w:szCs w:val="72"/>
        </w:rPr>
      </w:pPr>
      <w:r>
        <w:rPr>
          <w:rFonts w:hint="eastAsia" w:ascii="仿宋_GB2312" w:hAnsi="仿宋_GB2312" w:eastAsia="仿宋_GB2312" w:cs="仿宋_GB2312"/>
          <w:b w:val="0"/>
          <w:bCs w:val="0"/>
          <w:sz w:val="32"/>
          <w:szCs w:val="32"/>
          <w:lang w:val="en-US" w:eastAsia="zh-CN"/>
        </w:rPr>
        <w:t>通过2025年度绩效评价，我们对2025年委机关财政预算进行了调整，主要是对支出结构进行了优化，在资金安排上坚持一个原则就是保证基本支出，合理调配“非三保”支出项目。同时完善和修订了各类管理制度，加强了日常办公经费开支管理、确保全年国资监管各项工作顺利开展。</w:t>
      </w:r>
    </w:p>
    <w:p w14:paraId="0280182B">
      <w:pPr>
        <w:pStyle w:val="19"/>
        <w:jc w:val="center"/>
        <w:rPr>
          <w:rFonts w:hint="eastAsia" w:ascii="方正小标宋_GBK" w:hAnsi="方正小标宋_GBK" w:eastAsia="方正小标宋_GBK" w:cs="方正小标宋_GBK"/>
          <w:sz w:val="72"/>
          <w:szCs w:val="72"/>
        </w:rPr>
      </w:pPr>
    </w:p>
    <w:p w14:paraId="156699FF">
      <w:pPr>
        <w:pStyle w:val="19"/>
        <w:jc w:val="both"/>
        <w:rPr>
          <w:rFonts w:hint="eastAsia" w:ascii="方正小标宋_GBK" w:hAnsi="方正小标宋_GBK" w:eastAsia="方正小标宋_GBK" w:cs="方正小标宋_GBK"/>
          <w:sz w:val="72"/>
          <w:szCs w:val="72"/>
        </w:rPr>
      </w:pPr>
    </w:p>
    <w:p w14:paraId="3DAC30D2">
      <w:pPr>
        <w:pStyle w:val="19"/>
        <w:jc w:val="center"/>
        <w:rPr>
          <w:rFonts w:hint="eastAsia" w:ascii="方正小标宋_GBK" w:hAnsi="方正小标宋_GBK" w:eastAsia="方正小标宋_GBK" w:cs="方正小标宋_GBK"/>
          <w:sz w:val="72"/>
          <w:szCs w:val="72"/>
        </w:rPr>
      </w:pPr>
    </w:p>
    <w:p w14:paraId="56F11B26">
      <w:pPr>
        <w:pStyle w:val="19"/>
        <w:jc w:val="center"/>
        <w:rPr>
          <w:rFonts w:hint="eastAsia" w:ascii="方正小标宋_GBK" w:hAnsi="方正小标宋_GBK" w:eastAsia="方正小标宋_GBK" w:cs="方正小标宋_GBK"/>
          <w:sz w:val="72"/>
          <w:szCs w:val="72"/>
        </w:rPr>
      </w:pPr>
    </w:p>
    <w:p w14:paraId="701A5561">
      <w:pPr>
        <w:pStyle w:val="19"/>
        <w:jc w:val="center"/>
        <w:rPr>
          <w:rFonts w:hint="eastAsia" w:ascii="方正小标宋_GBK" w:hAnsi="方正小标宋_GBK" w:eastAsia="方正小标宋_GBK" w:cs="方正小标宋_GBK"/>
          <w:sz w:val="72"/>
          <w:szCs w:val="72"/>
        </w:rPr>
      </w:pPr>
    </w:p>
    <w:p w14:paraId="14B5C4B5">
      <w:pPr>
        <w:pStyle w:val="19"/>
        <w:jc w:val="center"/>
        <w:rPr>
          <w:rFonts w:hint="eastAsia" w:ascii="方正小标宋_GBK" w:hAnsi="方正小标宋_GBK" w:eastAsia="方正小标宋_GBK" w:cs="方正小标宋_GBK"/>
          <w:sz w:val="72"/>
          <w:szCs w:val="72"/>
        </w:rPr>
      </w:pPr>
    </w:p>
    <w:p w14:paraId="3BDC12AB">
      <w:pPr>
        <w:pStyle w:val="19"/>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52"/>
          <w:szCs w:val="52"/>
        </w:rPr>
        <w:t>第四部分</w:t>
      </w:r>
      <w:r>
        <w:rPr>
          <w:rFonts w:hint="eastAsia" w:ascii="方正小标宋_GBK" w:hAnsi="方正小标宋_GBK" w:eastAsia="方正小标宋_GBK" w:cs="方正小标宋_GBK"/>
          <w:sz w:val="52"/>
          <w:szCs w:val="52"/>
          <w:lang w:val="en-US" w:eastAsia="zh-CN"/>
        </w:rPr>
        <w:t xml:space="preserve">    </w:t>
      </w:r>
      <w:r>
        <w:rPr>
          <w:rFonts w:hint="eastAsia" w:ascii="方正小标宋_GBK" w:hAnsi="方正小标宋_GBK" w:eastAsia="方正小标宋_GBK" w:cs="方正小标宋_GBK"/>
          <w:color w:val="000000"/>
          <w:kern w:val="0"/>
          <w:sz w:val="52"/>
          <w:szCs w:val="52"/>
        </w:rPr>
        <w:t>名词解释</w:t>
      </w:r>
    </w:p>
    <w:p w14:paraId="6E68F2B8">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512B98E8">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600" w:lineRule="exact"/>
        <w:ind w:left="0" w:leftChars="0" w:firstLine="640" w:firstLineChars="200"/>
        <w:jc w:val="left"/>
        <w:textAlignment w:val="auto"/>
        <w:rPr>
          <w:rFonts w:ascii="仿宋_GB2312" w:eastAsia="仿宋_GB2312" w:cs="仿宋_GB2312"/>
          <w:sz w:val="32"/>
          <w:szCs w:val="32"/>
        </w:rPr>
      </w:pPr>
      <w:r>
        <w:rPr>
          <w:rFonts w:hint="eastAsia" w:ascii="仿宋_GB2312" w:eastAsia="仿宋_GB2312" w:cs="仿宋_GB2312" w:hAnsiTheme="minorHAnsi"/>
          <w:kern w:val="2"/>
          <w:sz w:val="32"/>
          <w:szCs w:val="32"/>
          <w:lang w:val="en-US" w:eastAsia="zh-CN" w:bidi="ar-SA"/>
        </w:rPr>
        <w:t>一、</w:t>
      </w:r>
      <w:r>
        <w:rPr>
          <w:rFonts w:hint="eastAsia" w:ascii="仿宋_GB2312" w:eastAsia="仿宋_GB2312" w:cs="仿宋_GB2312"/>
          <w:sz w:val="32"/>
          <w:szCs w:val="32"/>
        </w:rPr>
        <w:t>财政拨款收入：指财政当年拨付的资金，主要包括一般公共预算财政拨款，政府性基金预算财政拨款，国有资本经营预算财政拨款。</w:t>
      </w:r>
    </w:p>
    <w:p w14:paraId="29FA3B4C">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 xml:space="preserve">二、上级补助收入：指事业单位从主管部门和上级单位取得的非财政补助收入。 </w:t>
      </w:r>
    </w:p>
    <w:p w14:paraId="37E50433">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 xml:space="preserve">三、事业收入：指事业单位开展专业业务活动及辅助活动所取得的收入。 </w:t>
      </w:r>
    </w:p>
    <w:p w14:paraId="78FF73FB">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 xml:space="preserve">四、经营收入：指事业单位在专业业务活动及其辅助活动之外开展非独立核算经营活动取得的收入。 </w:t>
      </w:r>
    </w:p>
    <w:p w14:paraId="19852791">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 xml:space="preserve">五、附属单位上缴收入：指事业单位附属独立核算单位按照有关规定上缴的收入。 </w:t>
      </w:r>
    </w:p>
    <w:p w14:paraId="1D1A0124">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 xml:space="preserve">六、其他收入：指除上述“财政拨款收入”、“事业收入”、“经营收入”等以外的收入。 </w:t>
      </w:r>
    </w:p>
    <w:p w14:paraId="24D6255C">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七、基本支出：指为保障机构正常运转、完成日常工作任务而发生的各项支出，包括人员支出和公用支出。  </w:t>
      </w:r>
    </w:p>
    <w:p w14:paraId="21356D96">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八、项目支出：指在基本支出以外为完成相关行政任务和事业发展目标所发生的各项支出。  </w:t>
      </w:r>
    </w:p>
    <w:p w14:paraId="08EB150E">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九、“三公”经费：指通过财政拨款资金安排的因公出国（境）费、公务用车购置及运行费和公务接待费支出。  </w:t>
      </w:r>
    </w:p>
    <w:p w14:paraId="39DC4E55">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sz w:val="72"/>
          <w:szCs w:val="72"/>
        </w:rPr>
      </w:pPr>
      <w:r>
        <w:rPr>
          <w:rFonts w:hint="eastAsia" w:ascii="仿宋_GB2312" w:eastAsia="仿宋_GB2312" w:cs="仿宋_GB2312"/>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098116E4">
      <w:pPr>
        <w:pStyle w:val="19"/>
        <w:jc w:val="center"/>
        <w:rPr>
          <w:rFonts w:hint="eastAsia" w:ascii="方正小标宋_GBK" w:hAnsi="方正小标宋_GBK" w:eastAsia="方正小标宋_GBK" w:cs="方正小标宋_GBK"/>
          <w:sz w:val="72"/>
          <w:szCs w:val="72"/>
        </w:rPr>
      </w:pPr>
    </w:p>
    <w:p w14:paraId="61C6E197">
      <w:pPr>
        <w:pStyle w:val="19"/>
        <w:jc w:val="center"/>
        <w:rPr>
          <w:rFonts w:hint="eastAsia" w:ascii="方正小标宋_GBK" w:hAnsi="方正小标宋_GBK" w:eastAsia="方正小标宋_GBK" w:cs="方正小标宋_GBK"/>
          <w:sz w:val="72"/>
          <w:szCs w:val="72"/>
        </w:rPr>
      </w:pPr>
    </w:p>
    <w:p w14:paraId="77818D06">
      <w:pPr>
        <w:pStyle w:val="19"/>
        <w:jc w:val="center"/>
        <w:rPr>
          <w:rFonts w:hint="eastAsia" w:eastAsia="黑体"/>
          <w:sz w:val="52"/>
          <w:szCs w:val="52"/>
          <w:lang w:eastAsia="zh-CN"/>
        </w:rPr>
      </w:pPr>
      <w:r>
        <w:rPr>
          <w:rFonts w:hint="eastAsia" w:ascii="方正小标宋_GBK" w:hAnsi="方正小标宋_GBK" w:eastAsia="方正小标宋_GBK" w:cs="方正小标宋_GBK"/>
          <w:sz w:val="52"/>
          <w:szCs w:val="52"/>
        </w:rPr>
        <w:t>第</w:t>
      </w:r>
      <w:r>
        <w:rPr>
          <w:rFonts w:hint="eastAsia" w:ascii="方正小标宋_GBK" w:hAnsi="方正小标宋_GBK" w:eastAsia="方正小标宋_GBK" w:cs="方正小标宋_GBK"/>
          <w:sz w:val="52"/>
          <w:szCs w:val="52"/>
          <w:lang w:eastAsia="zh-CN"/>
        </w:rPr>
        <w:t>五</w:t>
      </w:r>
      <w:r>
        <w:rPr>
          <w:rFonts w:hint="eastAsia" w:ascii="方正小标宋_GBK" w:hAnsi="方正小标宋_GBK" w:eastAsia="方正小标宋_GBK" w:cs="方正小标宋_GBK"/>
          <w:sz w:val="52"/>
          <w:szCs w:val="52"/>
        </w:rPr>
        <w:t>部分</w:t>
      </w:r>
      <w:r>
        <w:rPr>
          <w:rFonts w:hint="eastAsia" w:ascii="方正小标宋_GBK" w:hAnsi="方正小标宋_GBK" w:eastAsia="方正小标宋_GBK" w:cs="方正小标宋_GBK"/>
          <w:sz w:val="52"/>
          <w:szCs w:val="52"/>
          <w:lang w:val="en-US" w:eastAsia="zh-CN"/>
        </w:rPr>
        <w:t xml:space="preserve">   </w:t>
      </w:r>
      <w:r>
        <w:rPr>
          <w:rFonts w:hint="eastAsia" w:ascii="方正小标宋_GBK" w:hAnsi="方正小标宋_GBK" w:eastAsia="方正小标宋_GBK" w:cs="方正小标宋_GBK"/>
          <w:sz w:val="52"/>
          <w:szCs w:val="52"/>
          <w:lang w:eastAsia="zh-CN"/>
        </w:rPr>
        <w:t>附</w:t>
      </w:r>
      <w:r>
        <w:rPr>
          <w:rFonts w:hint="eastAsia" w:ascii="方正小标宋_GBK" w:hAnsi="方正小标宋_GBK" w:eastAsia="方正小标宋_GBK" w:cs="方正小标宋_GBK"/>
          <w:sz w:val="52"/>
          <w:szCs w:val="52"/>
          <w:lang w:val="en-US" w:eastAsia="zh-CN"/>
        </w:rPr>
        <w:t xml:space="preserve"> </w:t>
      </w:r>
      <w:r>
        <w:rPr>
          <w:rFonts w:hint="eastAsia" w:ascii="方正小标宋_GBK" w:hAnsi="方正小标宋_GBK" w:eastAsia="方正小标宋_GBK" w:cs="方正小标宋_GBK"/>
          <w:sz w:val="52"/>
          <w:szCs w:val="52"/>
          <w:lang w:eastAsia="zh-CN"/>
        </w:rPr>
        <w:t>件</w:t>
      </w:r>
    </w:p>
    <w:p w14:paraId="23FDD5C3">
      <w:pPr>
        <w:rPr>
          <w:sz w:val="72"/>
          <w:szCs w:val="72"/>
        </w:rPr>
      </w:pPr>
      <w:r>
        <w:rPr>
          <w:sz w:val="72"/>
          <w:szCs w:val="72"/>
        </w:rPr>
        <w:br w:type="page"/>
      </w:r>
    </w:p>
    <w:p w14:paraId="763FB879">
      <w:pPr>
        <w:pStyle w:val="13"/>
        <w:widowControl/>
        <w:shd w:val="clear" w:color="auto" w:fill="FFFFFF"/>
        <w:spacing w:beforeAutospacing="0" w:afterAutospacing="0" w:line="640" w:lineRule="exact"/>
        <w:jc w:val="center"/>
        <w:rPr>
          <w:rFonts w:hint="eastAsia" w:ascii="黑体" w:hAnsi="黑体" w:eastAsia="黑体" w:cs="黑体"/>
          <w:b w:val="0"/>
          <w:bCs w:val="0"/>
          <w:sz w:val="48"/>
          <w:szCs w:val="48"/>
          <w:lang w:eastAsia="zh-CN"/>
        </w:rPr>
      </w:pPr>
    </w:p>
    <w:p w14:paraId="311AF4B9">
      <w:pPr>
        <w:pStyle w:val="13"/>
        <w:widowControl/>
        <w:shd w:val="clear" w:color="auto" w:fill="FFFFFF"/>
        <w:spacing w:beforeAutospacing="0" w:afterAutospacing="0" w:line="640" w:lineRule="exact"/>
        <w:jc w:val="center"/>
        <w:rPr>
          <w:rFonts w:hint="eastAsia" w:ascii="黑体" w:hAnsi="黑体" w:eastAsia="黑体" w:cs="黑体"/>
          <w:b w:val="0"/>
          <w:bCs w:val="0"/>
          <w:sz w:val="48"/>
          <w:szCs w:val="48"/>
        </w:rPr>
      </w:pPr>
      <w:r>
        <w:rPr>
          <w:rFonts w:hint="eastAsia" w:ascii="黑体" w:hAnsi="黑体" w:eastAsia="黑体" w:cs="黑体"/>
          <w:b w:val="0"/>
          <w:bCs w:val="0"/>
          <w:sz w:val="48"/>
          <w:szCs w:val="48"/>
          <w:lang w:eastAsia="zh-CN"/>
        </w:rPr>
        <w:t>2025</w:t>
      </w:r>
      <w:r>
        <w:rPr>
          <w:rFonts w:hint="eastAsia" w:ascii="黑体" w:hAnsi="黑体" w:eastAsia="黑体" w:cs="黑体"/>
          <w:b w:val="0"/>
          <w:bCs w:val="0"/>
          <w:sz w:val="48"/>
          <w:szCs w:val="48"/>
        </w:rPr>
        <w:t>年度市国资委整</w:t>
      </w:r>
      <w:r>
        <w:rPr>
          <w:rFonts w:hint="eastAsia" w:ascii="黑体" w:hAnsi="黑体" w:eastAsia="黑体" w:cs="黑体"/>
          <w:b w:val="0"/>
          <w:bCs w:val="0"/>
          <w:sz w:val="48"/>
          <w:szCs w:val="48"/>
          <w:lang w:val="en-US" w:eastAsia="zh-CN"/>
        </w:rPr>
        <w:t>体</w:t>
      </w:r>
      <w:r>
        <w:rPr>
          <w:rFonts w:hint="eastAsia" w:ascii="黑体" w:hAnsi="黑体" w:eastAsia="黑体" w:cs="黑体"/>
          <w:b w:val="0"/>
          <w:bCs w:val="0"/>
          <w:sz w:val="48"/>
          <w:szCs w:val="48"/>
        </w:rPr>
        <w:t>支出</w:t>
      </w:r>
    </w:p>
    <w:p w14:paraId="52F90251">
      <w:pPr>
        <w:pStyle w:val="13"/>
        <w:widowControl/>
        <w:shd w:val="clear" w:color="auto" w:fill="FFFFFF"/>
        <w:spacing w:beforeAutospacing="0" w:afterAutospacing="0" w:line="640" w:lineRule="exact"/>
        <w:jc w:val="center"/>
        <w:rPr>
          <w:rFonts w:hint="eastAsia" w:ascii="黑体" w:hAnsi="黑体" w:eastAsia="黑体" w:cs="黑体"/>
          <w:b/>
          <w:bCs/>
          <w:color w:val="333333"/>
          <w:sz w:val="48"/>
          <w:szCs w:val="48"/>
        </w:rPr>
      </w:pPr>
      <w:r>
        <w:rPr>
          <w:rFonts w:hint="eastAsia" w:ascii="黑体" w:hAnsi="黑体" w:eastAsia="黑体" w:cs="黑体"/>
          <w:b w:val="0"/>
          <w:bCs w:val="0"/>
          <w:sz w:val="48"/>
          <w:szCs w:val="48"/>
        </w:rPr>
        <w:t>绩效自评报告</w:t>
      </w:r>
      <w:r>
        <w:rPr>
          <w:rFonts w:hint="eastAsia" w:ascii="黑体" w:hAnsi="黑体" w:eastAsia="黑体" w:cs="黑体"/>
          <w:b/>
          <w:bCs/>
          <w:color w:val="333333"/>
          <w:sz w:val="48"/>
          <w:szCs w:val="48"/>
          <w:shd w:val="clear" w:color="auto" w:fill="FFFFFF"/>
        </w:rPr>
        <w:t> </w:t>
      </w:r>
    </w:p>
    <w:p w14:paraId="260884D7">
      <w:pPr>
        <w:spacing w:beforeLines="100" w:line="560" w:lineRule="exact"/>
        <w:ind w:firstLine="960" w:firstLineChars="200"/>
        <w:jc w:val="both"/>
        <w:rPr>
          <w:rFonts w:hint="eastAsia" w:ascii="黑体" w:hAnsi="黑体" w:eastAsia="黑体" w:cs="黑体"/>
          <w:b/>
          <w:bCs/>
          <w:color w:val="333333"/>
          <w:sz w:val="48"/>
          <w:szCs w:val="48"/>
          <w:shd w:val="clear" w:color="auto" w:fill="FFFFFF"/>
        </w:rPr>
      </w:pPr>
    </w:p>
    <w:p w14:paraId="3EFA14A3">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7EA0B695">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43F734E2">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471F51E9">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3EE2C5D4">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73E8F909">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57A9DC58">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53F4D423">
      <w:pPr>
        <w:spacing w:beforeLines="100" w:line="560" w:lineRule="exact"/>
        <w:ind w:firstLine="640" w:firstLineChars="200"/>
        <w:rPr>
          <w:rFonts w:hint="eastAsia" w:ascii="黑体" w:hAnsi="黑体" w:eastAsia="黑体" w:cs="黑体"/>
          <w:b/>
          <w:bCs/>
          <w:color w:val="333333"/>
          <w:sz w:val="32"/>
          <w:szCs w:val="32"/>
          <w:shd w:val="clear" w:color="auto" w:fill="FFFFFF"/>
        </w:rPr>
      </w:pPr>
    </w:p>
    <w:p w14:paraId="54D7CB2A">
      <w:pPr>
        <w:spacing w:beforeLines="100" w:line="560" w:lineRule="exact"/>
        <w:rPr>
          <w:rFonts w:hint="eastAsia" w:ascii="黑体" w:hAnsi="黑体" w:eastAsia="黑体" w:cs="黑体"/>
          <w:b/>
          <w:bCs/>
          <w:color w:val="333333"/>
          <w:sz w:val="32"/>
          <w:szCs w:val="32"/>
          <w:shd w:val="clear" w:color="auto" w:fill="FFFFFF"/>
        </w:rPr>
      </w:pPr>
    </w:p>
    <w:p w14:paraId="750D9F8C">
      <w:pPr>
        <w:spacing w:beforeLines="100" w:line="560" w:lineRule="exact"/>
        <w:rPr>
          <w:rFonts w:hint="eastAsia" w:ascii="黑体" w:hAnsi="黑体" w:eastAsia="黑体" w:cs="黑体"/>
          <w:b/>
          <w:bCs/>
          <w:color w:val="333333"/>
          <w:sz w:val="36"/>
          <w:szCs w:val="36"/>
          <w:u w:val="single"/>
          <w:shd w:val="clear" w:color="auto" w:fill="FFFFFF"/>
          <w:lang w:val="en-US" w:eastAsia="zh-CN"/>
        </w:rPr>
      </w:pPr>
      <w:r>
        <w:rPr>
          <w:rFonts w:hint="eastAsia" w:ascii="黑体" w:hAnsi="黑体" w:eastAsia="黑体" w:cs="黑体"/>
          <w:b/>
          <w:bCs/>
          <w:color w:val="333333"/>
          <w:sz w:val="36"/>
          <w:szCs w:val="36"/>
          <w:shd w:val="clear" w:color="auto" w:fill="FFFFFF"/>
          <w:lang w:val="en-US" w:eastAsia="zh-CN"/>
        </w:rPr>
        <w:t>单位名称：</w:t>
      </w:r>
      <w:r>
        <w:rPr>
          <w:rFonts w:hint="eastAsia" w:ascii="黑体" w:hAnsi="黑体" w:eastAsia="黑体" w:cs="黑体"/>
          <w:b/>
          <w:bCs/>
          <w:color w:val="333333"/>
          <w:sz w:val="36"/>
          <w:szCs w:val="36"/>
          <w:u w:val="single"/>
          <w:shd w:val="clear" w:color="auto" w:fill="FFFFFF"/>
          <w:lang w:val="en-US" w:eastAsia="zh-CN"/>
        </w:rPr>
        <w:t>永州市人民政府国有资产监管管理委员会</w:t>
      </w:r>
    </w:p>
    <w:p w14:paraId="578EFDF5">
      <w:pPr>
        <w:spacing w:beforeLines="100" w:line="560" w:lineRule="exact"/>
        <w:jc w:val="center"/>
        <w:rPr>
          <w:rFonts w:hint="eastAsia" w:ascii="黑体" w:hAnsi="黑体" w:eastAsia="黑体" w:cs="黑体"/>
          <w:b/>
          <w:bCs/>
          <w:color w:val="333333"/>
          <w:sz w:val="32"/>
          <w:szCs w:val="32"/>
          <w:shd w:val="clear" w:color="auto" w:fill="FFFFFF"/>
        </w:rPr>
      </w:pPr>
      <w:r>
        <w:rPr>
          <w:rFonts w:hint="eastAsia" w:ascii="黑体" w:hAnsi="黑体" w:eastAsia="黑体" w:cs="黑体"/>
          <w:b/>
          <w:bCs/>
          <w:color w:val="333333"/>
          <w:sz w:val="32"/>
          <w:szCs w:val="32"/>
          <w:shd w:val="clear" w:color="auto" w:fill="FFFFFF"/>
          <w:lang w:val="en-US" w:eastAsia="zh-CN"/>
        </w:rPr>
        <w:t>2026年9月 16日</w:t>
      </w:r>
    </w:p>
    <w:p w14:paraId="2CCDD28F">
      <w:pPr>
        <w:keepNext w:val="0"/>
        <w:keepLines w:val="0"/>
        <w:pageBreakBefore w:val="0"/>
        <w:kinsoku/>
        <w:wordWrap/>
        <w:overflowPunct/>
        <w:topLinePunct w:val="0"/>
        <w:bidi w:val="0"/>
        <w:snapToGrid/>
        <w:spacing w:line="580" w:lineRule="exact"/>
        <w:ind w:firstLine="640" w:firstLineChars="200"/>
        <w:rPr>
          <w:rFonts w:hint="eastAsia" w:ascii="仿宋_GB2312" w:hAnsi="仿宋_GB2312" w:eastAsia="仿宋_GB2312" w:cs="仿宋_GB2312"/>
          <w:b/>
          <w:bCs/>
          <w:color w:val="333333"/>
          <w:sz w:val="32"/>
          <w:szCs w:val="32"/>
          <w:shd w:val="clear" w:color="auto" w:fill="FFFFFF"/>
        </w:rPr>
      </w:pPr>
    </w:p>
    <w:p w14:paraId="09C28CAB">
      <w:pPr>
        <w:pStyle w:val="16"/>
        <w:rPr>
          <w:rFonts w:hint="eastAsia" w:ascii="仿宋_GB2312" w:hAnsi="仿宋_GB2312" w:eastAsia="仿宋_GB2312" w:cs="仿宋_GB2312"/>
          <w:b/>
          <w:bCs/>
          <w:color w:val="333333"/>
          <w:sz w:val="32"/>
          <w:szCs w:val="32"/>
          <w:shd w:val="clear" w:color="auto" w:fill="FFFFFF"/>
        </w:rPr>
      </w:pPr>
    </w:p>
    <w:p w14:paraId="2C3940BC">
      <w:pPr>
        <w:pStyle w:val="16"/>
        <w:rPr>
          <w:rFonts w:hint="eastAsia" w:ascii="仿宋_GB2312" w:hAnsi="仿宋_GB2312" w:eastAsia="仿宋_GB2312" w:cs="仿宋_GB2312"/>
          <w:b/>
          <w:bCs/>
          <w:color w:val="333333"/>
          <w:sz w:val="32"/>
          <w:szCs w:val="32"/>
          <w:shd w:val="clear" w:color="auto" w:fill="FFFFFF"/>
        </w:rPr>
      </w:pPr>
    </w:p>
    <w:p w14:paraId="15C43F66">
      <w:pPr>
        <w:keepNext w:val="0"/>
        <w:keepLines w:val="0"/>
        <w:pageBreakBefore w:val="0"/>
        <w:kinsoku/>
        <w:wordWrap/>
        <w:overflowPunct/>
        <w:topLinePunct w:val="0"/>
        <w:bidi w:val="0"/>
        <w:snapToGrid/>
        <w:spacing w:line="60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color w:val="333333"/>
          <w:sz w:val="32"/>
          <w:szCs w:val="32"/>
          <w:shd w:val="clear" w:color="auto" w:fill="FFFFFF"/>
        </w:rPr>
        <w:t>一、</w:t>
      </w:r>
      <w:r>
        <w:rPr>
          <w:rFonts w:hint="eastAsia" w:ascii="黑体" w:hAnsi="黑体" w:eastAsia="黑体" w:cs="黑体"/>
          <w:b w:val="0"/>
          <w:bCs w:val="0"/>
          <w:sz w:val="32"/>
          <w:szCs w:val="32"/>
        </w:rPr>
        <w:t>部门（单位）基本情况</w:t>
      </w:r>
    </w:p>
    <w:p w14:paraId="7FC14E31">
      <w:pPr>
        <w:keepNext w:val="0"/>
        <w:keepLines w:val="0"/>
        <w:pageBreakBefore w:val="0"/>
        <w:kinsoku/>
        <w:wordWrap/>
        <w:overflowPunct/>
        <w:topLinePunct w:val="0"/>
        <w:bidi w:val="0"/>
        <w:snapToGrid/>
        <w:spacing w:line="600" w:lineRule="exact"/>
        <w:ind w:firstLine="640"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color w:val="333333"/>
          <w:sz w:val="32"/>
          <w:szCs w:val="32"/>
          <w:lang w:eastAsia="zh-CN"/>
        </w:rPr>
        <w:t>（</w:t>
      </w:r>
      <w:r>
        <w:rPr>
          <w:rFonts w:hint="eastAsia" w:ascii="楷体_GB2312" w:hAnsi="楷体_GB2312" w:eastAsia="楷体_GB2312" w:cs="楷体_GB2312"/>
          <w:b/>
          <w:bCs/>
          <w:color w:val="333333"/>
          <w:sz w:val="32"/>
          <w:szCs w:val="32"/>
          <w:lang w:val="en-US" w:eastAsia="zh-CN"/>
        </w:rPr>
        <w:t>一）</w:t>
      </w:r>
      <w:r>
        <w:rPr>
          <w:rFonts w:hint="eastAsia" w:ascii="楷体_GB2312" w:hAnsi="楷体_GB2312" w:eastAsia="楷体_GB2312" w:cs="楷体_GB2312"/>
          <w:b/>
          <w:bCs/>
          <w:sz w:val="32"/>
          <w:szCs w:val="32"/>
        </w:rPr>
        <w:t>部门（单位）</w:t>
      </w:r>
      <w:r>
        <w:rPr>
          <w:rFonts w:hint="eastAsia" w:ascii="楷体_GB2312" w:hAnsi="楷体_GB2312" w:eastAsia="楷体_GB2312" w:cs="楷体_GB2312"/>
          <w:b/>
          <w:bCs/>
          <w:sz w:val="32"/>
          <w:szCs w:val="32"/>
          <w:lang w:val="en-US" w:eastAsia="zh-CN"/>
        </w:rPr>
        <w:t>职能职责、机构编制、人员构成等。</w:t>
      </w:r>
    </w:p>
    <w:p w14:paraId="0345611A">
      <w:pPr>
        <w:keepNext w:val="0"/>
        <w:keepLines w:val="0"/>
        <w:pageBreakBefore w:val="0"/>
        <w:widowControl w:val="0"/>
        <w:kinsoku/>
        <w:wordWrap/>
        <w:overflowPunct/>
        <w:topLinePunct w:val="0"/>
        <w:autoSpaceDE/>
        <w:autoSpaceDN/>
        <w:bidi w:val="0"/>
        <w:spacing w:line="600" w:lineRule="exact"/>
        <w:ind w:firstLine="64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1．主要职能。</w:t>
      </w:r>
    </w:p>
    <w:p w14:paraId="3559DC3F">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依照《</w:t>
      </w:r>
      <w:r>
        <w:rPr>
          <w:rFonts w:hint="eastAsia" w:ascii="仿宋_GB2312" w:hAnsi="仿宋_GB2312" w:eastAsia="仿宋_GB2312" w:cs="仿宋_GB2312"/>
          <w:sz w:val="32"/>
          <w:lang w:val="en-US" w:eastAsia="zh-CN"/>
        </w:rPr>
        <w:t>中华人民共和国</w:t>
      </w:r>
      <w:r>
        <w:rPr>
          <w:rFonts w:hint="eastAsia" w:ascii="仿宋_GB2312" w:hAnsi="仿宋_GB2312" w:eastAsia="仿宋_GB2312" w:cs="仿宋_GB2312"/>
          <w:sz w:val="32"/>
        </w:rPr>
        <w:t>公司法》、《企业国有资产监督管理暂行条例》等法律、行政法规履行出资人职责，承担监督所监管企业国有资产保值增值的责任，指导和推进市属国有企业改革和重组；推进国有企业的现代企业制度建设，完善公司治理结构；组织协调全市与中央、省属企业对接合作工作；通过法定程序，对所监管企业的负责人进行任免、考核、奖惩；负责组织所监管企业上交国有资本收益；负责企业国有资产基础管理，起草有关国有资产管理的规范性文件；根据市政府授权，代表国家对市属国有企业履行国有资产出资人职责，并进行监督管理。</w:t>
      </w:r>
    </w:p>
    <w:p w14:paraId="1783EDB6">
      <w:pPr>
        <w:keepNext w:val="0"/>
        <w:keepLines w:val="0"/>
        <w:pageBreakBefore w:val="0"/>
        <w:widowControl w:val="0"/>
        <w:numPr>
          <w:ilvl w:val="0"/>
          <w:numId w:val="2"/>
        </w:numPr>
        <w:kinsoku/>
        <w:wordWrap/>
        <w:overflowPunct/>
        <w:topLinePunct w:val="0"/>
        <w:autoSpaceDE/>
        <w:autoSpaceDN/>
        <w:bidi w:val="0"/>
        <w:spacing w:line="640" w:lineRule="exact"/>
        <w:ind w:firstLine="64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机构情况</w:t>
      </w:r>
    </w:p>
    <w:p w14:paraId="11591789">
      <w:pPr>
        <w:keepNext w:val="0"/>
        <w:keepLines w:val="0"/>
        <w:pageBreakBefore w:val="0"/>
        <w:widowControl w:val="0"/>
        <w:kinsoku/>
        <w:wordWrap/>
        <w:overflowPunct/>
        <w:topLinePunct w:val="0"/>
        <w:autoSpaceDE/>
        <w:autoSpaceDN/>
        <w:bidi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我委为正处级单位，内设办公室、</w:t>
      </w:r>
      <w:r>
        <w:rPr>
          <w:rFonts w:hint="eastAsia" w:ascii="仿宋_GB2312" w:hAnsi="仿宋_GB2312" w:eastAsia="仿宋_GB2312" w:cs="仿宋_GB2312"/>
          <w:sz w:val="32"/>
          <w:szCs w:val="32"/>
          <w:lang w:eastAsia="zh-CN"/>
        </w:rPr>
        <w:t>监督与考核科</w:t>
      </w:r>
      <w:r>
        <w:rPr>
          <w:rFonts w:hint="eastAsia" w:ascii="仿宋_GB2312" w:hAnsi="仿宋_GB2312" w:eastAsia="仿宋_GB2312" w:cs="仿宋_GB2312"/>
          <w:sz w:val="32"/>
          <w:szCs w:val="32"/>
        </w:rPr>
        <w:t>、产权管理科、规划发展和改革改制科、人事科、</w:t>
      </w:r>
      <w:r>
        <w:rPr>
          <w:rFonts w:hint="eastAsia" w:ascii="仿宋_GB2312" w:hAnsi="仿宋_GB2312" w:eastAsia="仿宋_GB2312" w:cs="仿宋_GB2312"/>
          <w:sz w:val="32"/>
          <w:szCs w:val="32"/>
          <w:lang w:eastAsia="zh-CN"/>
        </w:rPr>
        <w:t>社会责任</w:t>
      </w:r>
      <w:r>
        <w:rPr>
          <w:rFonts w:hint="eastAsia" w:ascii="仿宋_GB2312" w:hAnsi="仿宋_GB2312" w:eastAsia="仿宋_GB2312" w:cs="仿宋_GB2312"/>
          <w:sz w:val="32"/>
          <w:szCs w:val="32"/>
        </w:rPr>
        <w:t>科、</w:t>
      </w:r>
      <w:r>
        <w:rPr>
          <w:rFonts w:hint="eastAsia" w:ascii="仿宋_GB2312" w:hAnsi="仿宋_GB2312" w:eastAsia="仿宋_GB2312" w:cs="仿宋_GB2312"/>
          <w:sz w:val="32"/>
          <w:szCs w:val="32"/>
          <w:lang w:val="en-US" w:eastAsia="zh-CN"/>
        </w:rPr>
        <w:t>对外</w:t>
      </w:r>
      <w:r>
        <w:rPr>
          <w:rFonts w:hint="eastAsia" w:ascii="仿宋_GB2312" w:hAnsi="仿宋_GB2312" w:eastAsia="仿宋_GB2312" w:cs="仿宋_GB2312"/>
          <w:sz w:val="32"/>
          <w:szCs w:val="32"/>
        </w:rPr>
        <w:t>合作科、党建科8个职能科室；归口管理市国有资产运营服务中心、市医药产业发展服务中心、市铜山岭有色金属矿社区服务中心。</w:t>
      </w:r>
    </w:p>
    <w:p w14:paraId="4D1A1CF2">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szCs w:val="32"/>
          <w:highlight w:val="none"/>
        </w:rPr>
        <w:t>3.人员情况。202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年本单位年末实有人数</w:t>
      </w:r>
      <w:r>
        <w:rPr>
          <w:rFonts w:hint="eastAsia" w:ascii="仿宋_GB2312" w:hAnsi="仿宋_GB2312" w:eastAsia="仿宋_GB2312" w:cs="仿宋_GB2312"/>
          <w:color w:val="auto"/>
          <w:sz w:val="32"/>
          <w:szCs w:val="32"/>
          <w:highlight w:val="none"/>
          <w:lang w:val="en-US" w:eastAsia="zh-CN"/>
        </w:rPr>
        <w:t>27</w:t>
      </w:r>
      <w:r>
        <w:rPr>
          <w:rFonts w:hint="eastAsia" w:ascii="仿宋_GB2312" w:hAnsi="仿宋_GB2312" w:eastAsia="仿宋_GB2312" w:cs="仿宋_GB2312"/>
          <w:color w:val="auto"/>
          <w:sz w:val="32"/>
          <w:szCs w:val="32"/>
          <w:highlight w:val="none"/>
        </w:rPr>
        <w:t>人，</w:t>
      </w:r>
      <w:r>
        <w:rPr>
          <w:rFonts w:hint="eastAsia" w:ascii="仿宋_GB2312" w:hAnsi="仿宋_GB2312" w:eastAsia="仿宋_GB2312" w:cs="仿宋_GB2312"/>
          <w:color w:val="auto"/>
          <w:sz w:val="32"/>
          <w:szCs w:val="32"/>
          <w:highlight w:val="none"/>
          <w:lang w:val="en-US" w:eastAsia="zh-CN"/>
        </w:rPr>
        <w:t>与上年持平</w:t>
      </w:r>
      <w:r>
        <w:rPr>
          <w:rFonts w:hint="eastAsia" w:ascii="仿宋_GB2312" w:hAnsi="仿宋_GB2312" w:eastAsia="仿宋_GB2312" w:cs="仿宋_GB2312"/>
          <w:color w:val="auto"/>
          <w:sz w:val="32"/>
          <w:szCs w:val="32"/>
          <w:highlight w:val="none"/>
        </w:rPr>
        <w:t>。人员变化的主要原因是：一是</w:t>
      </w:r>
      <w:r>
        <w:rPr>
          <w:rFonts w:hint="eastAsia" w:ascii="仿宋_GB2312" w:hAnsi="仿宋_GB2312" w:eastAsia="仿宋_GB2312" w:cs="仿宋_GB2312"/>
          <w:color w:val="auto"/>
          <w:sz w:val="32"/>
          <w:szCs w:val="32"/>
          <w:highlight w:val="none"/>
          <w:lang w:eastAsia="zh-CN"/>
        </w:rPr>
        <w:t>本年</w:t>
      </w:r>
      <w:r>
        <w:rPr>
          <w:rFonts w:hint="eastAsia" w:ascii="仿宋_GB2312" w:hAnsi="仿宋_GB2312" w:eastAsia="仿宋_GB2312" w:cs="仿宋_GB2312"/>
          <w:sz w:val="32"/>
          <w:szCs w:val="32"/>
          <w:highlight w:val="none"/>
          <w:lang w:eastAsia="zh-CN"/>
        </w:rPr>
        <w:t>退休了</w:t>
      </w:r>
      <w:r>
        <w:rPr>
          <w:rFonts w:hint="eastAsia" w:ascii="仿宋_GB2312" w:hAnsi="仿宋_GB2312" w:eastAsia="仿宋_GB2312" w:cs="仿宋_GB2312"/>
          <w:sz w:val="32"/>
          <w:szCs w:val="32"/>
          <w:highlight w:val="none"/>
          <w:lang w:val="en-US" w:eastAsia="zh-CN"/>
        </w:rPr>
        <w:t>2名公务员</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调入一名公务员；二</w:t>
      </w:r>
      <w:r>
        <w:rPr>
          <w:rFonts w:hint="eastAsia" w:ascii="仿宋_GB2312" w:hAnsi="仿宋_GB2312" w:eastAsia="仿宋_GB2312" w:cs="仿宋_GB2312"/>
          <w:sz w:val="32"/>
          <w:szCs w:val="32"/>
        </w:rPr>
        <w:t>是委机关退休人员未列入，在社保基金决算中填</w:t>
      </w:r>
      <w:r>
        <w:rPr>
          <w:rFonts w:hint="eastAsia" w:ascii="仿宋_GB2312" w:hAnsi="仿宋_GB2312" w:eastAsia="仿宋_GB2312" w:cs="仿宋_GB2312"/>
          <w:sz w:val="32"/>
          <w:szCs w:val="32"/>
          <w:lang w:val="en-US" w:eastAsia="zh-CN"/>
        </w:rPr>
        <w:t>列</w:t>
      </w:r>
      <w:r>
        <w:rPr>
          <w:rFonts w:hint="eastAsia" w:ascii="仿宋_GB2312" w:hAnsi="仿宋_GB2312" w:eastAsia="仿宋_GB2312" w:cs="仿宋_GB2312"/>
          <w:sz w:val="32"/>
          <w:szCs w:val="32"/>
          <w:lang w:eastAsia="zh-CN"/>
        </w:rPr>
        <w:t>。</w:t>
      </w:r>
    </w:p>
    <w:p w14:paraId="3634240B">
      <w:pPr>
        <w:pStyle w:val="4"/>
        <w:keepNext w:val="0"/>
        <w:keepLines w:val="0"/>
        <w:pageBreakBefore w:val="0"/>
        <w:numPr>
          <w:ilvl w:val="0"/>
          <w:numId w:val="3"/>
        </w:numPr>
        <w:kinsoku/>
        <w:wordWrap/>
        <w:overflowPunct/>
        <w:topLinePunct w:val="0"/>
        <w:bidi w:val="0"/>
        <w:spacing w:line="600" w:lineRule="exact"/>
        <w:ind w:left="640" w:leftChars="0"/>
        <w:rPr>
          <w:rFonts w:hint="eastAsia" w:ascii="楷体" w:hAnsi="楷体" w:eastAsia="楷体" w:cs="楷体"/>
          <w:sz w:val="32"/>
          <w:szCs w:val="32"/>
          <w:lang w:val="en-US" w:eastAsia="zh-CN"/>
        </w:rPr>
      </w:pPr>
      <w:r>
        <w:rPr>
          <w:rFonts w:hint="eastAsia" w:ascii="楷体" w:hAnsi="楷体" w:eastAsia="楷体" w:cs="楷体"/>
          <w:b/>
          <w:bCs/>
          <w:sz w:val="32"/>
          <w:szCs w:val="32"/>
          <w:lang w:val="en-US" w:eastAsia="zh-CN"/>
        </w:rPr>
        <w:t>部门整体支出规模。</w:t>
      </w:r>
    </w:p>
    <w:p w14:paraId="72E4D056">
      <w:pPr>
        <w:pStyle w:val="3"/>
        <w:keepNext w:val="0"/>
        <w:keepLines w:val="0"/>
        <w:pageBreakBefore w:val="0"/>
        <w:numPr>
          <w:ilvl w:val="0"/>
          <w:numId w:val="4"/>
        </w:numPr>
        <w:kinsoku/>
        <w:wordWrap/>
        <w:overflowPunct/>
        <w:topLinePunct w:val="0"/>
        <w:bidi w:val="0"/>
        <w:spacing w:line="600" w:lineRule="exact"/>
        <w:ind w:left="840" w:leftChars="0" w:firstLine="0" w:firstLine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部门整体支出情况</w:t>
      </w:r>
    </w:p>
    <w:p w14:paraId="55C3DC0C">
      <w:pPr>
        <w:keepNext w:val="0"/>
        <w:keepLines w:val="0"/>
        <w:pageBreakBefore w:val="0"/>
        <w:widowControl w:val="0"/>
        <w:kinsoku/>
        <w:wordWrap/>
        <w:overflowPunct/>
        <w:topLinePunct w:val="0"/>
        <w:autoSpaceDE/>
        <w:autoSpaceDN/>
        <w:bidi w:val="0"/>
        <w:spacing w:line="640" w:lineRule="exact"/>
        <w:ind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，本部门实际支出</w:t>
      </w:r>
      <w:r>
        <w:rPr>
          <w:rFonts w:hint="eastAsia" w:ascii="仿宋_GB2312" w:hAnsi="仿宋_GB2312" w:eastAsia="仿宋_GB2312" w:cs="仿宋_GB2312"/>
          <w:sz w:val="32"/>
          <w:szCs w:val="32"/>
          <w:lang w:val="en-US" w:eastAsia="zh-CN"/>
        </w:rPr>
        <w:t>605.08</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val="en-US" w:eastAsia="zh-CN"/>
        </w:rPr>
        <w:t>565.88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增加39.2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增长6.93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增加了2025年在职</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工资福利</w:t>
      </w:r>
      <w:r>
        <w:rPr>
          <w:rFonts w:hint="eastAsia" w:ascii="仿宋_GB2312" w:hAnsi="仿宋_GB2312" w:eastAsia="仿宋_GB2312" w:cs="仿宋_GB2312"/>
          <w:sz w:val="32"/>
          <w:szCs w:val="32"/>
          <w:lang w:val="en-US" w:eastAsia="zh-CN"/>
        </w:rPr>
        <w:t>收入和其他往来收入</w:t>
      </w:r>
      <w:r>
        <w:rPr>
          <w:rFonts w:hint="eastAsia" w:ascii="仿宋_GB2312" w:hAnsi="仿宋_GB2312" w:eastAsia="仿宋_GB2312" w:cs="仿宋_GB2312"/>
          <w:sz w:val="32"/>
          <w:szCs w:val="32"/>
        </w:rPr>
        <w:t>。</w:t>
      </w:r>
    </w:p>
    <w:p w14:paraId="691BFCF5">
      <w:pPr>
        <w:keepNext w:val="0"/>
        <w:keepLines w:val="0"/>
        <w:pageBreakBefore w:val="0"/>
        <w:widowControl w:val="0"/>
        <w:kinsoku/>
        <w:wordWrap/>
        <w:overflowPunct/>
        <w:topLinePunct w:val="0"/>
        <w:autoSpaceDE/>
        <w:autoSpaceDN/>
        <w:bidi w:val="0"/>
        <w:spacing w:line="640" w:lineRule="exact"/>
        <w:ind w:firstLine="643"/>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其中：基本支出完成</w:t>
      </w:r>
      <w:r>
        <w:rPr>
          <w:rFonts w:hint="eastAsia" w:ascii="仿宋_GB2312" w:hAnsi="仿宋_GB2312" w:eastAsia="仿宋_GB2312" w:cs="仿宋_GB2312"/>
          <w:sz w:val="32"/>
          <w:szCs w:val="32"/>
          <w:lang w:val="en-US" w:eastAsia="zh-CN"/>
        </w:rPr>
        <w:t>545.93</w:t>
      </w:r>
      <w:r>
        <w:rPr>
          <w:rFonts w:hint="eastAsia" w:ascii="仿宋_GB2312" w:hAnsi="仿宋_GB2312" w:eastAsia="仿宋_GB2312" w:cs="仿宋_GB2312"/>
          <w:sz w:val="32"/>
          <w:szCs w:val="32"/>
        </w:rPr>
        <w:t>万元，比上年基本支出</w:t>
      </w:r>
      <w:r>
        <w:rPr>
          <w:rFonts w:hint="eastAsia" w:ascii="仿宋_GB2312" w:hAnsi="仿宋_GB2312" w:eastAsia="仿宋_GB2312" w:cs="仿宋_GB2312"/>
          <w:sz w:val="32"/>
          <w:szCs w:val="32"/>
          <w:lang w:val="en-US" w:eastAsia="zh-CN"/>
        </w:rPr>
        <w:t>552.3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减少6.37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降低1.15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变化的主要原因：</w:t>
      </w:r>
      <w:r>
        <w:rPr>
          <w:rFonts w:hint="eastAsia" w:ascii="仿宋_GB2312" w:hAnsi="仿宋_GB2312" w:eastAsia="仿宋_GB2312" w:cs="仿宋_GB2312"/>
          <w:sz w:val="32"/>
          <w:szCs w:val="32"/>
          <w:lang w:val="en-US" w:eastAsia="zh-CN"/>
        </w:rPr>
        <w:t>增加了人员工资调标、</w:t>
      </w:r>
      <w:r>
        <w:rPr>
          <w:rFonts w:hint="eastAsia" w:ascii="仿宋_GB2312" w:hAnsi="仿宋_GB2312" w:eastAsia="仿宋_GB2312" w:cs="仿宋_GB2312"/>
          <w:sz w:val="32"/>
          <w:szCs w:val="32"/>
        </w:rPr>
        <w:t>精减</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增加了</w:t>
      </w:r>
      <w:r>
        <w:rPr>
          <w:rFonts w:hint="eastAsia" w:ascii="仿宋_GB2312" w:hAnsi="仿宋_GB2312" w:eastAsia="仿宋_GB2312" w:cs="仿宋_GB2312"/>
          <w:sz w:val="32"/>
          <w:szCs w:val="32"/>
        </w:rPr>
        <w:t>人员退休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代扣代缴个人社保费</w:t>
      </w:r>
      <w:r>
        <w:rPr>
          <w:rFonts w:hint="eastAsia" w:ascii="仿宋_GB2312" w:hAnsi="仿宋_GB2312" w:eastAsia="仿宋_GB2312" w:cs="仿宋_GB2312"/>
          <w:sz w:val="32"/>
          <w:szCs w:val="32"/>
        </w:rPr>
        <w:t>等综合</w:t>
      </w:r>
      <w:r>
        <w:rPr>
          <w:rFonts w:hint="eastAsia" w:ascii="仿宋_GB2312" w:hAnsi="仿宋_GB2312" w:eastAsia="仿宋_GB2312" w:cs="仿宋_GB2312"/>
          <w:sz w:val="32"/>
          <w:szCs w:val="32"/>
          <w:lang w:eastAsia="zh-CN"/>
        </w:rPr>
        <w:t>所致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人员经费</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val="en-US" w:eastAsia="zh-CN"/>
        </w:rPr>
        <w:t>461.33</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val="en-US" w:eastAsia="zh-CN"/>
        </w:rPr>
        <w:t>485.63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减少24.3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降低5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变化的主要原因：</w:t>
      </w:r>
      <w:r>
        <w:rPr>
          <w:rFonts w:hint="eastAsia" w:ascii="仿宋_GB2312" w:hAnsi="仿宋_GB2312" w:eastAsia="仿宋_GB2312" w:cs="仿宋_GB2312"/>
          <w:sz w:val="32"/>
          <w:szCs w:val="32"/>
          <w:lang w:val="en-US" w:eastAsia="zh-CN"/>
        </w:rPr>
        <w:t>减少了一名在职人员，增加了</w:t>
      </w:r>
      <w:r>
        <w:rPr>
          <w:rFonts w:hint="eastAsia" w:ascii="仿宋_GB2312" w:hAnsi="仿宋_GB2312" w:eastAsia="仿宋_GB2312" w:cs="仿宋_GB2312"/>
          <w:sz w:val="32"/>
          <w:szCs w:val="32"/>
        </w:rPr>
        <w:t>人员退休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代缴社保费</w:t>
      </w:r>
      <w:r>
        <w:rPr>
          <w:rFonts w:hint="eastAsia" w:ascii="仿宋_GB2312" w:hAnsi="仿宋_GB2312" w:eastAsia="仿宋_GB2312" w:cs="仿宋_GB2312"/>
          <w:sz w:val="32"/>
          <w:szCs w:val="32"/>
        </w:rPr>
        <w:t>等；公用</w:t>
      </w:r>
      <w:r>
        <w:rPr>
          <w:rFonts w:hint="eastAsia" w:ascii="仿宋_GB2312" w:hAnsi="仿宋_GB2312" w:eastAsia="仿宋_GB2312" w:cs="仿宋_GB2312"/>
          <w:sz w:val="32"/>
          <w:szCs w:val="32"/>
          <w:lang w:val="zh-CN"/>
        </w:rPr>
        <w:t>经费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84.6</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val="en-US" w:eastAsia="zh-CN"/>
        </w:rPr>
        <w:t>66.67</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增加17.93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增长26.89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变化的主要原因：</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总</w:t>
      </w:r>
      <w:r>
        <w:rPr>
          <w:rFonts w:hint="eastAsia" w:ascii="仿宋_GB2312" w:hAnsi="仿宋_GB2312" w:eastAsia="仿宋_GB2312" w:cs="仿宋_GB2312"/>
          <w:sz w:val="32"/>
          <w:szCs w:val="32"/>
          <w:lang w:eastAsia="zh-CN"/>
        </w:rPr>
        <w:t>额</w:t>
      </w:r>
      <w:r>
        <w:rPr>
          <w:rFonts w:hint="eastAsia" w:ascii="仿宋_GB2312" w:hAnsi="仿宋_GB2312" w:eastAsia="仿宋_GB2312" w:cs="仿宋_GB2312"/>
          <w:sz w:val="32"/>
          <w:szCs w:val="32"/>
          <w:lang w:val="en-US" w:eastAsia="zh-CN"/>
        </w:rPr>
        <w:t>统计口径进行了调整，将“非三保”公用经费进行合并。</w:t>
      </w:r>
    </w:p>
    <w:p w14:paraId="09176CBC">
      <w:pPr>
        <w:pStyle w:val="3"/>
        <w:keepNext w:val="0"/>
        <w:keepLines w:val="0"/>
        <w:pageBreakBefore w:val="0"/>
        <w:widowControl w:val="0"/>
        <w:kinsoku/>
        <w:wordWrap/>
        <w:overflowPunct/>
        <w:topLinePunct w:val="0"/>
        <w:autoSpaceDE/>
        <w:autoSpaceDN/>
        <w:bidi w:val="0"/>
        <w:spacing w:line="64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其他项目支出59.15万元，主要用于2024年度国有企业职教幼教退休教师待遇中央补助资金51.78万元、监管企业的市管干部代缴个人社保费支出5.44万元、公务员住院补贴1.93万元等往来款。</w:t>
      </w:r>
    </w:p>
    <w:p w14:paraId="238D0BE0">
      <w:pPr>
        <w:pStyle w:val="3"/>
        <w:numPr>
          <w:ilvl w:val="0"/>
          <w:numId w:val="0"/>
        </w:num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sz w:val="32"/>
          <w:szCs w:val="32"/>
          <w:lang w:val="en-US" w:eastAsia="zh-CN"/>
        </w:rPr>
        <w:t>2、部门预算收支决算情况及三公经费支出使用情况</w:t>
      </w:r>
      <w:r>
        <w:rPr>
          <w:rFonts w:hint="eastAsia" w:ascii="仿宋_GB2312" w:hAnsi="仿宋_GB2312" w:eastAsia="仿宋_GB2312" w:cs="仿宋_GB2312"/>
          <w:lang w:val="en-US" w:eastAsia="zh-CN"/>
        </w:rPr>
        <w:t xml:space="preserve"> </w:t>
      </w:r>
    </w:p>
    <w:p w14:paraId="13316BD5">
      <w:pPr>
        <w:keepNext w:val="0"/>
        <w:keepLines w:val="0"/>
        <w:pageBreakBefore w:val="0"/>
        <w:widowControl w:val="0"/>
        <w:kinsoku/>
        <w:wordWrap/>
        <w:overflowPunct/>
        <w:topLinePunct w:val="0"/>
        <w:autoSpaceDE/>
        <w:autoSpaceDN/>
        <w:bidi w:val="0"/>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年预算收入</w:t>
      </w:r>
      <w:r>
        <w:rPr>
          <w:rFonts w:hint="eastAsia" w:ascii="仿宋_GB2312" w:hAnsi="仿宋_GB2312" w:eastAsia="仿宋_GB2312" w:cs="仿宋_GB2312"/>
          <w:sz w:val="32"/>
          <w:szCs w:val="32"/>
          <w:lang w:val="en-US" w:eastAsia="zh-CN"/>
        </w:rPr>
        <w:t>497.97</w:t>
      </w:r>
      <w:r>
        <w:rPr>
          <w:rFonts w:hint="eastAsia" w:ascii="仿宋_GB2312" w:hAnsi="仿宋_GB2312" w:eastAsia="仿宋_GB2312" w:cs="仿宋_GB2312"/>
          <w:sz w:val="32"/>
          <w:szCs w:val="32"/>
        </w:rPr>
        <w:t>万元，决算收入</w:t>
      </w:r>
      <w:r>
        <w:rPr>
          <w:rFonts w:hint="eastAsia" w:ascii="仿宋_GB2312" w:hAnsi="仿宋_GB2312" w:eastAsia="仿宋_GB2312" w:cs="仿宋_GB2312"/>
          <w:sz w:val="32"/>
          <w:szCs w:val="32"/>
          <w:lang w:val="en-US" w:eastAsia="zh-CN"/>
        </w:rPr>
        <w:t>605.08</w:t>
      </w:r>
      <w:r>
        <w:rPr>
          <w:rFonts w:hint="eastAsia" w:ascii="仿宋_GB2312" w:hAnsi="仿宋_GB2312" w:eastAsia="仿宋_GB2312" w:cs="仿宋_GB2312"/>
          <w:sz w:val="32"/>
          <w:szCs w:val="32"/>
        </w:rPr>
        <w:t>万元，决算比预算收入</w:t>
      </w:r>
      <w:r>
        <w:rPr>
          <w:rFonts w:hint="eastAsia" w:ascii="仿宋_GB2312" w:hAnsi="仿宋_GB2312" w:eastAsia="仿宋_GB2312" w:cs="仿宋_GB2312"/>
          <w:sz w:val="32"/>
          <w:szCs w:val="32"/>
          <w:lang w:val="en-US" w:eastAsia="zh-CN"/>
        </w:rPr>
        <w:t>增加107.11</w:t>
      </w:r>
      <w:r>
        <w:rPr>
          <w:rFonts w:hint="eastAsia" w:ascii="仿宋_GB2312" w:hAnsi="仿宋_GB2312" w:eastAsia="仿宋_GB2312" w:cs="仿宋_GB2312"/>
          <w:sz w:val="32"/>
          <w:szCs w:val="32"/>
        </w:rPr>
        <w:t>万元，差异率</w:t>
      </w:r>
      <w:r>
        <w:rPr>
          <w:rFonts w:hint="eastAsia" w:ascii="仿宋_GB2312" w:hAnsi="仿宋_GB2312" w:eastAsia="仿宋_GB2312" w:cs="仿宋_GB2312"/>
          <w:sz w:val="32"/>
          <w:szCs w:val="32"/>
          <w:lang w:val="en-US" w:eastAsia="zh-CN"/>
        </w:rPr>
        <w:t>21.51</w:t>
      </w:r>
      <w:r>
        <w:rPr>
          <w:rFonts w:hint="eastAsia" w:ascii="仿宋_GB2312" w:hAnsi="仿宋_GB2312" w:eastAsia="仿宋_GB2312" w:cs="仿宋_GB2312"/>
          <w:sz w:val="32"/>
          <w:szCs w:val="32"/>
        </w:rPr>
        <w:t>%。</w:t>
      </w:r>
    </w:p>
    <w:p w14:paraId="3236E146">
      <w:pPr>
        <w:keepNext w:val="0"/>
        <w:keepLines w:val="0"/>
        <w:pageBreakBefore w:val="0"/>
        <w:widowControl w:val="0"/>
        <w:kinsoku/>
        <w:wordWrap/>
        <w:overflowPunct/>
        <w:topLinePunct w:val="0"/>
        <w:autoSpaceDE/>
        <w:autoSpaceDN/>
        <w:bidi w:val="0"/>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年决算收入比预算收入</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rPr>
        <w:t>的主要原因是精减了公用经费，</w:t>
      </w:r>
      <w:r>
        <w:rPr>
          <w:rFonts w:hint="eastAsia" w:ascii="仿宋_GB2312" w:hAnsi="仿宋_GB2312" w:eastAsia="仿宋_GB2312" w:cs="仿宋_GB2312"/>
          <w:sz w:val="32"/>
          <w:szCs w:val="32"/>
          <w:lang w:val="en-US" w:eastAsia="zh-CN"/>
        </w:rPr>
        <w:t>增加了在职人员工资调标</w:t>
      </w:r>
      <w:r>
        <w:rPr>
          <w:rFonts w:hint="eastAsia" w:ascii="仿宋_GB2312" w:hAnsi="仿宋_GB2312" w:eastAsia="仿宋_GB2312" w:cs="仿宋_GB2312"/>
          <w:sz w:val="32"/>
          <w:szCs w:val="32"/>
        </w:rPr>
        <w:t>、职教、幼教人员年终生活补贴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人员退休及</w:t>
      </w:r>
      <w:r>
        <w:rPr>
          <w:rFonts w:hint="eastAsia" w:ascii="仿宋_GB2312" w:hAnsi="仿宋_GB2312" w:eastAsia="仿宋_GB2312" w:cs="仿宋_GB2312"/>
          <w:sz w:val="32"/>
          <w:szCs w:val="32"/>
          <w:lang w:val="en-US" w:eastAsia="zh-CN"/>
        </w:rPr>
        <w:t>其他往来款支出</w:t>
      </w:r>
      <w:r>
        <w:rPr>
          <w:rFonts w:hint="eastAsia" w:ascii="仿宋_GB2312" w:hAnsi="仿宋_GB2312" w:eastAsia="仿宋_GB2312" w:cs="仿宋_GB2312"/>
          <w:sz w:val="32"/>
          <w:szCs w:val="32"/>
        </w:rPr>
        <w:t>等综合</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rPr>
        <w:t>所致。按具体收入支出功能科目分类为208其他社会保障就业支出，即职教、幼教人员经费决算支出比预算</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rPr>
        <w:t>了</w:t>
      </w:r>
      <w:r>
        <w:rPr>
          <w:rFonts w:hint="eastAsia" w:ascii="仿宋_GB2312" w:hAnsi="仿宋_GB2312" w:eastAsia="仿宋_GB2312" w:cs="仿宋_GB2312"/>
          <w:sz w:val="32"/>
          <w:szCs w:val="32"/>
          <w:lang w:val="en-US" w:eastAsia="zh-CN"/>
        </w:rPr>
        <w:t>51.78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另外增加了229其他收入决算7.37万元，主要是增加了其他单位往来款的支出数据。</w:t>
      </w:r>
    </w:p>
    <w:p w14:paraId="522ED25F">
      <w:pPr>
        <w:keepNext w:val="0"/>
        <w:keepLines w:val="0"/>
        <w:pageBreakBefore w:val="0"/>
        <w:widowControl w:val="0"/>
        <w:numPr>
          <w:ilvl w:val="0"/>
          <w:numId w:val="0"/>
        </w:numPr>
        <w:kinsoku/>
        <w:wordWrap/>
        <w:overflowPunct/>
        <w:topLinePunct w:val="0"/>
        <w:bidi w:val="0"/>
        <w:spacing w:line="600" w:lineRule="exact"/>
        <w:ind w:firstLine="640" w:firstLineChars="200"/>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，“三公”经费完成</w:t>
      </w:r>
      <w:r>
        <w:rPr>
          <w:rFonts w:hint="eastAsia" w:ascii="仿宋_GB2312" w:hAnsi="仿宋_GB2312" w:eastAsia="仿宋_GB2312" w:cs="仿宋_GB2312"/>
          <w:sz w:val="32"/>
          <w:szCs w:val="32"/>
          <w:lang w:val="en-US" w:eastAsia="zh-CN"/>
        </w:rPr>
        <w:t>2455</w:t>
      </w:r>
      <w:r>
        <w:rPr>
          <w:rFonts w:hint="eastAsia" w:ascii="仿宋_GB2312" w:hAnsi="仿宋_GB2312" w:eastAsia="仿宋_GB2312" w:cs="仿宋_GB2312"/>
          <w:sz w:val="32"/>
          <w:szCs w:val="32"/>
        </w:rPr>
        <w:t>元，与上年</w:t>
      </w:r>
      <w:r>
        <w:rPr>
          <w:rFonts w:hint="eastAsia" w:ascii="仿宋_GB2312" w:hAnsi="仿宋_GB2312" w:eastAsia="仿宋_GB2312" w:cs="仿宋_GB2312"/>
          <w:sz w:val="32"/>
          <w:szCs w:val="32"/>
          <w:lang w:val="en-US" w:eastAsia="zh-CN"/>
        </w:rPr>
        <w:t>3289元相比减少834元</w:t>
      </w:r>
      <w:r>
        <w:rPr>
          <w:rFonts w:hint="eastAsia" w:ascii="仿宋_GB2312" w:hAnsi="仿宋_GB2312" w:eastAsia="仿宋_GB2312" w:cs="仿宋_GB2312"/>
          <w:sz w:val="32"/>
          <w:szCs w:val="32"/>
        </w:rPr>
        <w:t>。减</w:t>
      </w:r>
      <w:r>
        <w:rPr>
          <w:rFonts w:hint="eastAsia" w:ascii="仿宋_GB2312" w:hAnsi="仿宋_GB2312" w:eastAsia="仿宋_GB2312" w:cs="仿宋_GB2312"/>
          <w:sz w:val="32"/>
          <w:szCs w:val="32"/>
          <w:lang w:eastAsia="zh-CN"/>
        </w:rPr>
        <w:t>少</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sz w:val="32"/>
          <w:szCs w:val="32"/>
          <w:lang w:eastAsia="zh-CN"/>
        </w:rPr>
        <w:t>严格按财政“过紧日子”要求，精减了接待人员次数和人员。本年公务接待共</w:t>
      </w:r>
      <w:r>
        <w:rPr>
          <w:rFonts w:hint="eastAsia" w:ascii="仿宋_GB2312" w:hAnsi="仿宋_GB2312" w:eastAsia="仿宋_GB2312" w:cs="仿宋_GB2312"/>
          <w:sz w:val="32"/>
          <w:szCs w:val="32"/>
          <w:lang w:val="en-US" w:eastAsia="zh-CN"/>
        </w:rPr>
        <w:t>2批次，接待人员共计19人。</w:t>
      </w:r>
      <w:r>
        <w:rPr>
          <w:rFonts w:hint="eastAsia" w:ascii="仿宋_GB2312" w:hAnsi="仿宋_GB2312" w:eastAsia="仿宋_GB2312" w:cs="仿宋_GB2312"/>
          <w:sz w:val="32"/>
          <w:szCs w:val="32"/>
          <w:lang w:val="zh-CN"/>
        </w:rPr>
        <w:t>其中：</w:t>
      </w:r>
      <w:r>
        <w:rPr>
          <w:rFonts w:hint="eastAsia" w:ascii="仿宋_GB2312" w:hAnsi="仿宋_GB2312" w:eastAsia="仿宋_GB2312" w:cs="仿宋_GB2312"/>
          <w:b/>
          <w:sz w:val="32"/>
          <w:szCs w:val="32"/>
          <w:lang w:val="zh-CN"/>
        </w:rPr>
        <w:t>公务接待费</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val="en-US" w:eastAsia="zh-CN"/>
        </w:rPr>
        <w:t>2455</w:t>
      </w:r>
      <w:r>
        <w:rPr>
          <w:rFonts w:hint="eastAsia" w:ascii="仿宋_GB2312" w:hAnsi="仿宋_GB2312" w:eastAsia="仿宋_GB2312" w:cs="仿宋_GB2312"/>
          <w:sz w:val="32"/>
          <w:szCs w:val="32"/>
        </w:rPr>
        <w:t>元，与上年</w:t>
      </w:r>
      <w:r>
        <w:rPr>
          <w:rFonts w:hint="eastAsia" w:ascii="仿宋_GB2312" w:hAnsi="仿宋_GB2312" w:eastAsia="仿宋_GB2312" w:cs="仿宋_GB2312"/>
          <w:sz w:val="32"/>
          <w:szCs w:val="32"/>
          <w:lang w:val="en-US" w:eastAsia="zh-CN"/>
        </w:rPr>
        <w:t>相比减少834元，</w:t>
      </w:r>
      <w:r>
        <w:rPr>
          <w:rFonts w:hint="eastAsia" w:ascii="仿宋_GB2312" w:hAnsi="仿宋_GB2312" w:eastAsia="仿宋_GB2312" w:cs="仿宋_GB2312"/>
          <w:sz w:val="32"/>
          <w:szCs w:val="32"/>
        </w:rPr>
        <w:t>下降</w:t>
      </w:r>
      <w:r>
        <w:rPr>
          <w:rFonts w:hint="eastAsia" w:ascii="仿宋_GB2312" w:hAnsi="仿宋_GB2312" w:eastAsia="仿宋_GB2312" w:cs="仿宋_GB2312"/>
          <w:sz w:val="32"/>
          <w:szCs w:val="32"/>
          <w:lang w:val="en-US" w:eastAsia="zh-CN"/>
        </w:rPr>
        <w:t>25.36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sz w:val="32"/>
          <w:szCs w:val="32"/>
          <w:lang w:val="zh-CN"/>
        </w:rPr>
        <w:t>因公出国（境）费</w:t>
      </w:r>
      <w:r>
        <w:rPr>
          <w:rFonts w:hint="eastAsia" w:ascii="仿宋_GB2312" w:hAnsi="仿宋_GB2312" w:eastAsia="仿宋_GB2312" w:cs="仿宋_GB2312"/>
          <w:sz w:val="32"/>
          <w:szCs w:val="32"/>
        </w:rPr>
        <w:t>完成0元，</w:t>
      </w:r>
      <w:r>
        <w:rPr>
          <w:rFonts w:hint="eastAsia" w:ascii="仿宋_GB2312" w:hAnsi="仿宋_GB2312" w:eastAsia="仿宋_GB2312" w:cs="仿宋_GB2312"/>
          <w:sz w:val="32"/>
          <w:szCs w:val="32"/>
          <w:lang w:eastAsia="zh-CN"/>
        </w:rPr>
        <w:t>与上年持平；</w:t>
      </w:r>
      <w:r>
        <w:rPr>
          <w:rFonts w:hint="eastAsia" w:ascii="仿宋_GB2312" w:hAnsi="仿宋_GB2312" w:eastAsia="仿宋_GB2312" w:cs="仿宋_GB2312"/>
          <w:b/>
          <w:sz w:val="32"/>
          <w:szCs w:val="32"/>
          <w:lang w:val="zh-CN"/>
        </w:rPr>
        <w:t>公务用车购置及运行维护费</w:t>
      </w:r>
      <w:r>
        <w:rPr>
          <w:rFonts w:hint="eastAsia" w:ascii="仿宋_GB2312" w:hAnsi="仿宋_GB2312" w:eastAsia="仿宋_GB2312" w:cs="仿宋_GB2312"/>
          <w:sz w:val="32"/>
          <w:szCs w:val="32"/>
        </w:rPr>
        <w:t>完成0元，因公务用车上交市公车办统一管理，本年无公务用车支出，与上年持平。</w:t>
      </w:r>
    </w:p>
    <w:p w14:paraId="2DA433A0">
      <w:pPr>
        <w:keepNext w:val="0"/>
        <w:keepLines w:val="0"/>
        <w:pageBreakBefore w:val="0"/>
        <w:kinsoku/>
        <w:wordWrap/>
        <w:overflowPunct/>
        <w:topLinePunct w:val="0"/>
        <w:bidi w:val="0"/>
        <w:snapToGrid/>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二、</w:t>
      </w:r>
      <w:r>
        <w:rPr>
          <w:rFonts w:hint="eastAsia" w:ascii="黑体" w:hAnsi="黑体" w:eastAsia="黑体" w:cs="黑体"/>
          <w:b w:val="0"/>
          <w:bCs/>
          <w:sz w:val="32"/>
          <w:szCs w:val="32"/>
          <w:lang w:val="en-US" w:eastAsia="zh-CN"/>
        </w:rPr>
        <w:t>一般公共预算支出</w:t>
      </w:r>
      <w:r>
        <w:rPr>
          <w:rFonts w:hint="eastAsia" w:ascii="黑体" w:hAnsi="黑体" w:eastAsia="黑体" w:cs="黑体"/>
          <w:b w:val="0"/>
          <w:bCs/>
          <w:sz w:val="32"/>
          <w:szCs w:val="32"/>
        </w:rPr>
        <w:t>情况</w:t>
      </w:r>
    </w:p>
    <w:p w14:paraId="5F874C17">
      <w:pPr>
        <w:keepNext w:val="0"/>
        <w:keepLines w:val="0"/>
        <w:pageBreakBefore w:val="0"/>
        <w:kinsoku/>
        <w:wordWrap/>
        <w:overflowPunct/>
        <w:topLinePunct w:val="0"/>
        <w:bidi w:val="0"/>
        <w:snapToGrid/>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，按照市委、市政府的整体工作部署，以及年初财政预算的安排，我委加强了财务收支预算管理，严格控制经费支出，聚焦国资监管主责主业，圆满完成了工作任务。全年总支出为</w:t>
      </w:r>
      <w:r>
        <w:rPr>
          <w:rFonts w:hint="eastAsia" w:ascii="仿宋_GB2312" w:hAnsi="仿宋_GB2312" w:eastAsia="仿宋_GB2312" w:cs="仿宋_GB2312"/>
          <w:sz w:val="32"/>
          <w:szCs w:val="32"/>
          <w:lang w:val="en-US" w:eastAsia="zh-CN"/>
        </w:rPr>
        <w:t>605.08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545.93</w:t>
      </w:r>
      <w:r>
        <w:rPr>
          <w:rFonts w:hint="eastAsia" w:ascii="仿宋_GB2312" w:hAnsi="仿宋_GB2312" w:eastAsia="仿宋_GB2312" w:cs="仿宋_GB2312"/>
          <w:sz w:val="32"/>
          <w:szCs w:val="32"/>
        </w:rPr>
        <w:t>万元，专项支出</w:t>
      </w:r>
      <w:r>
        <w:rPr>
          <w:rFonts w:hint="eastAsia" w:ascii="仿宋_GB2312" w:hAnsi="仿宋_GB2312" w:eastAsia="仿宋_GB2312" w:cs="仿宋_GB2312"/>
          <w:sz w:val="32"/>
          <w:szCs w:val="32"/>
          <w:lang w:val="en-US" w:eastAsia="zh-CN"/>
        </w:rPr>
        <w:t>59.15</w:t>
      </w:r>
      <w:r>
        <w:rPr>
          <w:rFonts w:hint="eastAsia" w:ascii="仿宋_GB2312" w:hAnsi="仿宋_GB2312" w:eastAsia="仿宋_GB2312" w:cs="仿宋_GB2312"/>
          <w:sz w:val="32"/>
          <w:szCs w:val="32"/>
        </w:rPr>
        <w:t>万元。具体情况如下：</w:t>
      </w:r>
    </w:p>
    <w:p w14:paraId="32C2F712">
      <w:pPr>
        <w:keepNext w:val="0"/>
        <w:keepLines w:val="0"/>
        <w:pageBreakBefore w:val="0"/>
        <w:kinsoku/>
        <w:wordWrap/>
        <w:overflowPunct/>
        <w:topLinePunct w:val="0"/>
        <w:bidi w:val="0"/>
        <w:snapToGrid/>
        <w:spacing w:line="600" w:lineRule="exact"/>
        <w:ind w:firstLine="640"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（一）基本支出</w:t>
      </w:r>
      <w:r>
        <w:rPr>
          <w:rFonts w:hint="eastAsia" w:ascii="楷体_GB2312" w:hAnsi="楷体_GB2312" w:eastAsia="楷体_GB2312" w:cs="楷体_GB2312"/>
          <w:b/>
          <w:bCs/>
          <w:sz w:val="32"/>
          <w:szCs w:val="32"/>
          <w:lang w:val="en-US" w:eastAsia="zh-CN"/>
        </w:rPr>
        <w:t>情况</w:t>
      </w:r>
    </w:p>
    <w:p w14:paraId="7EFBA56D">
      <w:pPr>
        <w:keepNext w:val="0"/>
        <w:keepLines w:val="0"/>
        <w:pageBreakBefore w:val="0"/>
        <w:kinsoku/>
        <w:wordWrap/>
        <w:overflowPunct/>
        <w:topLinePunct w:val="0"/>
        <w:bidi w:val="0"/>
        <w:snapToGrid/>
        <w:spacing w:line="58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度基本支出</w:t>
      </w:r>
      <w:r>
        <w:rPr>
          <w:rFonts w:hint="eastAsia" w:ascii="仿宋_GB2312" w:hAnsi="仿宋_GB2312" w:eastAsia="仿宋_GB2312" w:cs="仿宋_GB2312"/>
          <w:sz w:val="32"/>
          <w:szCs w:val="32"/>
          <w:lang w:val="en-US" w:eastAsia="zh-CN"/>
        </w:rPr>
        <w:t>545.93</w:t>
      </w:r>
      <w:r>
        <w:rPr>
          <w:rFonts w:hint="eastAsia" w:ascii="仿宋_GB2312" w:hAnsi="仿宋_GB2312" w:eastAsia="仿宋_GB2312" w:cs="仿宋_GB2312"/>
          <w:sz w:val="32"/>
          <w:szCs w:val="32"/>
        </w:rPr>
        <w:t>万元，一是工资福利支出</w:t>
      </w:r>
      <w:r>
        <w:rPr>
          <w:rFonts w:hint="eastAsia" w:ascii="仿宋_GB2312" w:hAnsi="仿宋_GB2312" w:eastAsia="仿宋_GB2312" w:cs="仿宋_GB2312"/>
          <w:sz w:val="32"/>
          <w:szCs w:val="32"/>
          <w:lang w:val="en-US" w:eastAsia="zh-CN"/>
        </w:rPr>
        <w:t>434.23</w:t>
      </w:r>
      <w:r>
        <w:rPr>
          <w:rFonts w:hint="eastAsia" w:ascii="仿宋_GB2312" w:hAnsi="仿宋_GB2312" w:eastAsia="仿宋_GB2312" w:cs="仿宋_GB2312"/>
          <w:sz w:val="32"/>
          <w:szCs w:val="32"/>
        </w:rPr>
        <w:t>万元，比上年度工资福利支出</w:t>
      </w:r>
      <w:r>
        <w:rPr>
          <w:rFonts w:hint="eastAsia" w:ascii="仿宋_GB2312" w:hAnsi="仿宋_GB2312" w:eastAsia="仿宋_GB2312" w:cs="仿宋_GB2312"/>
          <w:sz w:val="32"/>
          <w:szCs w:val="32"/>
          <w:lang w:val="en-US" w:eastAsia="zh-CN"/>
        </w:rPr>
        <w:t>429.6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增加4.63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增长1.08</w:t>
      </w:r>
      <w:r>
        <w:rPr>
          <w:rFonts w:hint="eastAsia" w:ascii="仿宋_GB2312" w:hAnsi="仿宋_GB2312" w:eastAsia="仿宋_GB2312" w:cs="仿宋_GB2312"/>
          <w:sz w:val="32"/>
          <w:szCs w:val="32"/>
        </w:rPr>
        <w:t>%；二是商品服务支出</w:t>
      </w:r>
      <w:r>
        <w:rPr>
          <w:rFonts w:hint="eastAsia" w:ascii="仿宋_GB2312" w:hAnsi="仿宋_GB2312" w:eastAsia="仿宋_GB2312" w:cs="仿宋_GB2312"/>
          <w:sz w:val="32"/>
          <w:szCs w:val="32"/>
          <w:lang w:val="en-US" w:eastAsia="zh-CN"/>
        </w:rPr>
        <w:t>84.6</w:t>
      </w:r>
      <w:r>
        <w:rPr>
          <w:rFonts w:hint="eastAsia" w:ascii="仿宋_GB2312" w:hAnsi="仿宋_GB2312" w:eastAsia="仿宋_GB2312" w:cs="仿宋_GB2312"/>
          <w:sz w:val="32"/>
          <w:szCs w:val="32"/>
        </w:rPr>
        <w:t>万元，比上年度商品服务支出</w:t>
      </w:r>
      <w:r>
        <w:rPr>
          <w:rFonts w:hint="eastAsia" w:ascii="仿宋_GB2312" w:hAnsi="仿宋_GB2312" w:eastAsia="仿宋_GB2312" w:cs="仿宋_GB2312"/>
          <w:sz w:val="32"/>
          <w:szCs w:val="32"/>
          <w:lang w:val="en-US" w:eastAsia="zh-CN"/>
        </w:rPr>
        <w:t>72.11</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增加12.49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增长17.32</w:t>
      </w:r>
      <w:r>
        <w:rPr>
          <w:rFonts w:hint="eastAsia" w:ascii="仿宋_GB2312" w:hAnsi="仿宋_GB2312" w:eastAsia="仿宋_GB2312" w:cs="仿宋_GB2312"/>
          <w:sz w:val="32"/>
          <w:szCs w:val="32"/>
        </w:rPr>
        <w:t>%；三是对个人和家庭的补助支出</w:t>
      </w:r>
      <w:r>
        <w:rPr>
          <w:rFonts w:hint="eastAsia" w:ascii="仿宋_GB2312" w:hAnsi="仿宋_GB2312" w:eastAsia="仿宋_GB2312" w:cs="仿宋_GB2312"/>
          <w:sz w:val="32"/>
          <w:szCs w:val="32"/>
          <w:lang w:val="en-US" w:eastAsia="zh-CN"/>
        </w:rPr>
        <w:t>86.25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比上年度个人和家庭的补助支出</w:t>
      </w:r>
      <w:r>
        <w:rPr>
          <w:rFonts w:hint="eastAsia" w:ascii="仿宋_GB2312" w:hAnsi="仿宋_GB2312" w:eastAsia="仿宋_GB2312" w:cs="仿宋_GB2312"/>
          <w:sz w:val="32"/>
          <w:szCs w:val="32"/>
          <w:lang w:val="en-US" w:eastAsia="zh-CN"/>
        </w:rPr>
        <w:t>56.56</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增加29.69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增长52.49%</w:t>
      </w:r>
      <w:r>
        <w:rPr>
          <w:rFonts w:hint="eastAsia" w:ascii="仿宋_GB2312" w:hAnsi="仿宋_GB2312" w:eastAsia="仿宋_GB2312" w:cs="仿宋_GB2312"/>
          <w:sz w:val="32"/>
          <w:szCs w:val="32"/>
        </w:rPr>
        <w:t>。</w:t>
      </w:r>
    </w:p>
    <w:p w14:paraId="53718B75">
      <w:pPr>
        <w:keepNext w:val="0"/>
        <w:keepLines w:val="0"/>
        <w:pageBreakBefore w:val="0"/>
        <w:kinsoku/>
        <w:wordWrap/>
        <w:overflowPunct/>
        <w:topLinePunct w:val="0"/>
        <w:bidi w:val="0"/>
        <w:snapToGrid/>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“三公经费”决算支出0.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万元，本年度只有</w:t>
      </w:r>
      <w:r>
        <w:rPr>
          <w:rFonts w:hint="eastAsia" w:ascii="仿宋_GB2312" w:hAnsi="仿宋_GB2312" w:eastAsia="仿宋_GB2312" w:cs="仿宋_GB2312"/>
          <w:spacing w:val="-4"/>
          <w:sz w:val="32"/>
          <w:szCs w:val="32"/>
        </w:rPr>
        <w:t>公务接待费支出，</w:t>
      </w:r>
      <w:r>
        <w:rPr>
          <w:rFonts w:hint="eastAsia" w:ascii="仿宋_GB2312" w:hAnsi="仿宋_GB2312" w:eastAsia="仿宋_GB2312" w:cs="仿宋_GB2312"/>
          <w:spacing w:val="-4"/>
          <w:sz w:val="32"/>
          <w:szCs w:val="32"/>
          <w:lang w:val="zh-CN"/>
        </w:rPr>
        <w:t>无因公出国（境）费和公务用车运行维护费</w:t>
      </w:r>
      <w:r>
        <w:rPr>
          <w:rFonts w:hint="eastAsia" w:ascii="仿宋_GB2312" w:hAnsi="仿宋_GB2312" w:eastAsia="仿宋_GB2312" w:cs="仿宋_GB2312"/>
          <w:spacing w:val="-4"/>
          <w:sz w:val="32"/>
          <w:szCs w:val="32"/>
        </w:rPr>
        <w:t>。</w:t>
      </w:r>
    </w:p>
    <w:p w14:paraId="0F2E7EDF">
      <w:pPr>
        <w:keepNext w:val="0"/>
        <w:keepLines w:val="0"/>
        <w:pageBreakBefore w:val="0"/>
        <w:kinsoku/>
        <w:wordWrap/>
        <w:overflowPunct/>
        <w:topLinePunct w:val="0"/>
        <w:bidi w:val="0"/>
        <w:snapToGrid/>
        <w:spacing w:line="600" w:lineRule="exact"/>
        <w:ind w:firstLine="640"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（二）项</w:t>
      </w:r>
      <w:r>
        <w:rPr>
          <w:rFonts w:hint="eastAsia" w:ascii="楷体_GB2312" w:hAnsi="楷体_GB2312" w:eastAsia="楷体_GB2312" w:cs="楷体_GB2312"/>
          <w:b/>
          <w:bCs/>
          <w:sz w:val="32"/>
          <w:szCs w:val="32"/>
          <w:lang w:val="en-US" w:eastAsia="zh-CN"/>
        </w:rPr>
        <w:t>目</w:t>
      </w:r>
      <w:r>
        <w:rPr>
          <w:rFonts w:hint="eastAsia" w:ascii="楷体_GB2312" w:hAnsi="楷体_GB2312" w:eastAsia="楷体_GB2312" w:cs="楷体_GB2312"/>
          <w:b/>
          <w:bCs/>
          <w:sz w:val="32"/>
          <w:szCs w:val="32"/>
        </w:rPr>
        <w:t>支出</w:t>
      </w:r>
      <w:r>
        <w:rPr>
          <w:rFonts w:hint="eastAsia" w:ascii="楷体_GB2312" w:hAnsi="楷体_GB2312" w:eastAsia="楷体_GB2312" w:cs="楷体_GB2312"/>
          <w:b/>
          <w:bCs/>
          <w:sz w:val="32"/>
          <w:szCs w:val="32"/>
          <w:lang w:val="en-US" w:eastAsia="zh-CN"/>
        </w:rPr>
        <w:t>情况</w:t>
      </w:r>
    </w:p>
    <w:p w14:paraId="69A04D48">
      <w:pPr>
        <w:keepNext w:val="0"/>
        <w:keepLines w:val="0"/>
        <w:pageBreakBefore w:val="0"/>
        <w:kinsoku/>
        <w:wordWrap/>
        <w:overflowPunct/>
        <w:topLinePunct w:val="0"/>
        <w:bidi w:val="0"/>
        <w:snapToGrid/>
        <w:spacing w:line="58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1.专项资金安排情况分析</w:t>
      </w:r>
    </w:p>
    <w:p w14:paraId="2287AA34">
      <w:pPr>
        <w:keepNext w:val="0"/>
        <w:keepLines w:val="0"/>
        <w:pageBreakBefore w:val="0"/>
        <w:kinsoku/>
        <w:wordWrap/>
        <w:overflowPunct/>
        <w:topLinePunct w:val="0"/>
        <w:bidi w:val="0"/>
        <w:snapToGrid/>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专项资金安排</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028E833D">
      <w:pPr>
        <w:keepNext w:val="0"/>
        <w:keepLines w:val="0"/>
        <w:pageBreakBefore w:val="0"/>
        <w:kinsoku/>
        <w:wordWrap/>
        <w:overflowPunct/>
        <w:topLinePunct w:val="0"/>
        <w:bidi w:val="0"/>
        <w:snapToGrid/>
        <w:spacing w:line="58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2.专项资金实际使用情况分析</w:t>
      </w:r>
    </w:p>
    <w:p w14:paraId="38BADD76">
      <w:pPr>
        <w:keepNext w:val="0"/>
        <w:keepLines w:val="0"/>
        <w:pageBreakBefore w:val="0"/>
        <w:kinsoku/>
        <w:wordWrap/>
        <w:overflowPunct/>
        <w:topLinePunct w:val="0"/>
        <w:bidi w:val="0"/>
        <w:snapToGrid/>
        <w:spacing w:line="580" w:lineRule="exact"/>
        <w:ind w:firstLine="643"/>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专项资金</w:t>
      </w:r>
      <w:r>
        <w:rPr>
          <w:rFonts w:hint="eastAsia" w:ascii="仿宋_GB2312" w:hAnsi="仿宋_GB2312" w:eastAsia="仿宋_GB2312" w:cs="仿宋_GB2312"/>
          <w:sz w:val="32"/>
          <w:szCs w:val="32"/>
        </w:rPr>
        <w:t>支出为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bCs/>
          <w:sz w:val="32"/>
          <w:szCs w:val="32"/>
        </w:rPr>
        <w:t>。</w:t>
      </w:r>
    </w:p>
    <w:p w14:paraId="10B752C5">
      <w:pPr>
        <w:keepNext w:val="0"/>
        <w:keepLines w:val="0"/>
        <w:pageBreakBefore w:val="0"/>
        <w:kinsoku/>
        <w:wordWrap/>
        <w:overflowPunct/>
        <w:topLinePunct w:val="0"/>
        <w:bidi w:val="0"/>
        <w:snapToGrid/>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3.</w:t>
      </w:r>
      <w:r>
        <w:rPr>
          <w:rFonts w:hint="eastAsia" w:ascii="仿宋_GB2312" w:hAnsi="仿宋_GB2312" w:eastAsia="仿宋_GB2312" w:cs="仿宋_GB2312"/>
          <w:sz w:val="32"/>
          <w:szCs w:val="32"/>
          <w:lang w:val="en-US" w:eastAsia="zh-CN"/>
        </w:rPr>
        <w:t>除专项资金以外的其他项目支出情况。</w:t>
      </w:r>
    </w:p>
    <w:p w14:paraId="008105CA">
      <w:pPr>
        <w:keepNext w:val="0"/>
        <w:keepLines w:val="0"/>
        <w:pageBreakBefore w:val="0"/>
        <w:kinsoku/>
        <w:wordWrap/>
        <w:overflowPunct/>
        <w:topLinePunct w:val="0"/>
        <w:bidi w:val="0"/>
        <w:snapToGrid/>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2025年其他项目支出59.15万元，主要用于2024年度国有企业职教幼教退休教师待遇中央补助资金51.78万元、监管企业的市管干部代缴个人社保费支出5.44万元、公务员住院补贴1.93万元等往来款</w:t>
      </w:r>
      <w:r>
        <w:rPr>
          <w:rFonts w:hint="eastAsia" w:ascii="仿宋_GB2312" w:hAnsi="仿宋_GB2312" w:eastAsia="仿宋_GB2312" w:cs="仿宋_GB2312"/>
          <w:sz w:val="32"/>
          <w:szCs w:val="32"/>
        </w:rPr>
        <w:t>。</w:t>
      </w:r>
    </w:p>
    <w:p w14:paraId="31D211D6">
      <w:pPr>
        <w:keepNext w:val="0"/>
        <w:keepLines w:val="0"/>
        <w:pageBreakBefore w:val="0"/>
        <w:numPr>
          <w:ilvl w:val="0"/>
          <w:numId w:val="0"/>
        </w:numPr>
        <w:tabs>
          <w:tab w:val="left" w:pos="0"/>
        </w:tabs>
        <w:kinsoku/>
        <w:wordWrap/>
        <w:overflowPunct/>
        <w:topLinePunct w:val="0"/>
        <w:bidi w:val="0"/>
        <w:snapToGrid/>
        <w:spacing w:line="600" w:lineRule="exact"/>
        <w:ind w:left="0" w:leftChars="0" w:firstLine="640" w:firstLineChars="200"/>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三、政府性基金预算支出情况。</w:t>
      </w:r>
    </w:p>
    <w:p w14:paraId="47152C61">
      <w:pPr>
        <w:keepNext w:val="0"/>
        <w:keepLines w:val="0"/>
        <w:pageBreakBefore w:val="0"/>
        <w:numPr>
          <w:ilvl w:val="0"/>
          <w:numId w:val="0"/>
        </w:numPr>
        <w:tabs>
          <w:tab w:val="left" w:pos="0"/>
        </w:tabs>
        <w:kinsoku/>
        <w:wordWrap/>
        <w:overflowPunct/>
        <w:topLinePunct w:val="0"/>
        <w:bidi w:val="0"/>
        <w:snapToGrid/>
        <w:spacing w:line="600" w:lineRule="exact"/>
        <w:ind w:left="0" w:leftChars="0" w:firstLine="640" w:firstLineChars="200"/>
        <w:rPr>
          <w:rFonts w:hint="eastAsia" w:ascii="黑体" w:hAnsi="黑体" w:eastAsia="黑体" w:cs="黑体"/>
          <w:bCs/>
          <w:sz w:val="32"/>
          <w:szCs w:val="32"/>
          <w:lang w:val="en-US" w:eastAsia="zh-CN"/>
        </w:rPr>
      </w:pPr>
      <w:r>
        <w:rPr>
          <w:rFonts w:hint="eastAsia" w:ascii="仿宋_GB2312" w:hAnsi="仿宋_GB2312" w:eastAsia="仿宋_GB2312" w:cs="仿宋_GB2312"/>
          <w:bCs/>
          <w:sz w:val="32"/>
          <w:szCs w:val="32"/>
          <w:lang w:val="en-US" w:eastAsia="zh-CN"/>
        </w:rPr>
        <w:t>我单位无政府性基金预算支出情况</w:t>
      </w:r>
      <w:r>
        <w:rPr>
          <w:rFonts w:hint="eastAsia" w:ascii="黑体" w:hAnsi="黑体" w:eastAsia="黑体" w:cs="黑体"/>
          <w:bCs/>
          <w:sz w:val="32"/>
          <w:szCs w:val="32"/>
          <w:lang w:val="en-US" w:eastAsia="zh-CN"/>
        </w:rPr>
        <w:t>。</w:t>
      </w:r>
    </w:p>
    <w:p w14:paraId="0C42C620">
      <w:pPr>
        <w:keepNext w:val="0"/>
        <w:keepLines w:val="0"/>
        <w:pageBreakBefore w:val="0"/>
        <w:numPr>
          <w:ilvl w:val="0"/>
          <w:numId w:val="0"/>
        </w:numPr>
        <w:kinsoku/>
        <w:wordWrap/>
        <w:overflowPunct/>
        <w:topLinePunct w:val="0"/>
        <w:bidi w:val="0"/>
        <w:snapToGrid/>
        <w:spacing w:line="600" w:lineRule="exact"/>
        <w:ind w:firstLine="640" w:firstLineChars="200"/>
        <w:rPr>
          <w:rFonts w:hint="eastAsia" w:ascii="黑体" w:hAnsi="黑体" w:eastAsia="黑体" w:cs="黑体"/>
          <w:bCs/>
          <w:sz w:val="32"/>
          <w:szCs w:val="32"/>
          <w:lang w:val="en-US" w:eastAsia="zh-CN"/>
        </w:rPr>
      </w:pPr>
      <w:r>
        <w:rPr>
          <w:rFonts w:hint="eastAsia" w:ascii="黑体" w:hAnsi="黑体" w:eastAsia="黑体" w:cs="黑体"/>
          <w:bCs/>
          <w:kern w:val="2"/>
          <w:sz w:val="32"/>
          <w:szCs w:val="32"/>
          <w:lang w:val="en-US" w:eastAsia="zh-CN" w:bidi="ar-SA"/>
        </w:rPr>
        <w:t>四、</w:t>
      </w:r>
      <w:r>
        <w:rPr>
          <w:rFonts w:hint="eastAsia" w:ascii="黑体" w:hAnsi="黑体" w:eastAsia="黑体" w:cs="黑体"/>
          <w:bCs/>
          <w:sz w:val="32"/>
          <w:szCs w:val="32"/>
          <w:lang w:val="en-US" w:eastAsia="zh-CN"/>
        </w:rPr>
        <w:t>国有资本经营预算支出情况。</w:t>
      </w:r>
    </w:p>
    <w:p w14:paraId="7E5161E1">
      <w:pPr>
        <w:keepNext w:val="0"/>
        <w:keepLines w:val="0"/>
        <w:pageBreakBefore w:val="0"/>
        <w:numPr>
          <w:ilvl w:val="0"/>
          <w:numId w:val="0"/>
        </w:numPr>
        <w:kinsoku/>
        <w:wordWrap/>
        <w:overflowPunct/>
        <w:topLinePunct w:val="0"/>
        <w:bidi w:val="0"/>
        <w:snapToGrid/>
        <w:spacing w:line="600" w:lineRule="exact"/>
        <w:ind w:firstLine="640" w:firstLineChars="200"/>
        <w:rPr>
          <w:rFonts w:hint="eastAsia" w:ascii="黑体" w:hAnsi="黑体" w:eastAsia="黑体" w:cs="黑体"/>
          <w:bCs/>
          <w:sz w:val="32"/>
          <w:szCs w:val="32"/>
          <w:lang w:val="en-US" w:eastAsia="zh-CN"/>
        </w:rPr>
      </w:pPr>
      <w:r>
        <w:rPr>
          <w:rFonts w:hint="eastAsia" w:ascii="仿宋_GB2312" w:hAnsi="仿宋_GB2312" w:eastAsia="仿宋_GB2312" w:cs="仿宋_GB2312"/>
          <w:bCs/>
          <w:sz w:val="32"/>
          <w:szCs w:val="32"/>
          <w:lang w:val="en-US" w:eastAsia="zh-CN"/>
        </w:rPr>
        <w:t>我单位无国有资本经营预算支出情况</w:t>
      </w:r>
      <w:r>
        <w:rPr>
          <w:rFonts w:hint="eastAsia" w:ascii="黑体" w:hAnsi="黑体" w:eastAsia="黑体" w:cs="黑体"/>
          <w:bCs/>
          <w:sz w:val="32"/>
          <w:szCs w:val="32"/>
          <w:lang w:val="en-US" w:eastAsia="zh-CN"/>
        </w:rPr>
        <w:t>。</w:t>
      </w:r>
    </w:p>
    <w:p w14:paraId="3A191D16">
      <w:pPr>
        <w:keepNext w:val="0"/>
        <w:keepLines w:val="0"/>
        <w:pageBreakBefore w:val="0"/>
        <w:numPr>
          <w:ilvl w:val="0"/>
          <w:numId w:val="0"/>
        </w:numPr>
        <w:kinsoku/>
        <w:wordWrap/>
        <w:overflowPunct/>
        <w:topLinePunct w:val="0"/>
        <w:bidi w:val="0"/>
        <w:snapToGrid/>
        <w:spacing w:line="600" w:lineRule="exact"/>
        <w:ind w:firstLine="640" w:firstLineChars="200"/>
        <w:rPr>
          <w:rFonts w:hint="eastAsia" w:ascii="黑体" w:hAnsi="黑体" w:eastAsia="黑体" w:cs="黑体"/>
          <w:bCs/>
          <w:sz w:val="32"/>
          <w:szCs w:val="32"/>
          <w:lang w:val="en-US" w:eastAsia="zh-CN"/>
        </w:rPr>
      </w:pPr>
      <w:r>
        <w:rPr>
          <w:rFonts w:hint="eastAsia" w:ascii="黑体" w:hAnsi="黑体" w:eastAsia="黑体" w:cs="黑体"/>
          <w:bCs/>
          <w:kern w:val="2"/>
          <w:sz w:val="32"/>
          <w:szCs w:val="32"/>
          <w:lang w:val="en-US" w:eastAsia="zh-CN" w:bidi="ar-SA"/>
        </w:rPr>
        <w:t>五、</w:t>
      </w:r>
      <w:r>
        <w:rPr>
          <w:rFonts w:hint="eastAsia" w:ascii="黑体" w:hAnsi="黑体" w:eastAsia="黑体" w:cs="黑体"/>
          <w:bCs/>
          <w:sz w:val="32"/>
          <w:szCs w:val="32"/>
          <w:lang w:val="en-US" w:eastAsia="zh-CN"/>
        </w:rPr>
        <w:t>社会保险基金预算支出情况。</w:t>
      </w:r>
    </w:p>
    <w:p w14:paraId="6052CBB9">
      <w:pPr>
        <w:keepNext w:val="0"/>
        <w:keepLines w:val="0"/>
        <w:pageBreakBefore w:val="0"/>
        <w:numPr>
          <w:ilvl w:val="0"/>
          <w:numId w:val="0"/>
        </w:numPr>
        <w:kinsoku/>
        <w:wordWrap/>
        <w:overflowPunct/>
        <w:topLinePunct w:val="0"/>
        <w:bidi w:val="0"/>
        <w:snapToGrid/>
        <w:spacing w:line="600" w:lineRule="exact"/>
        <w:ind w:firstLine="640" w:firstLineChars="200"/>
        <w:rPr>
          <w:rFonts w:hint="eastAsia" w:ascii="黑体" w:hAnsi="黑体" w:eastAsia="黑体" w:cs="黑体"/>
          <w:bCs/>
          <w:sz w:val="32"/>
          <w:szCs w:val="32"/>
          <w:lang w:val="en-US" w:eastAsia="zh-CN"/>
        </w:rPr>
      </w:pPr>
      <w:r>
        <w:rPr>
          <w:rFonts w:hint="eastAsia" w:ascii="仿宋_GB2312" w:hAnsi="仿宋_GB2312" w:eastAsia="仿宋_GB2312" w:cs="仿宋_GB2312"/>
          <w:bCs/>
          <w:sz w:val="32"/>
          <w:szCs w:val="32"/>
          <w:lang w:val="en-US" w:eastAsia="zh-CN"/>
        </w:rPr>
        <w:t>我单位无社会保险基金预算支出情况</w:t>
      </w:r>
      <w:r>
        <w:rPr>
          <w:rFonts w:hint="eastAsia" w:ascii="黑体" w:hAnsi="黑体" w:eastAsia="黑体" w:cs="黑体"/>
          <w:bCs/>
          <w:sz w:val="32"/>
          <w:szCs w:val="32"/>
          <w:lang w:val="en-US" w:eastAsia="zh-CN"/>
        </w:rPr>
        <w:t>。</w:t>
      </w:r>
    </w:p>
    <w:p w14:paraId="63265498">
      <w:pPr>
        <w:keepNext w:val="0"/>
        <w:keepLines w:val="0"/>
        <w:pageBreakBefore w:val="0"/>
        <w:numPr>
          <w:ilvl w:val="0"/>
          <w:numId w:val="0"/>
        </w:numPr>
        <w:kinsoku/>
        <w:wordWrap/>
        <w:overflowPunct/>
        <w:topLinePunct w:val="0"/>
        <w:bidi w:val="0"/>
        <w:snapToGrid/>
        <w:spacing w:line="60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lang w:val="en-US" w:eastAsia="zh-CN"/>
        </w:rPr>
        <w:t>六、</w:t>
      </w:r>
      <w:r>
        <w:rPr>
          <w:rFonts w:hint="eastAsia" w:ascii="黑体" w:hAnsi="黑体" w:eastAsia="黑体" w:cs="黑体"/>
          <w:bCs/>
          <w:sz w:val="32"/>
          <w:szCs w:val="32"/>
        </w:rPr>
        <w:t>部门</w:t>
      </w:r>
      <w:r>
        <w:rPr>
          <w:rFonts w:hint="eastAsia" w:ascii="黑体" w:hAnsi="黑体" w:eastAsia="黑体" w:cs="黑体"/>
          <w:bCs/>
          <w:sz w:val="32"/>
          <w:szCs w:val="32"/>
          <w:lang w:val="en-US" w:eastAsia="zh-CN"/>
        </w:rPr>
        <w:t>整体支出绩效情况</w:t>
      </w:r>
    </w:p>
    <w:p w14:paraId="0F06DF52">
      <w:pPr>
        <w:keepNext w:val="0"/>
        <w:keepLines w:val="0"/>
        <w:pageBreakBefore w:val="0"/>
        <w:kinsoku/>
        <w:wordWrap/>
        <w:overflowPunct/>
        <w:topLinePunct w:val="0"/>
        <w:bidi w:val="0"/>
        <w:snapToGrid/>
        <w:spacing w:line="6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2025年度</w:t>
      </w:r>
      <w:r>
        <w:rPr>
          <w:rFonts w:hint="eastAsia" w:ascii="仿宋_GB2312" w:hAnsi="仿宋_GB2312" w:eastAsia="仿宋_GB2312" w:cs="仿宋_GB2312"/>
          <w:bCs/>
          <w:sz w:val="32"/>
          <w:szCs w:val="32"/>
        </w:rPr>
        <w:t>我委履职及履职效益情况良好。一是对各项支出严格按照</w:t>
      </w:r>
      <w:r>
        <w:rPr>
          <w:rFonts w:hint="eastAsia" w:ascii="仿宋_GB2312" w:hAnsi="仿宋_GB2312" w:eastAsia="仿宋_GB2312" w:cs="仿宋_GB2312"/>
          <w:bCs/>
          <w:sz w:val="32"/>
          <w:szCs w:val="32"/>
          <w:lang w:val="en-US" w:eastAsia="zh-CN"/>
        </w:rPr>
        <w:t>财政</w:t>
      </w:r>
      <w:r>
        <w:rPr>
          <w:rFonts w:hint="eastAsia" w:ascii="仿宋_GB2312" w:hAnsi="仿宋_GB2312" w:eastAsia="仿宋_GB2312" w:cs="仿宋_GB2312"/>
          <w:bCs/>
          <w:sz w:val="32"/>
          <w:szCs w:val="32"/>
        </w:rPr>
        <w:t>预算额度进行控制、努力节约</w:t>
      </w:r>
      <w:r>
        <w:rPr>
          <w:rFonts w:hint="eastAsia" w:ascii="仿宋_GB2312" w:hAnsi="仿宋_GB2312" w:eastAsia="仿宋_GB2312" w:cs="仿宋_GB2312"/>
          <w:bCs/>
          <w:sz w:val="32"/>
          <w:szCs w:val="32"/>
          <w:lang w:val="en-US" w:eastAsia="zh-CN"/>
        </w:rPr>
        <w:t>各项</w:t>
      </w:r>
      <w:r>
        <w:rPr>
          <w:rFonts w:hint="eastAsia" w:ascii="仿宋_GB2312" w:hAnsi="仿宋_GB2312" w:eastAsia="仿宋_GB2312" w:cs="仿宋_GB2312"/>
          <w:bCs/>
          <w:sz w:val="32"/>
          <w:szCs w:val="32"/>
        </w:rPr>
        <w:t>经费；二是各项工作均能够按时完成，且质量较高；三是部门整体支出使用效果达到了预期</w:t>
      </w:r>
      <w:r>
        <w:rPr>
          <w:rFonts w:hint="eastAsia" w:ascii="仿宋_GB2312" w:hAnsi="仿宋_GB2312" w:eastAsia="仿宋_GB2312" w:cs="仿宋_GB2312"/>
          <w:bCs/>
          <w:sz w:val="32"/>
          <w:szCs w:val="32"/>
          <w:lang w:val="en-US" w:eastAsia="zh-CN"/>
        </w:rPr>
        <w:t>目标</w:t>
      </w:r>
      <w:r>
        <w:rPr>
          <w:rFonts w:hint="eastAsia" w:ascii="仿宋_GB2312" w:hAnsi="仿宋_GB2312" w:eastAsia="仿宋_GB2312" w:cs="仿宋_GB2312"/>
          <w:bCs/>
          <w:sz w:val="32"/>
          <w:szCs w:val="32"/>
        </w:rPr>
        <w:t>。</w:t>
      </w:r>
    </w:p>
    <w:p w14:paraId="11BDC946">
      <w:pPr>
        <w:keepNext w:val="0"/>
        <w:keepLines w:val="0"/>
        <w:pageBreakBefore w:val="0"/>
        <w:kinsoku/>
        <w:wordWrap/>
        <w:overflowPunct/>
        <w:topLinePunct w:val="0"/>
        <w:bidi w:val="0"/>
        <w:snapToGrid/>
        <w:spacing w:line="600" w:lineRule="exact"/>
        <w:ind w:firstLine="640"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（一）绩效目标完成情况</w:t>
      </w:r>
    </w:p>
    <w:p w14:paraId="13E1DA5D">
      <w:pPr>
        <w:keepNext w:val="0"/>
        <w:keepLines w:val="0"/>
        <w:pageBreakBefore w:val="0"/>
        <w:widowControl w:val="0"/>
        <w:kinsoku/>
        <w:wordWrap/>
        <w:overflowPunct/>
        <w:topLinePunct w:val="0"/>
        <w:bidi w:val="0"/>
        <w:spacing w:line="64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2025</w:t>
      </w:r>
      <w:r>
        <w:rPr>
          <w:rFonts w:hint="eastAsia" w:ascii="仿宋_GB2312" w:hAnsi="仿宋_GB2312" w:eastAsia="仿宋_GB2312" w:cs="仿宋_GB2312"/>
          <w:color w:val="000000"/>
          <w:sz w:val="32"/>
          <w:szCs w:val="32"/>
          <w:lang w:eastAsia="zh-CN"/>
        </w:rPr>
        <w:t>年，市国资委坚持以习近平新时代中国特色社会主义思想为指导，深入学习贯彻党的二十大及二十届历次全会精神，按照市委、市政府部署要求，坚持和加强党对国有企业的全面领导，以实施国企改革深化提升行动为主线，围绕增强核心功能、提高核心竞争力，更好统筹高质量发展和高水平安全，全面规范国资监管和风险防控，大力推进国资监管大格局建设，各项工作达到了预期目标。</w:t>
      </w:r>
    </w:p>
    <w:p w14:paraId="7E0AE6B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sz w:val="32"/>
          <w:szCs w:val="32"/>
          <w:lang w:val="en-US" w:eastAsia="zh-CN"/>
        </w:rPr>
        <w:t>截至2025年12月，永州市国资委13家监管企业资产总额1370.43亿元，同比增加2.51%；负债总额720.22亿元，同比增加1.86%；营业收入21.84亿元，同比增加99.29%，完成年度目标任务165.58%；上缴税费9.59亿元，同比增加29.66%，完成年度目标任务212.73%。已完成重点项目建设投资40.3亿元</w:t>
      </w:r>
      <w:r>
        <w:rPr>
          <w:rFonts w:hint="eastAsia" w:ascii="仿宋_GB2312" w:hAnsi="仿宋_GB2312" w:eastAsia="仿宋_GB2312" w:cs="仿宋_GB2312"/>
          <w:b w:val="0"/>
          <w:bCs w:val="0"/>
          <w:color w:val="000000"/>
          <w:spacing w:val="0"/>
          <w:sz w:val="32"/>
          <w:szCs w:val="32"/>
          <w:u w:val="none"/>
          <w:lang w:val="en-US" w:eastAsia="zh-CN" w:bidi="ar-SA"/>
        </w:rPr>
        <w:t>。</w:t>
      </w:r>
    </w:p>
    <w:p w14:paraId="5B21967B">
      <w:pPr>
        <w:keepNext w:val="0"/>
        <w:keepLines w:val="0"/>
        <w:pageBreakBefore w:val="0"/>
        <w:kinsoku/>
        <w:wordWrap/>
        <w:overflowPunct/>
        <w:topLinePunct w:val="0"/>
        <w:bidi w:val="0"/>
        <w:snapToGrid/>
        <w:spacing w:line="600" w:lineRule="exact"/>
        <w:ind w:firstLine="640"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（二）本单位整体支出绩效目标实现情况</w:t>
      </w:r>
    </w:p>
    <w:p w14:paraId="7E863E78">
      <w:pPr>
        <w:pStyle w:val="19"/>
        <w:keepNext w:val="0"/>
        <w:keepLines w:val="0"/>
        <w:pageBreakBefore w:val="0"/>
        <w:widowControl w:val="0"/>
        <w:kinsoku/>
        <w:wordWrap/>
        <w:overflowPunct/>
        <w:topLinePunct w:val="0"/>
        <w:bidi w:val="0"/>
        <w:spacing w:line="640" w:lineRule="exact"/>
        <w:ind w:firstLine="640" w:firstLineChars="200"/>
        <w:jc w:val="both"/>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kern w:val="2"/>
          <w:sz w:val="32"/>
          <w:szCs w:val="32"/>
          <w:highlight w:val="none"/>
        </w:rPr>
        <w:t>202</w:t>
      </w:r>
      <w:r>
        <w:rPr>
          <w:rFonts w:hint="eastAsia" w:ascii="仿宋_GB2312" w:hAnsi="仿宋_GB2312" w:eastAsia="仿宋_GB2312" w:cs="仿宋_GB2312"/>
          <w:color w:val="auto"/>
          <w:kern w:val="2"/>
          <w:sz w:val="32"/>
          <w:szCs w:val="32"/>
          <w:highlight w:val="none"/>
          <w:lang w:val="en-US" w:eastAsia="zh-CN"/>
        </w:rPr>
        <w:t>5</w:t>
      </w:r>
      <w:r>
        <w:rPr>
          <w:rFonts w:hint="eastAsia" w:ascii="仿宋_GB2312" w:hAnsi="仿宋_GB2312" w:eastAsia="仿宋_GB2312" w:cs="仿宋_GB2312"/>
          <w:color w:val="auto"/>
          <w:kern w:val="2"/>
          <w:sz w:val="32"/>
          <w:szCs w:val="32"/>
          <w:highlight w:val="none"/>
        </w:rPr>
        <w:t>年，在市委、市政府的坚强领导下，市国资委聚焦</w:t>
      </w:r>
      <w:r>
        <w:rPr>
          <w:rFonts w:hint="eastAsia" w:ascii="仿宋_GB2312" w:hAnsi="仿宋_GB2312" w:eastAsia="仿宋_GB2312" w:cs="仿宋_GB2312"/>
          <w:color w:val="auto"/>
          <w:kern w:val="2"/>
          <w:sz w:val="32"/>
          <w:szCs w:val="32"/>
          <w:highlight w:val="none"/>
          <w:lang w:eastAsia="zh-CN"/>
        </w:rPr>
        <w:t>国资</w:t>
      </w:r>
      <w:r>
        <w:rPr>
          <w:rFonts w:hint="eastAsia" w:ascii="仿宋_GB2312" w:hAnsi="仿宋_GB2312" w:eastAsia="仿宋_GB2312" w:cs="仿宋_GB2312"/>
          <w:color w:val="auto"/>
          <w:kern w:val="2"/>
          <w:sz w:val="32"/>
          <w:szCs w:val="32"/>
          <w:highlight w:val="none"/>
        </w:rPr>
        <w:t>主责主业，</w:t>
      </w:r>
      <w:r>
        <w:rPr>
          <w:rFonts w:hint="eastAsia" w:ascii="仿宋_GB2312" w:hAnsi="仿宋_GB2312" w:eastAsia="仿宋_GB2312" w:cs="仿宋_GB2312"/>
          <w:color w:val="auto"/>
          <w:sz w:val="32"/>
          <w:szCs w:val="32"/>
          <w:lang w:bidi="ar-SA"/>
        </w:rPr>
        <w:t>坚持以习近平新时代中国特色社会主义思想为指导，</w:t>
      </w:r>
      <w:r>
        <w:rPr>
          <w:rFonts w:hint="eastAsia" w:ascii="仿宋_GB2312" w:hAnsi="仿宋_GB2312" w:eastAsia="仿宋_GB2312" w:cs="仿宋_GB2312"/>
          <w:color w:val="auto"/>
          <w:sz w:val="32"/>
          <w:szCs w:val="32"/>
          <w:lang w:eastAsia="zh-CN" w:bidi="ar-SA"/>
        </w:rPr>
        <w:t>深入学习</w:t>
      </w:r>
      <w:r>
        <w:rPr>
          <w:rFonts w:hint="eastAsia" w:ascii="仿宋_GB2312" w:hAnsi="仿宋_GB2312" w:eastAsia="仿宋_GB2312" w:cs="仿宋_GB2312"/>
          <w:color w:val="auto"/>
          <w:sz w:val="32"/>
          <w:szCs w:val="32"/>
          <w:lang w:bidi="ar-SA"/>
        </w:rPr>
        <w:t>贯彻党的</w:t>
      </w:r>
      <w:r>
        <w:rPr>
          <w:rFonts w:hint="eastAsia" w:ascii="仿宋_GB2312" w:hAnsi="仿宋_GB2312" w:eastAsia="仿宋_GB2312" w:cs="仿宋_GB2312"/>
          <w:color w:val="auto"/>
          <w:sz w:val="32"/>
          <w:szCs w:val="32"/>
          <w:lang w:val="en-US" w:eastAsia="zh-CN" w:bidi="ar-SA"/>
        </w:rPr>
        <w:t>二十大、</w:t>
      </w:r>
      <w:r>
        <w:rPr>
          <w:rFonts w:hint="eastAsia" w:ascii="仿宋_GB2312" w:eastAsia="仿宋_GB2312"/>
          <w:sz w:val="32"/>
          <w:szCs w:val="32"/>
          <w:lang w:val="en-US" w:eastAsia="zh-CN"/>
        </w:rPr>
        <w:t>二十届历次全会</w:t>
      </w:r>
      <w:r>
        <w:rPr>
          <w:rFonts w:hint="eastAsia" w:ascii="仿宋_GB2312" w:hAnsi="仿宋_GB2312" w:eastAsia="仿宋_GB2312" w:cs="仿宋_GB2312"/>
          <w:color w:val="auto"/>
          <w:sz w:val="32"/>
          <w:szCs w:val="32"/>
          <w:lang w:bidi="ar-SA"/>
        </w:rPr>
        <w:t>精神，坚决落实</w:t>
      </w:r>
      <w:r>
        <w:rPr>
          <w:rFonts w:hint="eastAsia" w:ascii="仿宋_GB2312" w:hAnsi="仿宋_GB2312" w:eastAsia="仿宋_GB2312" w:cs="仿宋_GB2312"/>
          <w:color w:val="auto"/>
          <w:sz w:val="32"/>
          <w:szCs w:val="32"/>
          <w:lang w:eastAsia="zh-CN" w:bidi="ar-SA"/>
        </w:rPr>
        <w:t>省委、省政府</w:t>
      </w:r>
      <w:r>
        <w:rPr>
          <w:rFonts w:hint="eastAsia" w:ascii="仿宋_GB2312" w:hAnsi="仿宋_GB2312" w:eastAsia="仿宋_GB2312" w:cs="仿宋_GB2312"/>
          <w:color w:val="auto"/>
          <w:sz w:val="32"/>
          <w:szCs w:val="32"/>
          <w:lang w:bidi="ar-SA"/>
        </w:rPr>
        <w:t>和</w:t>
      </w:r>
      <w:r>
        <w:rPr>
          <w:rFonts w:hint="eastAsia" w:ascii="仿宋_GB2312" w:hAnsi="仿宋_GB2312" w:eastAsia="仿宋_GB2312" w:cs="仿宋_GB2312"/>
          <w:color w:val="auto"/>
          <w:sz w:val="32"/>
          <w:szCs w:val="32"/>
          <w:lang w:eastAsia="zh-CN" w:bidi="ar-SA"/>
        </w:rPr>
        <w:t>市</w:t>
      </w:r>
      <w:r>
        <w:rPr>
          <w:rFonts w:hint="eastAsia" w:ascii="仿宋_GB2312" w:hAnsi="仿宋_GB2312" w:eastAsia="仿宋_GB2312" w:cs="仿宋_GB2312"/>
          <w:color w:val="auto"/>
          <w:sz w:val="32"/>
          <w:szCs w:val="32"/>
          <w:lang w:bidi="ar-SA"/>
        </w:rPr>
        <w:t>委</w:t>
      </w:r>
      <w:r>
        <w:rPr>
          <w:rFonts w:hint="eastAsia" w:ascii="仿宋_GB2312" w:hAnsi="仿宋_GB2312" w:eastAsia="仿宋_GB2312" w:cs="仿宋_GB2312"/>
          <w:color w:val="auto"/>
          <w:sz w:val="32"/>
          <w:szCs w:val="32"/>
          <w:lang w:eastAsia="zh-CN" w:bidi="ar-SA"/>
        </w:rPr>
        <w:t>、市政府</w:t>
      </w:r>
      <w:r>
        <w:rPr>
          <w:rFonts w:hint="eastAsia" w:ascii="仿宋_GB2312" w:hAnsi="仿宋_GB2312" w:eastAsia="仿宋_GB2312" w:cs="仿宋_GB2312"/>
          <w:color w:val="auto"/>
          <w:sz w:val="32"/>
          <w:szCs w:val="32"/>
          <w:lang w:bidi="ar-SA"/>
        </w:rPr>
        <w:t>各项决策部署，坚持以高质量发展统揽全局，全力推动全</w:t>
      </w:r>
      <w:r>
        <w:rPr>
          <w:rFonts w:hint="eastAsia" w:ascii="仿宋_GB2312" w:hAnsi="仿宋_GB2312" w:eastAsia="仿宋_GB2312" w:cs="仿宋_GB2312"/>
          <w:color w:val="auto"/>
          <w:sz w:val="32"/>
          <w:szCs w:val="32"/>
          <w:lang w:eastAsia="zh-CN" w:bidi="ar-SA"/>
        </w:rPr>
        <w:t>市</w:t>
      </w:r>
      <w:r>
        <w:rPr>
          <w:rFonts w:hint="eastAsia" w:ascii="仿宋_GB2312" w:hAnsi="仿宋_GB2312" w:eastAsia="仿宋_GB2312" w:cs="仿宋_GB2312"/>
          <w:color w:val="auto"/>
          <w:sz w:val="32"/>
          <w:szCs w:val="32"/>
          <w:lang w:bidi="ar-SA"/>
        </w:rPr>
        <w:t>国资国企改革发展和党的建设各项工作，为</w:t>
      </w:r>
      <w:r>
        <w:rPr>
          <w:rFonts w:hint="eastAsia" w:ascii="仿宋_GB2312" w:hAnsi="仿宋_GB2312" w:eastAsia="仿宋_GB2312" w:cs="仿宋_GB2312"/>
          <w:color w:val="auto"/>
          <w:sz w:val="32"/>
          <w:szCs w:val="32"/>
          <w:lang w:eastAsia="zh-CN" w:bidi="ar-SA"/>
        </w:rPr>
        <w:t>全市企业</w:t>
      </w:r>
      <w:r>
        <w:rPr>
          <w:rFonts w:hint="eastAsia" w:ascii="仿宋_GB2312" w:hAnsi="仿宋_GB2312" w:eastAsia="仿宋_GB2312" w:cs="仿宋_GB2312"/>
          <w:color w:val="auto"/>
          <w:sz w:val="32"/>
          <w:szCs w:val="32"/>
          <w:lang w:bidi="ar-SA"/>
        </w:rPr>
        <w:t>国有资产保值增值奠定坚实的基础。</w:t>
      </w:r>
    </w:p>
    <w:p w14:paraId="42D55C6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bidi="ar-SA"/>
        </w:rPr>
      </w:pPr>
      <w:r>
        <w:rPr>
          <w:rFonts w:hint="eastAsia" w:ascii="仿宋_GB2312" w:hAnsi="仿宋_GB2312" w:eastAsia="仿宋_GB2312" w:cs="仿宋_GB2312"/>
          <w:b/>
          <w:bCs/>
          <w:color w:val="auto"/>
          <w:sz w:val="32"/>
          <w:szCs w:val="32"/>
          <w:highlight w:val="none"/>
          <w:lang w:val="en-US" w:eastAsia="zh-CN" w:bidi="ar-SA"/>
        </w:rPr>
        <w:t>一是</w:t>
      </w:r>
      <w:r>
        <w:rPr>
          <w:rFonts w:hint="eastAsia" w:ascii="仿宋_GB2312" w:hAnsi="仿宋_GB2312" w:eastAsia="仿宋_GB2312" w:cs="仿宋_GB2312"/>
          <w:b/>
          <w:bCs/>
          <w:color w:val="000000"/>
          <w:sz w:val="32"/>
          <w:szCs w:val="32"/>
          <w:u w:val="none"/>
          <w:lang w:val="en-US" w:eastAsia="zh-CN" w:bidi="ar-SA"/>
        </w:rPr>
        <w:t>积极提升监管效能</w:t>
      </w:r>
      <w:r>
        <w:rPr>
          <w:rFonts w:hint="eastAsia" w:ascii="仿宋_GB2312" w:hAnsi="仿宋_GB2312" w:eastAsia="仿宋_GB2312" w:cs="仿宋_GB2312"/>
          <w:b/>
          <w:bCs/>
          <w:color w:val="auto"/>
          <w:sz w:val="32"/>
          <w:szCs w:val="32"/>
          <w:highlight w:val="none"/>
          <w:lang w:val="en-US" w:eastAsia="zh-CN" w:bidi="ar-SA"/>
        </w:rPr>
        <w:t>。</w:t>
      </w:r>
      <w:r>
        <w:rPr>
          <w:rFonts w:hint="eastAsia" w:ascii="楷体_GB2312" w:hAnsi="楷体_GB2312" w:eastAsia="楷体_GB2312" w:cs="楷体_GB2312"/>
          <w:b w:val="0"/>
          <w:bCs w:val="0"/>
          <w:color w:val="auto"/>
          <w:sz w:val="32"/>
          <w:szCs w:val="32"/>
          <w:lang w:val="en-US" w:eastAsia="zh-CN" w:bidi="ar-SA"/>
        </w:rPr>
        <w:t>强化企业负责人综合绩效考核。</w:t>
      </w:r>
      <w:r>
        <w:rPr>
          <w:rFonts w:hint="eastAsia" w:ascii="仿宋_GB2312" w:hAnsi="仿宋_GB2312" w:eastAsia="仿宋_GB2312" w:cs="仿宋_GB2312"/>
          <w:b w:val="0"/>
          <w:bCs w:val="0"/>
          <w:color w:val="auto"/>
          <w:sz w:val="32"/>
          <w:szCs w:val="32"/>
          <w:u w:val="none"/>
          <w:lang w:val="en-US" w:eastAsia="zh-CN" w:bidi="ar-SA"/>
        </w:rPr>
        <w:t>完善《永州市国资委监管企业负责人综合绩效考核办法》《永州市国资委监管企业负责人薪酬管理办法》，起草《永州市国资委监管企业负责人2025年综合绩效考核实施方案》，重点考核企业减亏及成本控制等指标并与企业负责人薪酬挂钩，凸显考核激励鞭策作用。</w:t>
      </w:r>
      <w:r>
        <w:rPr>
          <w:rFonts w:hint="eastAsia" w:ascii="楷体_GB2312" w:hAnsi="楷体_GB2312" w:eastAsia="楷体_GB2312" w:cs="楷体_GB2312"/>
          <w:b w:val="0"/>
          <w:bCs w:val="0"/>
          <w:color w:val="auto"/>
          <w:sz w:val="32"/>
          <w:szCs w:val="32"/>
          <w:lang w:val="en-US" w:eastAsia="zh-CN" w:bidi="ar-SA"/>
        </w:rPr>
        <w:t>积极推进国有资本经营预算管理工作。</w:t>
      </w:r>
      <w:r>
        <w:rPr>
          <w:rFonts w:hint="eastAsia" w:ascii="仿宋_GB2312" w:hAnsi="仿宋_GB2312" w:eastAsia="仿宋_GB2312" w:cs="仿宋_GB2312"/>
          <w:b w:val="0"/>
          <w:bCs w:val="0"/>
          <w:color w:val="auto"/>
          <w:sz w:val="32"/>
          <w:szCs w:val="32"/>
          <w:u w:val="none"/>
          <w:lang w:val="en-US" w:eastAsia="zh-CN" w:bidi="ar-SA"/>
        </w:rPr>
        <w:t>配合市财政局修改完善《永州市市本级国有资本经营预算管理办法》，明确市本级国有独资企业上交年度净利润比例，本年度组织监管企业上缴收入5.6亿元。</w:t>
      </w:r>
      <w:r>
        <w:rPr>
          <w:rFonts w:hint="eastAsia" w:ascii="楷体_GB2312" w:hAnsi="楷体_GB2312" w:eastAsia="楷体_GB2312" w:cs="楷体_GB2312"/>
          <w:b w:val="0"/>
          <w:bCs w:val="0"/>
          <w:color w:val="auto"/>
          <w:sz w:val="32"/>
          <w:szCs w:val="32"/>
          <w:lang w:val="en-US" w:eastAsia="zh-CN" w:bidi="ar-SA"/>
        </w:rPr>
        <w:t>指导企业积极投身市场化运营。</w:t>
      </w:r>
      <w:r>
        <w:rPr>
          <w:rFonts w:hint="eastAsia" w:ascii="仿宋_GB2312" w:hAnsi="仿宋_GB2312" w:eastAsia="仿宋_GB2312" w:cs="仿宋_GB2312"/>
          <w:b w:val="0"/>
          <w:bCs w:val="0"/>
          <w:color w:val="auto"/>
          <w:sz w:val="32"/>
          <w:szCs w:val="32"/>
          <w:u w:val="none"/>
          <w:lang w:val="en-US" w:eastAsia="zh-CN" w:bidi="ar-SA"/>
        </w:rPr>
        <w:t>市属平台公司市场化转型发展稳步推进，为企业注入新的“造血功能”，其中，城发集团组建低空经济运营有限公司，并成功取得中国民用航空局运营合格证与无人机人才培训资质，编制完成《永州市低空经济发展有限公司发展规划（2025-2030 年）》，建成宋家洲公园滑翔伞基地及低空微场景服务平台，全面构筑永州低空经济“一基地、一联盟、三中心、一产业园”发展新格局；经发集团保安服务公司以武装守押为核心，构建自助设备运维、现金清分、尾箱寄库、金库托管“四位一体”金融外包体系，实现经营规模与服务质量双提升，逐步建成区域领先的专业安保集团。</w:t>
      </w:r>
      <w:r>
        <w:rPr>
          <w:rFonts w:hint="eastAsia" w:ascii="楷体_GB2312" w:hAnsi="楷体_GB2312" w:eastAsia="楷体_GB2312" w:cs="楷体_GB2312"/>
          <w:b w:val="0"/>
          <w:bCs w:val="0"/>
          <w:color w:val="auto"/>
          <w:sz w:val="32"/>
          <w:szCs w:val="32"/>
          <w:lang w:val="en-US" w:eastAsia="zh-CN" w:bidi="ar-SA"/>
        </w:rPr>
        <w:t>想方设法增强企业发展活力，</w:t>
      </w:r>
      <w:r>
        <w:rPr>
          <w:rFonts w:hint="eastAsia" w:ascii="仿宋_GB2312" w:hAnsi="仿宋_GB2312" w:eastAsia="仿宋_GB2312" w:cs="仿宋_GB2312"/>
          <w:b w:val="0"/>
          <w:bCs w:val="0"/>
          <w:color w:val="auto"/>
          <w:sz w:val="32"/>
          <w:szCs w:val="32"/>
          <w:u w:val="none"/>
          <w:lang w:val="en-US" w:eastAsia="zh-CN" w:bidi="ar-SA"/>
        </w:rPr>
        <w:t>市城发集团商品房、车位销售收入2.1亿元，停车收费1136.7万元。经发集团积极布局新能源产业，实现经营性收入7638.6万元。港发集团完成贸易总额22.25亿元，其中鸡蛋、粮油等大宗产品保供13.02亿元，配送6.56亿，进出口贸易2.63亿元，实现外贸业务零突破。国投公司转贷基金滚动投放量为8.5亿元，实现转贷业务收入250万元，服务小微企业数量182余家。</w:t>
      </w:r>
      <w:r>
        <w:rPr>
          <w:rFonts w:hint="eastAsia" w:ascii="楷体_GB2312" w:hAnsi="楷体_GB2312" w:eastAsia="楷体_GB2312" w:cs="楷体_GB2312"/>
          <w:b w:val="0"/>
          <w:bCs w:val="0"/>
          <w:color w:val="auto"/>
          <w:sz w:val="32"/>
          <w:szCs w:val="32"/>
          <w:lang w:val="en-US" w:eastAsia="zh-CN" w:bidi="ar-SA"/>
        </w:rPr>
        <w:t>常态化开展“送解忧”服务。</w:t>
      </w:r>
      <w:r>
        <w:rPr>
          <w:rFonts w:hint="eastAsia" w:ascii="仿宋_GB2312" w:hAnsi="仿宋_GB2312" w:eastAsia="仿宋_GB2312" w:cs="仿宋_GB2312"/>
          <w:b w:val="0"/>
          <w:bCs w:val="0"/>
          <w:color w:val="auto"/>
          <w:sz w:val="32"/>
          <w:szCs w:val="32"/>
          <w:u w:val="none"/>
          <w:lang w:val="en-US" w:eastAsia="zh-CN" w:bidi="ar-SA"/>
        </w:rPr>
        <w:t>积极推进中储粮迁建，多次组织召开中储粮永州直属库整体搬迁工作协调会，会同相关部门起草整体搬迁（二期）征收补偿方案；协调完成长丰集团生活后勤服务剩余资产划转工作，有效解决资产划转遗留问题。</w:t>
      </w:r>
      <w:r>
        <w:rPr>
          <w:rFonts w:hint="eastAsia" w:ascii="楷体_GB2312" w:hAnsi="楷体_GB2312" w:eastAsia="楷体_GB2312" w:cs="楷体_GB2312"/>
          <w:b w:val="0"/>
          <w:bCs w:val="0"/>
          <w:color w:val="auto"/>
          <w:sz w:val="32"/>
          <w:szCs w:val="32"/>
          <w:lang w:val="en-US" w:eastAsia="zh-CN" w:bidi="ar-SA"/>
        </w:rPr>
        <w:t>持续推进国企“三资”清查处置与管理改革工作。</w:t>
      </w:r>
      <w:r>
        <w:rPr>
          <w:rFonts w:hint="eastAsia" w:ascii="仿宋_GB2312" w:hAnsi="仿宋_GB2312" w:eastAsia="仿宋_GB2312" w:cs="仿宋_GB2312"/>
          <w:b w:val="0"/>
          <w:bCs w:val="0"/>
          <w:color w:val="auto"/>
          <w:sz w:val="32"/>
          <w:szCs w:val="32"/>
          <w:u w:val="none"/>
          <w:lang w:val="en-US" w:eastAsia="zh-CN" w:bidi="ar-SA"/>
        </w:rPr>
        <w:t>在前期工作基础上，对监管企业闲置房屋、土地及其其他资产资源再次摸底，形成工作台账，积极推进工作落实，监管企业通过“用、售、租、融”四种方式盘活资产57项，取得收益9.42亿元，</w:t>
      </w:r>
      <w:r>
        <w:rPr>
          <w:rFonts w:hint="eastAsia" w:ascii="仿宋_GB2312" w:hAnsi="仿宋_GB2312" w:eastAsia="仿宋_GB2312" w:cs="仿宋_GB2312"/>
          <w:sz w:val="32"/>
          <w:szCs w:val="32"/>
          <w:lang w:val="en-US" w:eastAsia="zh-CN"/>
        </w:rPr>
        <w:t>完成年度目标任务174.4%；</w:t>
      </w:r>
      <w:r>
        <w:rPr>
          <w:rFonts w:hint="eastAsia" w:ascii="仿宋_GB2312" w:hAnsi="仿宋_GB2312" w:eastAsia="仿宋_GB2312" w:cs="仿宋_GB2312"/>
          <w:b w:val="0"/>
          <w:bCs w:val="0"/>
          <w:color w:val="auto"/>
          <w:sz w:val="32"/>
          <w:szCs w:val="32"/>
          <w:u w:val="none"/>
          <w:lang w:val="en-US" w:eastAsia="zh-CN" w:bidi="ar-SA"/>
        </w:rPr>
        <w:t>利用房屋、土地、车辆抵押融资2.5亿元。</w:t>
      </w:r>
      <w:r>
        <w:rPr>
          <w:rFonts w:hint="eastAsia" w:ascii="楷体_GB2312" w:hAnsi="楷体_GB2312" w:eastAsia="楷体_GB2312" w:cs="楷体_GB2312"/>
          <w:b w:val="0"/>
          <w:bCs w:val="0"/>
          <w:color w:val="auto"/>
          <w:sz w:val="32"/>
          <w:szCs w:val="32"/>
          <w:lang w:val="en-US" w:eastAsia="zh-CN" w:bidi="ar-SA"/>
        </w:rPr>
        <w:t>牵头做好平台公司专项审计整改工作。</w:t>
      </w:r>
      <w:r>
        <w:rPr>
          <w:rFonts w:hint="eastAsia" w:ascii="仿宋_GB2312" w:hAnsi="仿宋_GB2312" w:eastAsia="仿宋_GB2312" w:cs="仿宋_GB2312"/>
          <w:b w:val="0"/>
          <w:bCs w:val="0"/>
          <w:color w:val="auto"/>
          <w:sz w:val="32"/>
          <w:szCs w:val="32"/>
          <w:u w:val="none"/>
          <w:lang w:val="en-US" w:eastAsia="zh-CN" w:bidi="ar-SA"/>
        </w:rPr>
        <w:t>对照问题清单逐个问题明确责任领导、责任科室并制定具体整改措施，形成任务清单》，定期调度相关部门及企业抓好整改落实。目前，专项审计反映的13个问题中立行立改的问题有2个，已完成整改；分阶段整改的问题4个，持续整改的问题7个，均按计划正在进行整改。</w:t>
      </w:r>
    </w:p>
    <w:p w14:paraId="54A8FF35">
      <w:pPr>
        <w:pStyle w:val="4"/>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sz w:val="32"/>
          <w:szCs w:val="32"/>
          <w:u w:val="none"/>
          <w:lang w:val="en-US" w:eastAsia="zh-CN" w:bidi="ar-SA"/>
        </w:rPr>
        <w:t>二是防范化解重大风险。</w:t>
      </w:r>
      <w:r>
        <w:rPr>
          <w:rFonts w:hint="eastAsia" w:ascii="楷体_GB2312" w:hAnsi="楷体_GB2312" w:eastAsia="楷体_GB2312" w:cs="楷体_GB2312"/>
          <w:b w:val="0"/>
          <w:bCs w:val="0"/>
          <w:color w:val="auto"/>
          <w:sz w:val="32"/>
          <w:szCs w:val="32"/>
          <w:lang w:val="en-US" w:eastAsia="zh-CN" w:bidi="ar-SA"/>
        </w:rPr>
        <w:t>积极防范化解债务风险。</w:t>
      </w:r>
      <w:r>
        <w:rPr>
          <w:rFonts w:hint="eastAsia" w:ascii="仿宋_GB2312" w:hAnsi="仿宋_GB2312" w:eastAsia="仿宋_GB2312" w:cs="仿宋_GB2312"/>
          <w:b w:val="0"/>
          <w:bCs/>
          <w:color w:val="auto"/>
          <w:spacing w:val="0"/>
          <w:sz w:val="32"/>
          <w:szCs w:val="32"/>
        </w:rPr>
        <w:t>督促指导</w:t>
      </w:r>
      <w:r>
        <w:rPr>
          <w:rFonts w:hint="eastAsia" w:ascii="仿宋_GB2312" w:hAnsi="仿宋_GB2312" w:eastAsia="仿宋_GB2312" w:cs="仿宋_GB2312"/>
          <w:b w:val="0"/>
          <w:bCs/>
          <w:color w:val="auto"/>
          <w:spacing w:val="0"/>
          <w:sz w:val="32"/>
          <w:szCs w:val="32"/>
          <w:lang w:val="en-US" w:eastAsia="zh-CN"/>
        </w:rPr>
        <w:t>监管</w:t>
      </w:r>
      <w:r>
        <w:rPr>
          <w:rFonts w:hint="eastAsia" w:ascii="仿宋_GB2312" w:hAnsi="仿宋_GB2312" w:eastAsia="仿宋_GB2312" w:cs="仿宋_GB2312"/>
          <w:b w:val="0"/>
          <w:bCs/>
          <w:color w:val="auto"/>
          <w:spacing w:val="0"/>
          <w:sz w:val="32"/>
          <w:szCs w:val="32"/>
        </w:rPr>
        <w:t>企业加大</w:t>
      </w:r>
      <w:r>
        <w:rPr>
          <w:rFonts w:hint="eastAsia" w:ascii="仿宋_GB2312" w:hAnsi="仿宋_GB2312" w:eastAsia="仿宋_GB2312" w:cs="仿宋_GB2312"/>
          <w:b w:val="0"/>
          <w:bCs/>
          <w:color w:val="auto"/>
          <w:spacing w:val="0"/>
          <w:sz w:val="32"/>
          <w:szCs w:val="32"/>
          <w:lang w:val="en-US" w:eastAsia="zh-CN"/>
        </w:rPr>
        <w:t>连环债</w:t>
      </w:r>
      <w:r>
        <w:rPr>
          <w:rFonts w:hint="eastAsia" w:ascii="仿宋_GB2312" w:hAnsi="仿宋_GB2312" w:eastAsia="仿宋_GB2312" w:cs="仿宋_GB2312"/>
          <w:b w:val="0"/>
          <w:bCs/>
          <w:color w:val="auto"/>
          <w:spacing w:val="0"/>
          <w:sz w:val="32"/>
          <w:szCs w:val="32"/>
        </w:rPr>
        <w:t>清偿力度，已清偿债务188笔，金额共计24.1亿元，完成进度106%，完成情况市直部门排名第一。每季度会同市债管办调度平台公司压降工作情况上报省工作专班，并先后3次赴县市区督导平台公司压降工作，已完成压降平台公司20家（含2024年超额完成2家）。</w:t>
      </w:r>
      <w:r>
        <w:rPr>
          <w:rFonts w:hint="eastAsia" w:ascii="楷体_GB2312" w:hAnsi="楷体_GB2312" w:eastAsia="楷体_GB2312" w:cs="楷体_GB2312"/>
          <w:b w:val="0"/>
          <w:bCs w:val="0"/>
          <w:color w:val="auto"/>
          <w:sz w:val="32"/>
          <w:szCs w:val="32"/>
          <w:lang w:val="en-US" w:eastAsia="zh-CN" w:bidi="ar-SA"/>
        </w:rPr>
        <w:t>严格审查监管企业年度融资计划。</w:t>
      </w:r>
      <w:r>
        <w:rPr>
          <w:rFonts w:hint="eastAsia" w:ascii="仿宋_GB2312" w:hAnsi="仿宋_GB2312" w:eastAsia="仿宋_GB2312" w:cs="仿宋_GB2312"/>
          <w:b w:val="0"/>
          <w:bCs w:val="0"/>
          <w:sz w:val="32"/>
          <w:szCs w:val="32"/>
          <w:lang w:val="en-US" w:eastAsia="zh-CN"/>
        </w:rPr>
        <w:t>严格执行《永州市国资委监管企业投资融资监督管理办法（试行）》，指导监管企业制定2025年度融资计划并完成审核，要求监管企业新增融资综合成本不超过4.0%。本年度，监管企业完成直接融资17.5亿元，综合成本3.02%。</w:t>
      </w:r>
      <w:r>
        <w:rPr>
          <w:rFonts w:hint="eastAsia" w:ascii="楷体_GB2312" w:hAnsi="楷体_GB2312" w:eastAsia="楷体_GB2312" w:cs="楷体_GB2312"/>
          <w:b w:val="0"/>
          <w:bCs w:val="0"/>
          <w:color w:val="auto"/>
          <w:sz w:val="32"/>
          <w:szCs w:val="32"/>
          <w:lang w:val="en-US" w:eastAsia="zh-CN" w:bidi="ar-SA"/>
        </w:rPr>
        <w:t>持续做好监管企业财务分析和监测工作。</w:t>
      </w:r>
      <w:r>
        <w:rPr>
          <w:rFonts w:hint="eastAsia" w:ascii="仿宋_GB2312" w:hAnsi="仿宋_GB2312" w:eastAsia="仿宋_GB2312" w:cs="仿宋_GB2312"/>
          <w:sz w:val="32"/>
          <w:szCs w:val="32"/>
          <w:lang w:val="en-US" w:eastAsia="zh-CN"/>
        </w:rPr>
        <w:t>组织开展监管企业2024年财务收支管理及内部控制、内部审计相关制度执行情况专项监督检查，重点检查市城发集团、市经发集团、市港发集团、永汽总公司4家监管企业融资、大额资金使用情况、重大项目投资、建设管理及效益情况，交办问题65个。每月定期调度监管企业财务状况按时向省国资委报送财务快报，并统计汇总监管企业经济运营数据及财务报表形成国资动态信息，实时掌握企业运行动</w:t>
      </w:r>
      <w:r>
        <w:rPr>
          <w:rFonts w:hint="eastAsia" w:ascii="仿宋_GB2312" w:hAnsi="仿宋_GB2312" w:eastAsia="仿宋_GB2312" w:cs="仿宋_GB2312"/>
          <w:b w:val="0"/>
          <w:bCs w:val="0"/>
          <w:sz w:val="32"/>
          <w:szCs w:val="32"/>
          <w:lang w:val="en-US" w:eastAsia="zh-CN"/>
        </w:rPr>
        <w:t>态</w:t>
      </w:r>
      <w:r>
        <w:rPr>
          <w:rFonts w:hint="eastAsia" w:ascii="仿宋_GB2312" w:hAnsi="仿宋_GB2312" w:eastAsia="仿宋_GB2312" w:cs="仿宋_GB2312"/>
          <w:sz w:val="32"/>
          <w:szCs w:val="32"/>
          <w:lang w:val="en-US" w:eastAsia="zh-CN"/>
        </w:rPr>
        <w:t>，目前已编制10期国资动态。</w:t>
      </w:r>
    </w:p>
    <w:p w14:paraId="6210C58D">
      <w:pPr>
        <w:keepNext w:val="0"/>
        <w:keepLines w:val="0"/>
        <w:pageBreakBefore w:val="0"/>
        <w:kinsoku/>
        <w:wordWrap/>
        <w:overflowPunct/>
        <w:topLinePunct w:val="0"/>
        <w:bidi w:val="0"/>
        <w:snapToGrid/>
        <w:spacing w:line="600" w:lineRule="exact"/>
        <w:ind w:firstLine="640" w:firstLineChars="200"/>
        <w:rPr>
          <w:rFonts w:hint="eastAsia" w:ascii="仿宋_GB2312" w:hAnsi="仿宋_GB2312" w:eastAsia="仿宋_GB2312" w:cs="仿宋_GB2312"/>
          <w:b w:val="0"/>
          <w:bCs w:val="0"/>
          <w:color w:val="000000"/>
          <w:spacing w:val="0"/>
          <w:sz w:val="32"/>
          <w:szCs w:val="32"/>
          <w:u w:val="none"/>
          <w:lang w:val="en-US" w:eastAsia="zh-CN" w:bidi="ar-SA"/>
        </w:rPr>
      </w:pPr>
      <w:r>
        <w:rPr>
          <w:rFonts w:hint="eastAsia" w:ascii="仿宋_GB2312" w:eastAsia="仿宋_GB2312" w:cs="仿宋_GB2312"/>
          <w:b/>
          <w:bCs/>
          <w:sz w:val="32"/>
          <w:szCs w:val="32"/>
          <w:highlight w:val="none"/>
          <w:lang w:val="en-US" w:eastAsia="zh-CN"/>
        </w:rPr>
        <w:t>三</w:t>
      </w:r>
      <w:r>
        <w:rPr>
          <w:rFonts w:hint="eastAsia" w:ascii="仿宋_GB2312" w:hAnsi="Times New Roman" w:eastAsia="仿宋_GB2312" w:cs="仿宋_GB2312"/>
          <w:b/>
          <w:bCs/>
          <w:sz w:val="32"/>
          <w:szCs w:val="32"/>
          <w:highlight w:val="none"/>
          <w:lang w:val="en-US" w:eastAsia="zh-CN"/>
        </w:rPr>
        <w:t>是</w:t>
      </w:r>
      <w:r>
        <w:rPr>
          <w:rFonts w:hint="eastAsia" w:ascii="仿宋_GB2312" w:hAnsi="仿宋_GB2312" w:eastAsia="仿宋_GB2312" w:cs="仿宋_GB2312"/>
          <w:b/>
          <w:bCs/>
          <w:color w:val="000000"/>
          <w:spacing w:val="8"/>
          <w:kern w:val="2"/>
          <w:sz w:val="32"/>
          <w:szCs w:val="32"/>
          <w:u w:val="none"/>
          <w:lang w:val="en-US" w:eastAsia="zh-CN"/>
        </w:rPr>
        <w:t>持续加强党的领导</w:t>
      </w:r>
      <w:r>
        <w:rPr>
          <w:rFonts w:hint="eastAsia" w:ascii="仿宋_GB2312" w:hAnsi="Times New Roman" w:eastAsia="仿宋_GB2312" w:cs="仿宋_GB2312"/>
          <w:b/>
          <w:bCs/>
          <w:sz w:val="32"/>
          <w:szCs w:val="32"/>
          <w:highlight w:val="none"/>
          <w:lang w:val="en-US" w:eastAsia="zh-CN"/>
        </w:rPr>
        <w:t>。</w:t>
      </w:r>
      <w:r>
        <w:rPr>
          <w:rFonts w:hint="eastAsia" w:ascii="楷体_GB2312" w:hAnsi="楷体_GB2312" w:eastAsia="楷体_GB2312" w:cs="楷体_GB2312"/>
          <w:b w:val="0"/>
          <w:bCs w:val="0"/>
          <w:color w:val="auto"/>
          <w:sz w:val="32"/>
          <w:szCs w:val="32"/>
          <w:lang w:val="en-US" w:eastAsia="zh-CN" w:bidi="ar-SA"/>
        </w:rPr>
        <w:t>强化理论学习</w:t>
      </w:r>
      <w:r>
        <w:rPr>
          <w:rFonts w:hint="eastAsia" w:ascii="楷体_GB2312" w:hAnsi="楷体_GB2312" w:eastAsia="楷体_GB2312" w:cs="楷体_GB2312"/>
          <w:b w:val="0"/>
          <w:bCs w:val="0"/>
          <w:color w:val="auto"/>
          <w:sz w:val="32"/>
          <w:szCs w:val="32"/>
          <w:lang w:val="en-GB" w:eastAsia="zh-CN" w:bidi="ar-SA"/>
        </w:rPr>
        <w:t>抓好凝心聚魂工作。</w:t>
      </w:r>
      <w:r>
        <w:rPr>
          <w:rFonts w:hint="eastAsia" w:ascii="仿宋_GB2312" w:eastAsia="仿宋_GB2312" w:cs="宋体"/>
          <w:color w:val="auto"/>
          <w:kern w:val="0"/>
          <w:sz w:val="32"/>
          <w:szCs w:val="32"/>
          <w:lang w:val="en-US" w:eastAsia="zh-CN" w:bidi="ar-SA"/>
        </w:rPr>
        <w:t>组织召开</w:t>
      </w:r>
      <w:r>
        <w:rPr>
          <w:rFonts w:hint="eastAsia" w:ascii="仿宋_GB2312" w:hAnsi="仿宋_GB2312" w:eastAsia="仿宋_GB2312" w:cs="仿宋_GB2312"/>
          <w:b w:val="0"/>
          <w:bCs w:val="0"/>
          <w:color w:val="auto"/>
          <w:sz w:val="32"/>
          <w:szCs w:val="32"/>
          <w:highlight w:val="none"/>
          <w:lang w:val="en-US" w:eastAsia="zh-CN" w:bidi="ar-SA"/>
        </w:rPr>
        <w:t>全市国资委系统党风廉政建设暨反腐败工作会、党组织书记述职评议会、入党积极分子和发展对象培训等一系列会议、培训</w:t>
      </w:r>
      <w:r>
        <w:rPr>
          <w:rFonts w:hint="eastAsia" w:ascii="仿宋_GB2312" w:eastAsia="仿宋_GB2312" w:cs="宋体"/>
          <w:color w:val="auto"/>
          <w:kern w:val="0"/>
          <w:sz w:val="32"/>
          <w:szCs w:val="32"/>
          <w:lang w:val="en-US" w:eastAsia="zh-CN" w:bidi="ar-SA"/>
        </w:rPr>
        <w:t>，</w:t>
      </w:r>
      <w:r>
        <w:rPr>
          <w:rFonts w:eastAsia="仿宋_GB2312" w:cs="楷体"/>
          <w:bCs/>
          <w:sz w:val="32"/>
          <w:szCs w:val="32"/>
          <w:highlight w:val="none"/>
          <w:lang w:val="en-GB"/>
        </w:rPr>
        <w:t>认真贯彻落实</w:t>
      </w:r>
      <w:r>
        <w:rPr>
          <w:rFonts w:hint="eastAsia" w:eastAsia="仿宋_GB2312" w:cs="楷体"/>
          <w:bCs/>
          <w:sz w:val="32"/>
          <w:szCs w:val="32"/>
          <w:highlight w:val="none"/>
          <w:lang w:val="en-US" w:eastAsia="zh-CN"/>
        </w:rPr>
        <w:t>习近平新时代中国特色社会主义思想和党的二十大、二十届四中全会精神</w:t>
      </w:r>
      <w:r>
        <w:rPr>
          <w:rFonts w:hint="eastAsia" w:eastAsia="仿宋_GB2312" w:cs="楷体"/>
          <w:bCs/>
          <w:sz w:val="32"/>
          <w:szCs w:val="32"/>
          <w:highlight w:val="none"/>
          <w:lang w:val="en-GB" w:eastAsia="zh-CN"/>
        </w:rPr>
        <w:t>，</w:t>
      </w:r>
      <w:r>
        <w:rPr>
          <w:rFonts w:hint="eastAsia" w:ascii="仿宋_GB2312" w:eastAsia="仿宋_GB2312" w:cs="宋体"/>
          <w:color w:val="auto"/>
          <w:kern w:val="0"/>
          <w:sz w:val="32"/>
          <w:szCs w:val="32"/>
          <w:lang w:val="en-US" w:eastAsia="zh-CN" w:bidi="ar-SA"/>
        </w:rPr>
        <w:t>指导国资系统党员干部进一步深刻领悟“两个确立”的决定性意义，增强“四个意识”、坚定“四个自信”、做到“两个维护”</w:t>
      </w:r>
      <w:r>
        <w:rPr>
          <w:rFonts w:eastAsia="仿宋_GB2312" w:cs="楷体"/>
          <w:bCs/>
          <w:sz w:val="32"/>
          <w:szCs w:val="32"/>
          <w:highlight w:val="none"/>
          <w:lang w:val="en-GB"/>
        </w:rPr>
        <w:t>。</w:t>
      </w:r>
      <w:r>
        <w:rPr>
          <w:rFonts w:hint="eastAsia" w:ascii="仿宋_GB2312" w:hAnsi="仿宋_GB2312" w:eastAsia="仿宋_GB2312" w:cs="仿宋_GB2312"/>
          <w:bCs/>
          <w:sz w:val="32"/>
          <w:szCs w:val="32"/>
          <w:highlight w:val="none"/>
          <w:lang w:val="en-GB"/>
        </w:rPr>
        <w:t>组织市属监管企业开展“弘理强企，典亮时代”创新理论宣讲活动，落实“一支部一宣讲员”，同步录制了宣讲微视频，并向省国资委推送2个微视频，推荐选手获优秀展演奖。</w:t>
      </w:r>
      <w:r>
        <w:rPr>
          <w:rFonts w:hint="eastAsia" w:ascii="楷体_GB2312" w:hAnsi="楷体_GB2312" w:eastAsia="楷体_GB2312" w:cs="楷体_GB2312"/>
          <w:b w:val="0"/>
          <w:bCs w:val="0"/>
          <w:color w:val="auto"/>
          <w:sz w:val="32"/>
          <w:szCs w:val="32"/>
          <w:lang w:val="en-US" w:eastAsia="zh-CN" w:bidi="ar-SA"/>
        </w:rPr>
        <w:t>开展深入贯彻中央八项规定精神学习教育。</w:t>
      </w:r>
      <w:r>
        <w:rPr>
          <w:rFonts w:hint="eastAsia" w:ascii="仿宋_GB2312" w:hAnsi="仿宋_GB2312" w:eastAsia="仿宋_GB2312" w:cs="仿宋_GB2312"/>
          <w:bCs/>
          <w:sz w:val="32"/>
          <w:szCs w:val="32"/>
          <w:highlight w:val="none"/>
          <w:lang w:val="en-US" w:eastAsia="zh-CN"/>
        </w:rPr>
        <w:t>第一时间</w:t>
      </w:r>
      <w:r>
        <w:rPr>
          <w:rFonts w:hint="eastAsia" w:ascii="仿宋_GB2312" w:hAnsi="仿宋_GB2312" w:eastAsia="仿宋_GB2312" w:cs="仿宋_GB2312"/>
          <w:bCs/>
          <w:sz w:val="32"/>
          <w:szCs w:val="32"/>
          <w:highlight w:val="none"/>
          <w:lang w:val="en-GB"/>
        </w:rPr>
        <w:t>对学习教育工作进行安排部署</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US" w:eastAsia="zh-CN"/>
        </w:rPr>
        <w:t>5</w:t>
      </w:r>
      <w:r>
        <w:rPr>
          <w:rFonts w:hint="eastAsia" w:ascii="仿宋_GB2312" w:hAnsi="仿宋_GB2312" w:eastAsia="仿宋_GB2312" w:cs="仿宋_GB2312"/>
          <w:bCs/>
          <w:sz w:val="32"/>
          <w:szCs w:val="32"/>
          <w:highlight w:val="none"/>
          <w:lang w:val="en-GB"/>
        </w:rPr>
        <w:t>次组织深入贯彻中央八项规定精神学习教育读书班，学习《习近平关于加强党的作风建设论述摘编》、中央八项规定及其实施细则精神</w:t>
      </w:r>
      <w:r>
        <w:rPr>
          <w:rFonts w:hint="eastAsia" w:ascii="仿宋_GB2312" w:hAnsi="仿宋_GB2312" w:eastAsia="仿宋_GB2312" w:cs="仿宋_GB2312"/>
          <w:bCs/>
          <w:sz w:val="32"/>
          <w:szCs w:val="32"/>
          <w:highlight w:val="none"/>
          <w:lang w:val="en-US" w:eastAsia="zh-CN"/>
        </w:rPr>
        <w:t>等学习内容</w:t>
      </w:r>
      <w:r>
        <w:rPr>
          <w:rFonts w:hint="eastAsia" w:ascii="仿宋_GB2312" w:hAnsi="仿宋_GB2312" w:eastAsia="仿宋_GB2312" w:cs="仿宋_GB2312"/>
          <w:bCs/>
          <w:sz w:val="32"/>
          <w:szCs w:val="32"/>
          <w:highlight w:val="none"/>
          <w:lang w:val="en-GB"/>
        </w:rPr>
        <w:t>，结合国资国企工作实际开展专题研讨，并</w:t>
      </w:r>
      <w:r>
        <w:rPr>
          <w:rFonts w:hint="eastAsia" w:ascii="仿宋_GB2312" w:hAnsi="仿宋_GB2312" w:eastAsia="仿宋_GB2312" w:cs="仿宋_GB2312"/>
          <w:bCs/>
          <w:sz w:val="32"/>
          <w:szCs w:val="32"/>
          <w:highlight w:val="none"/>
          <w:lang w:val="en-US" w:eastAsia="zh-CN"/>
        </w:rPr>
        <w:t>深入</w:t>
      </w:r>
      <w:r>
        <w:rPr>
          <w:rFonts w:hint="eastAsia" w:ascii="仿宋_GB2312" w:hAnsi="仿宋_GB2312" w:eastAsia="仿宋_GB2312" w:cs="仿宋_GB2312"/>
          <w:bCs/>
          <w:sz w:val="32"/>
          <w:szCs w:val="32"/>
          <w:highlight w:val="none"/>
          <w:lang w:val="en-GB"/>
        </w:rPr>
        <w:t>查摆问题清单</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GB"/>
        </w:rPr>
        <w:t>组织开展中央八项规定精神学习教育警示教育会，传达学习《关于集中整治违规吃喝的通知》</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GB"/>
        </w:rPr>
        <w:t>通报党员干部违规吃喝严重违反中央八项规定精神典型案例，要求党员干部深刻汲取教训，举一反三，引以为戒</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GB"/>
        </w:rPr>
        <w:t>组织机关全体干部职工、监管企业和改制企业联合支部主要负责同志签订《自觉抵制违规吃喝承诺书》</w:t>
      </w:r>
      <w:r>
        <w:rPr>
          <w:rFonts w:hint="eastAsia" w:ascii="仿宋_GB2312" w:hAnsi="仿宋_GB2312" w:eastAsia="仿宋_GB2312" w:cs="仿宋_GB2312"/>
          <w:bCs/>
          <w:sz w:val="32"/>
          <w:szCs w:val="32"/>
          <w:highlight w:val="none"/>
          <w:lang w:val="en-GB" w:eastAsia="zh-CN"/>
        </w:rPr>
        <w:t>；</w:t>
      </w:r>
      <w:r>
        <w:rPr>
          <w:rFonts w:hint="eastAsia" w:ascii="仿宋_GB2312" w:hAnsi="仿宋_GB2312" w:eastAsia="仿宋_GB2312" w:cs="仿宋_GB2312"/>
          <w:bCs/>
          <w:sz w:val="32"/>
          <w:szCs w:val="32"/>
          <w:highlight w:val="none"/>
          <w:lang w:val="en-US" w:eastAsia="zh-CN"/>
        </w:rPr>
        <w:t>指导完善国资系统12个党组织的学习计划，审核6个党支部班子及班子成员问题清单，交办问题30余个，完善制度32项。</w:t>
      </w:r>
      <w:r>
        <w:rPr>
          <w:rFonts w:hint="eastAsia" w:ascii="楷体_GB2312" w:hAnsi="楷体_GB2312" w:eastAsia="楷体_GB2312" w:cs="楷体_GB2312"/>
          <w:b w:val="0"/>
          <w:bCs w:val="0"/>
          <w:color w:val="auto"/>
          <w:sz w:val="32"/>
          <w:szCs w:val="32"/>
          <w:lang w:val="en-US" w:eastAsia="zh-CN" w:bidi="ar-SA"/>
        </w:rPr>
        <w:t>坚持严的基调推动清廉国企建设。</w:t>
      </w:r>
      <w:r>
        <w:rPr>
          <w:rFonts w:hint="eastAsia" w:ascii="仿宋_GB2312" w:eastAsia="仿宋_GB2312" w:cs="仿宋"/>
          <w:sz w:val="32"/>
          <w:szCs w:val="32"/>
          <w:highlight w:val="none"/>
          <w:lang w:val="en-US" w:eastAsia="zh-CN"/>
        </w:rPr>
        <w:t>持续推动清廉国企建设，下发《市国资系统2025年度落实全面从严治党主体责任工作任务清单》，指导监管企业修改完善《全面从严治党主体责任清单》《领导班子成员从严治党责任清单》；</w:t>
      </w:r>
      <w:r>
        <w:rPr>
          <w:rFonts w:hint="eastAsia" w:ascii="仿宋_GB2312" w:hAnsi="仿宋_GB2312" w:eastAsia="仿宋_GB2312" w:cs="仿宋_GB2312"/>
          <w:b w:val="0"/>
          <w:bCs w:val="0"/>
          <w:color w:val="000000"/>
          <w:spacing w:val="-4"/>
          <w:kern w:val="2"/>
          <w:sz w:val="32"/>
          <w:szCs w:val="32"/>
          <w:highlight w:val="none"/>
          <w:lang w:val="en-US" w:eastAsia="zh-CN" w:bidi="ar-SA"/>
        </w:rPr>
        <w:t>会同</w:t>
      </w:r>
      <w:r>
        <w:rPr>
          <w:rFonts w:hint="eastAsia" w:ascii="仿宋_GB2312" w:hAnsi="Inherit" w:eastAsia="仿宋_GB2312"/>
          <w:b w:val="0"/>
          <w:bCs w:val="0"/>
          <w:color w:val="000000"/>
          <w:sz w:val="32"/>
          <w:szCs w:val="32"/>
          <w:lang w:eastAsia="zh-CN"/>
        </w:rPr>
        <w:t>市纪委监委驻市工信局纪检监察组</w:t>
      </w:r>
      <w:r>
        <w:rPr>
          <w:rFonts w:hint="eastAsia" w:ascii="仿宋_GB2312" w:hAnsi="Inherit" w:eastAsia="仿宋_GB2312"/>
          <w:b w:val="0"/>
          <w:bCs w:val="0"/>
          <w:color w:val="000000"/>
          <w:sz w:val="32"/>
          <w:szCs w:val="32"/>
          <w:lang w:val="en-US" w:eastAsia="zh-CN"/>
        </w:rPr>
        <w:t>赴新纳入监管范围的中</w:t>
      </w:r>
      <w:r>
        <w:rPr>
          <w:rFonts w:hint="eastAsia" w:ascii="仿宋_GB2312" w:hAnsi="仿宋_GB2312" w:eastAsia="仿宋_GB2312" w:cs="仿宋_GB2312"/>
          <w:b w:val="0"/>
          <w:bCs w:val="0"/>
          <w:color w:val="000000"/>
          <w:sz w:val="32"/>
          <w:szCs w:val="32"/>
          <w:lang w:val="en-US" w:eastAsia="zh-CN"/>
        </w:rPr>
        <w:t>Ⅱ</w:t>
      </w:r>
      <w:r>
        <w:rPr>
          <w:rFonts w:hint="eastAsia" w:ascii="仿宋_GB2312" w:hAnsi="Inherit" w:eastAsia="仿宋_GB2312"/>
          <w:b w:val="0"/>
          <w:bCs w:val="0"/>
          <w:color w:val="000000"/>
          <w:sz w:val="32"/>
          <w:szCs w:val="32"/>
          <w:lang w:val="en-US" w:eastAsia="zh-CN"/>
        </w:rPr>
        <w:t>型以下企业调研，堵塞监管漏洞；积极开展全市招投标领域突出问题系统整治，制定工作方案，共摸底对党的十八大以来400万以上招投标项目205个进行摸底排查，并开展自查自纠，规范企业权力运行，</w:t>
      </w:r>
      <w:r>
        <w:rPr>
          <w:rFonts w:hint="eastAsia" w:ascii="仿宋_GB2312" w:eastAsia="仿宋_GB2312" w:cs="仿宋_GB2312"/>
          <w:b w:val="0"/>
          <w:bCs w:val="0"/>
          <w:color w:val="auto"/>
          <w:sz w:val="32"/>
          <w:szCs w:val="32"/>
          <w:highlight w:val="none"/>
          <w:lang w:eastAsia="zh-CN" w:bidi="ar-SA"/>
        </w:rPr>
        <w:t>不断推进全面从严治党走深走实</w:t>
      </w:r>
      <w:r>
        <w:rPr>
          <w:rFonts w:hint="eastAsia" w:ascii="仿宋_GB2312" w:hAnsi="仿宋_GB2312" w:eastAsia="仿宋_GB2312" w:cs="仿宋_GB2312"/>
          <w:b w:val="0"/>
          <w:bCs w:val="0"/>
          <w:color w:val="000000"/>
          <w:spacing w:val="0"/>
          <w:sz w:val="32"/>
          <w:szCs w:val="32"/>
          <w:u w:val="none"/>
          <w:lang w:val="en-US" w:eastAsia="zh-CN" w:bidi="ar-SA"/>
        </w:rPr>
        <w:t>。</w:t>
      </w:r>
    </w:p>
    <w:p w14:paraId="05D3642D">
      <w:pPr>
        <w:keepNext w:val="0"/>
        <w:keepLines w:val="0"/>
        <w:pageBreakBefore w:val="0"/>
        <w:kinsoku/>
        <w:wordWrap/>
        <w:overflowPunct/>
        <w:topLinePunct w:val="0"/>
        <w:bidi w:val="0"/>
        <w:snapToGrid/>
        <w:spacing w:line="600" w:lineRule="exact"/>
        <w:ind w:firstLine="640"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（三）部门整体支出绩效评价具体分析</w:t>
      </w:r>
    </w:p>
    <w:p w14:paraId="53BAC4D9">
      <w:pPr>
        <w:keepNext w:val="0"/>
        <w:keepLines w:val="0"/>
        <w:pageBreakBefore w:val="0"/>
        <w:kinsoku/>
        <w:wordWrap/>
        <w:overflowPunct/>
        <w:topLinePunct w:val="0"/>
        <w:bidi w:val="0"/>
        <w:snapToGrid/>
        <w:spacing w:line="60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从运行成本方面分析</w:t>
      </w:r>
    </w:p>
    <w:p w14:paraId="1711C809">
      <w:pPr>
        <w:keepNext w:val="0"/>
        <w:keepLines w:val="0"/>
        <w:pageBreakBefore w:val="0"/>
        <w:kinsoku/>
        <w:wordWrap/>
        <w:overflowPunct/>
        <w:topLinePunct w:val="0"/>
        <w:bidi w:val="0"/>
        <w:snapToGrid/>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2025年度，我委在财政安排有限的资金情况下，严格执行“过紧日子”的思路，严格按年初财政预算安排的资金支出。</w:t>
      </w:r>
      <w:r>
        <w:rPr>
          <w:rFonts w:hint="eastAsia" w:ascii="仿宋_GB2312" w:hAnsi="仿宋_GB2312" w:eastAsia="仿宋_GB2312" w:cs="仿宋_GB2312"/>
          <w:sz w:val="32"/>
          <w:szCs w:val="32"/>
        </w:rPr>
        <w:t>本单位</w:t>
      </w:r>
      <w:r>
        <w:rPr>
          <w:rFonts w:hint="eastAsia" w:ascii="仿宋_GB2312" w:hAnsi="仿宋_GB2312" w:eastAsia="仿宋_GB2312" w:cs="仿宋_GB2312"/>
          <w:sz w:val="32"/>
          <w:szCs w:val="32"/>
          <w:lang w:val="en-US" w:eastAsia="zh-CN"/>
        </w:rPr>
        <w:t>全年</w:t>
      </w:r>
      <w:r>
        <w:rPr>
          <w:rFonts w:hint="eastAsia" w:ascii="仿宋_GB2312" w:hAnsi="仿宋_GB2312" w:eastAsia="仿宋_GB2312" w:cs="仿宋_GB2312"/>
          <w:sz w:val="32"/>
          <w:szCs w:val="32"/>
        </w:rPr>
        <w:t>支出符合国家财经法规和财务管理制度规定以及有关专项资金管理办法的规定，资金的拨付有完整的审批过程和手续，支出符合部门预算批复的用途，资金使用无截留、挤占、挪用、虚列支出等情况。</w:t>
      </w:r>
      <w:r>
        <w:rPr>
          <w:rFonts w:hint="eastAsia" w:ascii="仿宋_GB2312" w:hAnsi="仿宋_GB2312" w:eastAsia="仿宋_GB2312" w:cs="仿宋_GB2312"/>
          <w:sz w:val="32"/>
          <w:szCs w:val="32"/>
          <w:lang w:val="en-US" w:eastAsia="zh-CN"/>
        </w:rPr>
        <w:t>2025年全年预算收入607.09万元，决算支出605.08万元，预算执行率为99.67%，圆满地完成了全年预算收支工作。</w:t>
      </w:r>
    </w:p>
    <w:p w14:paraId="2909A377">
      <w:pPr>
        <w:keepNext w:val="0"/>
        <w:keepLines w:val="0"/>
        <w:pageBreakBefore w:val="0"/>
        <w:numPr>
          <w:ilvl w:val="0"/>
          <w:numId w:val="5"/>
        </w:numPr>
        <w:kinsoku/>
        <w:wordWrap/>
        <w:overflowPunct/>
        <w:topLinePunct w:val="0"/>
        <w:bidi w:val="0"/>
        <w:snapToGrid/>
        <w:spacing w:line="60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从管理效率方面分析</w:t>
      </w:r>
    </w:p>
    <w:p w14:paraId="4AB43039">
      <w:pPr>
        <w:keepNext w:val="0"/>
        <w:keepLines w:val="0"/>
        <w:pageBreakBefore w:val="0"/>
        <w:numPr>
          <w:ilvl w:val="0"/>
          <w:numId w:val="0"/>
        </w:numPr>
        <w:kinsoku/>
        <w:wordWrap/>
        <w:overflowPunct/>
        <w:topLinePunct w:val="0"/>
        <w:bidi w:val="0"/>
        <w:snapToGrid/>
        <w:spacing w:line="60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为进一步提升工作效率，做好国资监管主责主业，通过建立健全资产管理制度、加强预算信息公开，做好政府采购预算，做好日常公务卡刷卡支出管理、建立健全监管企业财务监管制度和</w:t>
      </w:r>
      <w:r>
        <w:rPr>
          <w:rFonts w:hint="eastAsia" w:ascii="仿宋_GB2312" w:hAnsi="仿宋_GB2312" w:eastAsia="仿宋_GB2312" w:cs="仿宋_GB2312"/>
          <w:w w:val="99"/>
          <w:sz w:val="32"/>
          <w:szCs w:val="32"/>
        </w:rPr>
        <w:t>监管事项清单及负面清单、监管</w:t>
      </w:r>
      <w:r>
        <w:rPr>
          <w:rFonts w:hint="eastAsia" w:ascii="仿宋_GB2312" w:hAnsi="仿宋_GB2312" w:eastAsia="仿宋_GB2312" w:cs="仿宋_GB2312"/>
          <w:sz w:val="32"/>
          <w:szCs w:val="32"/>
        </w:rPr>
        <w:t>企业负责人综合绩效考核和薪酬管理、违规经营投资责任追究办法、内部审计监督意见等文件，进一步强化监管制度建设，提高监管效能，推动企业持续健康发展。</w:t>
      </w:r>
      <w:r>
        <w:rPr>
          <w:rFonts w:hint="eastAsia" w:ascii="仿宋_GB2312" w:hAnsi="仿宋_GB2312" w:eastAsia="仿宋_GB2312" w:cs="仿宋_GB2312"/>
          <w:sz w:val="32"/>
          <w:szCs w:val="32"/>
          <w:lang w:val="en-US" w:eastAsia="zh-CN"/>
        </w:rPr>
        <w:t>从各个方面进一步提升国资监管工作管理效率。</w:t>
      </w:r>
    </w:p>
    <w:p w14:paraId="3203A0AD">
      <w:pPr>
        <w:pStyle w:val="4"/>
        <w:keepNext w:val="0"/>
        <w:keepLines w:val="0"/>
        <w:pageBreakBefore w:val="0"/>
        <w:numPr>
          <w:ilvl w:val="0"/>
          <w:numId w:val="5"/>
        </w:numPr>
        <w:kinsoku/>
        <w:wordWrap/>
        <w:overflowPunct/>
        <w:topLinePunct w:val="0"/>
        <w:bidi w:val="0"/>
        <w:snapToGrid/>
        <w:spacing w:line="600" w:lineRule="exact"/>
        <w:ind w:left="0" w:leftChars="0"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从履职效能方面分析</w:t>
      </w:r>
    </w:p>
    <w:p w14:paraId="6592FFE8">
      <w:pPr>
        <w:pStyle w:val="4"/>
        <w:keepNext w:val="0"/>
        <w:keepLines w:val="0"/>
        <w:pageBreakBefore w:val="0"/>
        <w:numPr>
          <w:ilvl w:val="0"/>
          <w:numId w:val="0"/>
        </w:numPr>
        <w:kinsoku/>
        <w:wordWrap/>
        <w:overflowPunct/>
        <w:topLinePunct w:val="0"/>
        <w:bidi w:val="0"/>
        <w:snapToGrid/>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根据市委、市政府的安排和部署，</w:t>
      </w:r>
      <w:r>
        <w:rPr>
          <w:rFonts w:hint="eastAsia" w:ascii="仿宋_GB2312" w:hAnsi="仿宋_GB2312" w:eastAsia="仿宋_GB2312" w:cs="仿宋_GB2312"/>
          <w:sz w:val="32"/>
          <w:szCs w:val="32"/>
          <w:lang w:val="en-US" w:eastAsia="zh-CN"/>
        </w:rPr>
        <w:t>我委全年</w:t>
      </w:r>
      <w:r>
        <w:rPr>
          <w:rFonts w:hint="eastAsia" w:ascii="仿宋_GB2312" w:hAnsi="仿宋_GB2312" w:eastAsia="仿宋_GB2312" w:cs="仿宋_GB2312"/>
          <w:sz w:val="32"/>
          <w:szCs w:val="32"/>
        </w:rPr>
        <w:t>完成了</w:t>
      </w:r>
      <w:r>
        <w:rPr>
          <w:rFonts w:hint="eastAsia" w:ascii="仿宋_GB2312" w:hAnsi="仿宋_GB2312" w:eastAsia="仿宋_GB2312" w:cs="仿宋_GB2312"/>
          <w:sz w:val="32"/>
          <w:szCs w:val="32"/>
          <w:lang w:val="en-US" w:eastAsia="zh-CN"/>
        </w:rPr>
        <w:t>对13家市属监管企业在</w:t>
      </w:r>
      <w:r>
        <w:rPr>
          <w:rFonts w:hint="eastAsia" w:ascii="仿宋_GB2312" w:hAnsi="仿宋_GB2312" w:eastAsia="仿宋_GB2312" w:cs="仿宋_GB2312"/>
          <w:sz w:val="32"/>
          <w:szCs w:val="32"/>
        </w:rPr>
        <w:t>国企改革</w:t>
      </w:r>
      <w:r>
        <w:rPr>
          <w:rFonts w:hint="eastAsia" w:ascii="仿宋_GB2312" w:hAnsi="仿宋_GB2312" w:eastAsia="仿宋_GB2312" w:cs="仿宋_GB2312"/>
          <w:sz w:val="32"/>
          <w:szCs w:val="32"/>
          <w:lang w:val="en-US" w:eastAsia="zh-CN"/>
        </w:rPr>
        <w:t>改制</w:t>
      </w:r>
      <w:r>
        <w:rPr>
          <w:rFonts w:hint="eastAsia" w:ascii="仿宋_GB2312" w:hAnsi="仿宋_GB2312" w:eastAsia="仿宋_GB2312" w:cs="仿宋_GB2312"/>
          <w:sz w:val="32"/>
          <w:szCs w:val="32"/>
        </w:rPr>
        <w:t>、信访维稳、国企</w:t>
      </w:r>
      <w:r>
        <w:rPr>
          <w:rFonts w:hint="eastAsia" w:ascii="仿宋_GB2312" w:hAnsi="仿宋_GB2312" w:eastAsia="仿宋_GB2312" w:cs="仿宋_GB2312"/>
          <w:sz w:val="32"/>
          <w:szCs w:val="32"/>
          <w:lang w:val="en-US" w:eastAsia="zh-CN"/>
        </w:rPr>
        <w:t>基层</w:t>
      </w:r>
      <w:r>
        <w:rPr>
          <w:rFonts w:hint="eastAsia" w:ascii="仿宋_GB2312" w:hAnsi="仿宋_GB2312" w:eastAsia="仿宋_GB2312" w:cs="仿宋_GB2312"/>
          <w:sz w:val="32"/>
          <w:szCs w:val="32"/>
        </w:rPr>
        <w:t>党建、</w:t>
      </w:r>
      <w:r>
        <w:rPr>
          <w:rFonts w:hint="eastAsia" w:ascii="仿宋_GB2312" w:hAnsi="仿宋_GB2312" w:eastAsia="仿宋_GB2312" w:cs="仿宋_GB2312"/>
          <w:sz w:val="32"/>
          <w:szCs w:val="32"/>
          <w:lang w:val="en-US" w:eastAsia="zh-CN"/>
        </w:rPr>
        <w:t>乡村振兴</w:t>
      </w:r>
      <w:r>
        <w:rPr>
          <w:rFonts w:hint="eastAsia" w:ascii="仿宋_GB2312" w:hAnsi="仿宋_GB2312" w:eastAsia="仿宋_GB2312" w:cs="仿宋_GB2312"/>
          <w:sz w:val="32"/>
          <w:szCs w:val="32"/>
        </w:rPr>
        <w:t>等重点工作。</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度在市委、市政府的领导下，积极做好国企改革</w:t>
      </w:r>
      <w:r>
        <w:rPr>
          <w:rFonts w:hint="eastAsia" w:ascii="仿宋_GB2312" w:hAnsi="仿宋_GB2312" w:eastAsia="仿宋_GB2312" w:cs="仿宋_GB2312"/>
          <w:sz w:val="32"/>
          <w:szCs w:val="32"/>
          <w:lang w:val="en-US" w:eastAsia="zh-CN"/>
        </w:rPr>
        <w:t>改制</w:t>
      </w:r>
      <w:r>
        <w:rPr>
          <w:rFonts w:hint="eastAsia" w:ascii="仿宋_GB2312" w:hAnsi="仿宋_GB2312" w:eastAsia="仿宋_GB2312" w:cs="仿宋_GB2312"/>
          <w:sz w:val="32"/>
          <w:szCs w:val="32"/>
        </w:rPr>
        <w:t>工作，进一步加强了对</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家监管企业的监督管理，严格按有关规章制度处理改革遗留问题，资产处置程序规范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确保国有资产保值、增值。</w:t>
      </w:r>
    </w:p>
    <w:p w14:paraId="2860E8F2">
      <w:pPr>
        <w:keepNext w:val="0"/>
        <w:keepLines w:val="0"/>
        <w:pageBreakBefore w:val="0"/>
        <w:numPr>
          <w:ilvl w:val="0"/>
          <w:numId w:val="5"/>
        </w:numPr>
        <w:kinsoku/>
        <w:wordWrap/>
        <w:overflowPunct/>
        <w:topLinePunct w:val="0"/>
        <w:bidi w:val="0"/>
        <w:snapToGrid/>
        <w:spacing w:line="600" w:lineRule="exact"/>
        <w:ind w:left="0" w:leftChars="0"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从</w:t>
      </w:r>
      <w:r>
        <w:rPr>
          <w:rFonts w:hint="eastAsia" w:ascii="仿宋_GB2312" w:hAnsi="仿宋_GB2312" w:eastAsia="仿宋_GB2312" w:cs="仿宋_GB2312"/>
          <w:b/>
          <w:bCs/>
          <w:sz w:val="32"/>
          <w:szCs w:val="32"/>
        </w:rPr>
        <w:t>社会效</w:t>
      </w:r>
      <w:r>
        <w:rPr>
          <w:rFonts w:hint="eastAsia" w:ascii="仿宋_GB2312" w:hAnsi="仿宋_GB2312" w:eastAsia="仿宋_GB2312" w:cs="仿宋_GB2312"/>
          <w:b/>
          <w:bCs/>
          <w:sz w:val="32"/>
          <w:szCs w:val="32"/>
          <w:lang w:val="en-US" w:eastAsia="zh-CN"/>
        </w:rPr>
        <w:t>应方面分析</w:t>
      </w:r>
    </w:p>
    <w:p w14:paraId="23E8CACE">
      <w:pPr>
        <w:pStyle w:val="4"/>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0" w:firstLineChars="200"/>
        <w:jc w:val="both"/>
        <w:textAlignment w:val="auto"/>
        <w:rPr>
          <w:rFonts w:hint="eastAsia" w:eastAsia="仿宋_GB2312" w:cs="Times New Roman"/>
          <w:color w:val="000000"/>
          <w:spacing w:val="0"/>
          <w:sz w:val="32"/>
          <w:szCs w:val="32"/>
          <w:lang w:val="en-US" w:eastAsia="zh-CN"/>
        </w:rPr>
      </w:pPr>
      <w:r>
        <w:rPr>
          <w:rFonts w:hint="eastAsia" w:ascii="仿宋_GB2312" w:hAnsi="仿宋_GB2312" w:eastAsia="仿宋_GB2312" w:cs="仿宋_GB2312"/>
          <w:b/>
          <w:bCs/>
          <w:color w:val="auto"/>
          <w:sz w:val="32"/>
          <w:szCs w:val="32"/>
          <w:highlight w:val="none"/>
          <w:lang w:val="en-US" w:eastAsia="zh-CN" w:bidi="ar-SA"/>
        </w:rPr>
        <w:t>一是</w:t>
      </w:r>
      <w:r>
        <w:rPr>
          <w:rFonts w:hint="eastAsia" w:ascii="仿宋_GB2312" w:hAnsi="仿宋_GB2312" w:eastAsia="仿宋_GB2312" w:cs="仿宋_GB2312"/>
          <w:b/>
          <w:bCs/>
          <w:color w:val="000000"/>
          <w:sz w:val="32"/>
          <w:szCs w:val="32"/>
          <w:u w:val="none"/>
          <w:lang w:val="en-US" w:eastAsia="zh-CN" w:bidi="ar-SA"/>
        </w:rPr>
        <w:t>积极提升监管效能</w:t>
      </w:r>
      <w:r>
        <w:rPr>
          <w:rFonts w:hint="eastAsia" w:ascii="仿宋_GB2312" w:hAnsi="仿宋_GB2312" w:eastAsia="仿宋_GB2312" w:cs="仿宋_GB2312"/>
          <w:b/>
          <w:bCs/>
          <w:color w:val="auto"/>
          <w:sz w:val="32"/>
          <w:szCs w:val="32"/>
          <w:highlight w:val="none"/>
          <w:lang w:val="en-US" w:eastAsia="zh-CN" w:bidi="ar-SA"/>
        </w:rPr>
        <w:t>。</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我们通过</w:t>
      </w:r>
      <w:r>
        <w:rPr>
          <w:rFonts w:hint="eastAsia" w:ascii="楷体_GB2312" w:hAnsi="楷体_GB2312" w:eastAsia="楷体_GB2312" w:cs="楷体_GB2312"/>
          <w:b w:val="0"/>
          <w:bCs w:val="0"/>
          <w:color w:val="auto"/>
          <w:sz w:val="32"/>
          <w:szCs w:val="32"/>
          <w:lang w:val="en-US" w:eastAsia="zh-CN" w:bidi="ar-SA"/>
        </w:rPr>
        <w:t>强化企业负责人综合绩效考核，</w:t>
      </w:r>
      <w:r>
        <w:rPr>
          <w:rFonts w:hint="eastAsia" w:ascii="仿宋_GB2312" w:hAnsi="仿宋_GB2312" w:eastAsia="仿宋_GB2312" w:cs="仿宋_GB2312"/>
          <w:b w:val="0"/>
          <w:bCs w:val="0"/>
          <w:color w:val="auto"/>
          <w:sz w:val="32"/>
          <w:szCs w:val="32"/>
          <w:u w:val="none"/>
          <w:lang w:val="en-US" w:eastAsia="zh-CN" w:bidi="ar-SA"/>
        </w:rPr>
        <w:t>完善《永州市国资委监管企业负责人综合绩效考核办法》《永州市国资委监管企业负责人薪酬管理办法》，起草《永州市国资委监管企业负责人2025年综合绩效考核实施方案》，配合市财政局修改完善《永州市市本级国有资本经营预算管理办法》，</w:t>
      </w:r>
      <w:r>
        <w:rPr>
          <w:rFonts w:hint="eastAsia" w:ascii="仿宋_GB2312" w:hAnsi="仿宋_GB2312" w:eastAsia="仿宋_GB2312" w:cs="仿宋_GB2312"/>
          <w:color w:val="000000"/>
          <w:spacing w:val="0"/>
          <w:sz w:val="32"/>
          <w:szCs w:val="32"/>
          <w:lang w:val="en-US" w:eastAsia="zh-CN"/>
        </w:rPr>
        <w:t>聚焦主责主业，制定《永州市市属监管企业主业管理暂行办法》，核定了监管企业主业及培育主业。</w:t>
      </w:r>
      <w:r>
        <w:rPr>
          <w:rFonts w:hint="eastAsia" w:ascii="仿宋_GB2312" w:hAnsi="仿宋_GB2312" w:eastAsia="仿宋_GB2312" w:cs="仿宋_GB2312"/>
          <w:b/>
          <w:bCs/>
          <w:color w:val="000000"/>
          <w:sz w:val="32"/>
          <w:szCs w:val="32"/>
          <w:u w:val="none"/>
          <w:lang w:val="en-US" w:eastAsia="zh-CN" w:bidi="ar-SA"/>
        </w:rPr>
        <w:t>二是防范化解重大风险。</w:t>
      </w:r>
      <w:r>
        <w:rPr>
          <w:rFonts w:hint="eastAsia" w:ascii="仿宋_GB2312" w:hAnsi="仿宋_GB2312" w:eastAsia="仿宋_GB2312" w:cs="仿宋_GB2312"/>
          <w:b w:val="0"/>
          <w:bCs w:val="0"/>
          <w:color w:val="auto"/>
          <w:sz w:val="32"/>
          <w:szCs w:val="32"/>
          <w:lang w:val="en-US" w:eastAsia="zh-CN" w:bidi="ar-SA"/>
        </w:rPr>
        <w:t>积极防范化解债务风险。</w:t>
      </w:r>
      <w:r>
        <w:rPr>
          <w:rFonts w:hint="eastAsia" w:ascii="仿宋_GB2312" w:hAnsi="仿宋_GB2312" w:eastAsia="仿宋_GB2312" w:cs="仿宋_GB2312"/>
          <w:b w:val="0"/>
          <w:bCs/>
          <w:color w:val="auto"/>
          <w:spacing w:val="0"/>
          <w:sz w:val="32"/>
          <w:szCs w:val="32"/>
        </w:rPr>
        <w:t>督促指导</w:t>
      </w:r>
      <w:r>
        <w:rPr>
          <w:rFonts w:hint="eastAsia" w:ascii="仿宋_GB2312" w:hAnsi="仿宋_GB2312" w:eastAsia="仿宋_GB2312" w:cs="仿宋_GB2312"/>
          <w:b w:val="0"/>
          <w:bCs/>
          <w:color w:val="auto"/>
          <w:spacing w:val="0"/>
          <w:sz w:val="32"/>
          <w:szCs w:val="32"/>
          <w:lang w:val="en-US" w:eastAsia="zh-CN"/>
        </w:rPr>
        <w:t>监管</w:t>
      </w:r>
      <w:r>
        <w:rPr>
          <w:rFonts w:hint="eastAsia" w:ascii="仿宋_GB2312" w:hAnsi="仿宋_GB2312" w:eastAsia="仿宋_GB2312" w:cs="仿宋_GB2312"/>
          <w:b w:val="0"/>
          <w:bCs/>
          <w:color w:val="auto"/>
          <w:spacing w:val="0"/>
          <w:sz w:val="32"/>
          <w:szCs w:val="32"/>
        </w:rPr>
        <w:t>企业加大</w:t>
      </w:r>
      <w:r>
        <w:rPr>
          <w:rFonts w:hint="eastAsia" w:ascii="仿宋_GB2312" w:hAnsi="仿宋_GB2312" w:eastAsia="仿宋_GB2312" w:cs="仿宋_GB2312"/>
          <w:b w:val="0"/>
          <w:bCs/>
          <w:color w:val="auto"/>
          <w:spacing w:val="0"/>
          <w:sz w:val="32"/>
          <w:szCs w:val="32"/>
          <w:lang w:val="en-US" w:eastAsia="zh-CN"/>
        </w:rPr>
        <w:t>连环债</w:t>
      </w:r>
      <w:r>
        <w:rPr>
          <w:rFonts w:hint="eastAsia" w:ascii="仿宋_GB2312" w:hAnsi="仿宋_GB2312" w:eastAsia="仿宋_GB2312" w:cs="仿宋_GB2312"/>
          <w:b w:val="0"/>
          <w:bCs/>
          <w:color w:val="auto"/>
          <w:spacing w:val="0"/>
          <w:sz w:val="32"/>
          <w:szCs w:val="32"/>
        </w:rPr>
        <w:t>清偿力度，已清偿债务188笔，金额共计24.1亿元，完成进度106%</w:t>
      </w:r>
      <w:r>
        <w:rPr>
          <w:rFonts w:hint="eastAsia" w:ascii="仿宋_GB2312" w:hAnsi="仿宋_GB2312" w:eastAsia="仿宋_GB2312" w:cs="仿宋_GB2312"/>
          <w:b w:val="0"/>
          <w:bCs/>
          <w:color w:val="auto"/>
          <w:spacing w:val="0"/>
          <w:sz w:val="32"/>
          <w:szCs w:val="32"/>
          <w:lang w:eastAsia="zh-CN"/>
        </w:rPr>
        <w:t>。</w:t>
      </w:r>
      <w:r>
        <w:rPr>
          <w:rFonts w:hint="eastAsia" w:ascii="仿宋_GB2312" w:hAnsi="仿宋_GB2312" w:eastAsia="仿宋_GB2312" w:cs="仿宋_GB2312"/>
          <w:sz w:val="32"/>
          <w:szCs w:val="32"/>
          <w:lang w:val="en-US" w:eastAsia="zh-CN"/>
        </w:rPr>
        <w:t>组织开展监管企业2024年财务收支管理及内部控制、内部审计相关制度执行情况专项监督检查，重点检查市城发集团、市经发集团、市港发集团、永汽总公司4家监管企业融资、大额资金使用情况、重大项目投资、建设管理及效益情况，交办问题65个</w:t>
      </w:r>
      <w:r>
        <w:rPr>
          <w:rFonts w:hint="eastAsia" w:ascii="仿宋_GB2312" w:hAnsi="仿宋_GB2312" w:eastAsia="仿宋_GB2312" w:cs="仿宋_GB2312"/>
          <w:b w:val="0"/>
          <w:bCs w:val="0"/>
          <w:color w:val="000000"/>
          <w:spacing w:val="0"/>
          <w:kern w:val="2"/>
          <w:sz w:val="32"/>
          <w:szCs w:val="32"/>
          <w:lang w:val="en-US" w:eastAsia="zh-CN"/>
        </w:rPr>
        <w:t>。</w:t>
      </w:r>
    </w:p>
    <w:p w14:paraId="7A8894B4">
      <w:pPr>
        <w:keepNext w:val="0"/>
        <w:keepLines w:val="0"/>
        <w:pageBreakBefore w:val="0"/>
        <w:numPr>
          <w:ilvl w:val="0"/>
          <w:numId w:val="5"/>
        </w:numPr>
        <w:kinsoku/>
        <w:wordWrap/>
        <w:overflowPunct/>
        <w:topLinePunct w:val="0"/>
        <w:bidi w:val="0"/>
        <w:snapToGrid/>
        <w:spacing w:line="600" w:lineRule="exact"/>
        <w:ind w:left="0" w:leftChars="0"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从</w:t>
      </w:r>
      <w:r>
        <w:rPr>
          <w:rFonts w:hint="eastAsia" w:ascii="仿宋_GB2312" w:hAnsi="仿宋_GB2312" w:eastAsia="仿宋_GB2312" w:cs="仿宋_GB2312"/>
          <w:b/>
          <w:bCs/>
          <w:sz w:val="32"/>
          <w:szCs w:val="32"/>
        </w:rPr>
        <w:t>服务对象满意度</w:t>
      </w:r>
      <w:r>
        <w:rPr>
          <w:rFonts w:hint="eastAsia" w:ascii="仿宋_GB2312" w:hAnsi="仿宋_GB2312" w:eastAsia="仿宋_GB2312" w:cs="仿宋_GB2312"/>
          <w:b/>
          <w:bCs/>
          <w:sz w:val="32"/>
          <w:szCs w:val="32"/>
          <w:lang w:val="en-US" w:eastAsia="zh-CN"/>
        </w:rPr>
        <w:t>方面分析</w:t>
      </w:r>
    </w:p>
    <w:p w14:paraId="29EA1B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lang w:val="en-US" w:eastAsia="zh-CN"/>
        </w:rPr>
        <w:t>我们2025年度主要的服务对象是全市已改制的国有企业市管干部（包括在职和退休人员）和市属13家监管的国有企业。为进一步提升服务水平，让企业职工满意，主要做好以下几方面的工作：</w:t>
      </w:r>
      <w:r>
        <w:rPr>
          <w:rFonts w:hint="eastAsia" w:ascii="仿宋_GB2312" w:hAnsi="仿宋_GB2312" w:eastAsia="仿宋_GB2312" w:cs="仿宋_GB2312"/>
          <w:b/>
          <w:bCs w:val="0"/>
          <w:sz w:val="32"/>
          <w:szCs w:val="32"/>
        </w:rPr>
        <w:t>一是认真做好信访维稳工作。</w:t>
      </w:r>
      <w:r>
        <w:rPr>
          <w:rFonts w:hint="eastAsia" w:ascii="Times New Roman" w:hAnsi="Times New Roman" w:eastAsia="仿宋_GB2312" w:cs="Times New Roman"/>
          <w:bCs/>
          <w:color w:val="auto"/>
          <w:sz w:val="32"/>
          <w:szCs w:val="32"/>
          <w:highlight w:val="none"/>
          <w:lang w:val="en-US" w:eastAsia="zh-CN" w:bidi="ar-SA"/>
        </w:rPr>
        <w:t>严格落实安全生产“十五条”硬措施，完善安全风险分级管控和隐患排查治理双重预防机制</w:t>
      </w:r>
      <w:r>
        <w:rPr>
          <w:rFonts w:hint="default" w:ascii="Times New Roman" w:hAnsi="Times New Roman" w:eastAsia="仿宋_GB2312" w:cs="Times New Roman"/>
          <w:bCs/>
          <w:color w:val="auto"/>
          <w:sz w:val="32"/>
          <w:szCs w:val="32"/>
          <w:highlight w:val="none"/>
          <w:lang w:val="en-US" w:eastAsia="zh-CN" w:bidi="ar-SA"/>
        </w:rPr>
        <w:t>，</w:t>
      </w:r>
      <w:r>
        <w:rPr>
          <w:rFonts w:hint="eastAsia" w:ascii="Times New Roman" w:hAnsi="Times New Roman" w:eastAsia="仿宋_GB2312" w:cs="Times New Roman"/>
          <w:bCs/>
          <w:color w:val="auto"/>
          <w:sz w:val="32"/>
          <w:szCs w:val="32"/>
          <w:highlight w:val="none"/>
          <w:lang w:val="en-US" w:eastAsia="zh-CN" w:bidi="ar-SA"/>
        </w:rPr>
        <w:t>定期分析研判，做到隐患排查整治常态化、制度化，</w:t>
      </w:r>
      <w:r>
        <w:rPr>
          <w:rFonts w:hint="default" w:ascii="Times New Roman" w:hAnsi="Times New Roman" w:eastAsia="仿宋_GB2312" w:cs="Times New Roman"/>
          <w:bCs/>
          <w:color w:val="auto"/>
          <w:sz w:val="32"/>
          <w:szCs w:val="32"/>
          <w:highlight w:val="none"/>
          <w:lang w:val="en-US" w:eastAsia="zh-CN" w:bidi="ar-SA"/>
        </w:rPr>
        <w:t>确保</w:t>
      </w:r>
      <w:r>
        <w:rPr>
          <w:rFonts w:hint="eastAsia" w:ascii="Times New Roman" w:hAnsi="Times New Roman" w:eastAsia="仿宋_GB2312" w:cs="Times New Roman"/>
          <w:bCs/>
          <w:color w:val="auto"/>
          <w:sz w:val="32"/>
          <w:szCs w:val="32"/>
          <w:highlight w:val="none"/>
          <w:lang w:val="en-US" w:eastAsia="zh-CN" w:bidi="ar-SA"/>
        </w:rPr>
        <w:t>企业安全</w:t>
      </w:r>
      <w:r>
        <w:rPr>
          <w:rFonts w:hint="default" w:ascii="Times New Roman" w:hAnsi="Times New Roman" w:eastAsia="仿宋_GB2312" w:cs="Times New Roman"/>
          <w:bCs/>
          <w:color w:val="auto"/>
          <w:sz w:val="32"/>
          <w:szCs w:val="32"/>
          <w:highlight w:val="none"/>
          <w:lang w:val="en-US" w:eastAsia="zh-CN" w:bidi="ar-SA"/>
        </w:rPr>
        <w:t>稳定。</w:t>
      </w:r>
      <w:r>
        <w:rPr>
          <w:rFonts w:hint="eastAsia" w:ascii="Times New Roman" w:hAnsi="Times New Roman" w:eastAsia="仿宋_GB2312" w:cs="Times New Roman"/>
          <w:bCs/>
          <w:color w:val="auto"/>
          <w:sz w:val="32"/>
          <w:szCs w:val="32"/>
          <w:highlight w:val="none"/>
          <w:lang w:val="en-US" w:eastAsia="zh-CN" w:bidi="ar-SA"/>
        </w:rPr>
        <w:t>严格落实“三到位一处理”要求，有效化解信访矛盾隐患，</w:t>
      </w:r>
      <w:r>
        <w:rPr>
          <w:rFonts w:hint="eastAsia" w:ascii="仿宋_GB2312" w:hAnsi="仿宋_GB2312" w:eastAsia="仿宋_GB2312" w:cs="仿宋_GB2312"/>
          <w:color w:val="auto"/>
          <w:sz w:val="32"/>
          <w:szCs w:val="32"/>
        </w:rPr>
        <w:t>及时</w:t>
      </w:r>
      <w:r>
        <w:rPr>
          <w:rFonts w:hint="eastAsia" w:ascii="仿宋_GB2312" w:hAnsi="仿宋_GB2312" w:eastAsia="仿宋_GB2312" w:cs="仿宋_GB2312"/>
          <w:b w:val="0"/>
          <w:bCs/>
          <w:color w:val="auto"/>
          <w:sz w:val="32"/>
          <w:szCs w:val="32"/>
        </w:rPr>
        <w:t>掌握</w:t>
      </w:r>
      <w:r>
        <w:rPr>
          <w:rFonts w:hint="eastAsia" w:ascii="仿宋_GB2312" w:hAnsi="仿宋_GB2312" w:eastAsia="仿宋_GB2312" w:cs="仿宋_GB2312"/>
          <w:color w:val="auto"/>
          <w:sz w:val="32"/>
          <w:szCs w:val="32"/>
        </w:rPr>
        <w:t>化解</w:t>
      </w:r>
      <w:r>
        <w:rPr>
          <w:rFonts w:hint="eastAsia" w:ascii="仿宋_GB2312" w:hAnsi="仿宋_GB2312" w:eastAsia="仿宋_GB2312" w:cs="仿宋_GB2312"/>
          <w:b w:val="0"/>
          <w:bCs/>
          <w:color w:val="auto"/>
          <w:sz w:val="32"/>
          <w:szCs w:val="32"/>
          <w:lang w:eastAsia="zh-CN"/>
        </w:rPr>
        <w:t>监管</w:t>
      </w:r>
      <w:r>
        <w:rPr>
          <w:rFonts w:hint="eastAsia" w:ascii="仿宋_GB2312" w:hAnsi="仿宋_GB2312" w:eastAsia="仿宋_GB2312" w:cs="仿宋_GB2312"/>
          <w:b w:val="0"/>
          <w:bCs/>
          <w:color w:val="auto"/>
          <w:sz w:val="32"/>
          <w:szCs w:val="32"/>
        </w:rPr>
        <w:t>企</w:t>
      </w:r>
      <w:r>
        <w:rPr>
          <w:rFonts w:hint="eastAsia" w:ascii="仿宋_GB2312" w:hAnsi="仿宋_GB2312" w:eastAsia="仿宋_GB2312" w:cs="仿宋_GB2312"/>
          <w:color w:val="auto"/>
          <w:sz w:val="32"/>
          <w:szCs w:val="32"/>
        </w:rPr>
        <w:t>业矛盾隐患，</w:t>
      </w:r>
      <w:r>
        <w:rPr>
          <w:rFonts w:hint="eastAsia" w:ascii="仿宋_GB2312" w:hAnsi="仿宋_GB2312" w:eastAsia="仿宋_GB2312" w:cs="仿宋_GB2312"/>
          <w:color w:val="auto"/>
          <w:sz w:val="32"/>
          <w:szCs w:val="32"/>
          <w:lang w:val="en-US" w:eastAsia="zh-CN"/>
        </w:rPr>
        <w:t>2025</w:t>
      </w:r>
      <w:r>
        <w:rPr>
          <w:rFonts w:hint="eastAsia" w:ascii="Times New Roman" w:hAnsi="Times New Roman" w:eastAsia="仿宋_GB2312" w:cs="Times New Roman"/>
          <w:bCs/>
          <w:color w:val="auto"/>
          <w:sz w:val="32"/>
          <w:szCs w:val="32"/>
          <w:highlight w:val="none"/>
          <w:lang w:val="en-US" w:eastAsia="zh-CN" w:bidi="ar-SA"/>
        </w:rPr>
        <w:t>全年共接待处理群众来访</w:t>
      </w:r>
      <w:r>
        <w:rPr>
          <w:rFonts w:hint="eastAsia" w:eastAsia="仿宋_GB2312" w:cs="Times New Roman"/>
          <w:bCs/>
          <w:color w:val="auto"/>
          <w:sz w:val="32"/>
          <w:szCs w:val="32"/>
          <w:highlight w:val="none"/>
          <w:lang w:val="en-US" w:eastAsia="zh-CN" w:bidi="ar-SA"/>
        </w:rPr>
        <w:t>8</w:t>
      </w:r>
      <w:r>
        <w:rPr>
          <w:rFonts w:hint="eastAsia" w:ascii="Times New Roman" w:hAnsi="Times New Roman" w:eastAsia="仿宋_GB2312" w:cs="Times New Roman"/>
          <w:bCs/>
          <w:color w:val="auto"/>
          <w:sz w:val="32"/>
          <w:szCs w:val="32"/>
          <w:highlight w:val="none"/>
          <w:lang w:val="en-US" w:eastAsia="zh-CN" w:bidi="ar-SA"/>
        </w:rPr>
        <w:t>0余人次、办理智慧永州平台1</w:t>
      </w:r>
      <w:r>
        <w:rPr>
          <w:rFonts w:hint="eastAsia" w:eastAsia="仿宋_GB2312" w:cs="Times New Roman"/>
          <w:bCs/>
          <w:color w:val="auto"/>
          <w:sz w:val="32"/>
          <w:szCs w:val="32"/>
          <w:highlight w:val="none"/>
          <w:lang w:val="en-US" w:eastAsia="zh-CN" w:bidi="ar-SA"/>
        </w:rPr>
        <w:t>0</w:t>
      </w:r>
      <w:r>
        <w:rPr>
          <w:rFonts w:hint="eastAsia" w:ascii="Times New Roman" w:hAnsi="Times New Roman" w:eastAsia="仿宋_GB2312" w:cs="Times New Roman"/>
          <w:bCs/>
          <w:color w:val="auto"/>
          <w:sz w:val="32"/>
          <w:szCs w:val="32"/>
          <w:highlight w:val="none"/>
          <w:lang w:val="en-US" w:eastAsia="zh-CN" w:bidi="ar-SA"/>
        </w:rPr>
        <w:t>件、网上信访系统</w:t>
      </w:r>
      <w:r>
        <w:rPr>
          <w:rFonts w:hint="eastAsia" w:eastAsia="仿宋_GB2312" w:cs="Times New Roman"/>
          <w:bCs/>
          <w:color w:val="auto"/>
          <w:sz w:val="32"/>
          <w:szCs w:val="32"/>
          <w:highlight w:val="none"/>
          <w:lang w:val="en-US" w:eastAsia="zh-CN" w:bidi="ar-SA"/>
        </w:rPr>
        <w:t>1</w:t>
      </w:r>
      <w:r>
        <w:rPr>
          <w:rFonts w:hint="eastAsia" w:ascii="Times New Roman" w:hAnsi="Times New Roman" w:eastAsia="仿宋_GB2312" w:cs="Times New Roman"/>
          <w:bCs/>
          <w:color w:val="auto"/>
          <w:sz w:val="32"/>
          <w:szCs w:val="32"/>
          <w:highlight w:val="none"/>
          <w:lang w:val="en-US" w:eastAsia="zh-CN" w:bidi="ar-SA"/>
        </w:rPr>
        <w:t>5件，受理率、办理率均为100%。</w:t>
      </w:r>
      <w:r>
        <w:rPr>
          <w:rFonts w:hint="eastAsia" w:ascii="仿宋_GB2312" w:hAnsi="仿宋_GB2312" w:eastAsia="仿宋_GB2312" w:cs="仿宋_GB2312"/>
          <w:sz w:val="32"/>
          <w:szCs w:val="32"/>
        </w:rPr>
        <w:t>切实做好全国“两会”、省“两会”及中秋、国庆特别防护期的信访维稳工作，实现国资系统赴省进京“零登记”，确保社会大局稳定。</w:t>
      </w:r>
      <w:r>
        <w:rPr>
          <w:rFonts w:hint="eastAsia" w:ascii="仿宋_GB2312" w:hAnsi="仿宋_GB2312" w:eastAsia="仿宋_GB2312" w:cs="仿宋_GB2312"/>
          <w:b/>
          <w:sz w:val="32"/>
          <w:szCs w:val="32"/>
        </w:rPr>
        <w:t>二是做好全市2</w:t>
      </w:r>
      <w:r>
        <w:rPr>
          <w:rFonts w:hint="eastAsia" w:ascii="仿宋_GB2312" w:hAnsi="仿宋_GB2312" w:eastAsia="仿宋_GB2312" w:cs="仿宋_GB2312"/>
          <w:b/>
          <w:sz w:val="32"/>
          <w:szCs w:val="32"/>
          <w:lang w:val="en-US" w:eastAsia="zh-CN"/>
        </w:rPr>
        <w:t>52</w:t>
      </w:r>
      <w:r>
        <w:rPr>
          <w:rFonts w:hint="eastAsia" w:ascii="仿宋_GB2312" w:hAnsi="仿宋_GB2312" w:eastAsia="仿宋_GB2312" w:cs="仿宋_GB2312"/>
          <w:b/>
          <w:sz w:val="32"/>
          <w:szCs w:val="32"/>
        </w:rPr>
        <w:t>名在职和退休市管干部的待遇落实、队伍建设等工作。</w:t>
      </w:r>
      <w:r>
        <w:rPr>
          <w:rFonts w:hint="eastAsia" w:ascii="仿宋_GB2312" w:hAnsi="仿宋_GB2312" w:eastAsia="仿宋_GB2312" w:cs="仿宋_GB2312"/>
          <w:b w:val="0"/>
          <w:bCs/>
          <w:sz w:val="32"/>
          <w:szCs w:val="32"/>
          <w:lang w:val="en-US" w:eastAsia="zh-CN"/>
        </w:rPr>
        <w:t>2025年度我们做好了市管干部人员工资、退休金、养老金补差等费用的申报、发放、汇总等工作，确保了市内管干部人员队伍稳定。</w:t>
      </w:r>
      <w:r>
        <w:rPr>
          <w:rFonts w:hint="eastAsia" w:ascii="仿宋_GB2312" w:hAnsi="仿宋_GB2312" w:eastAsia="仿宋_GB2312" w:cs="仿宋_GB2312"/>
          <w:b w:val="0"/>
          <w:bCs/>
          <w:sz w:val="32"/>
          <w:szCs w:val="32"/>
          <w:lang w:eastAsia="zh-CN"/>
        </w:rPr>
        <w:t>202</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lang w:eastAsia="zh-CN"/>
        </w:rPr>
        <w:t>年</w:t>
      </w:r>
      <w:r>
        <w:rPr>
          <w:rFonts w:hint="eastAsia" w:ascii="仿宋_GB2312" w:hAnsi="仿宋_GB2312" w:eastAsia="仿宋_GB2312" w:cs="仿宋_GB2312"/>
          <w:sz w:val="32"/>
          <w:szCs w:val="32"/>
        </w:rPr>
        <w:t>度社会公众或服务对象对本单位工作满意度</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p>
    <w:p w14:paraId="09E461BB">
      <w:pPr>
        <w:pStyle w:val="13"/>
        <w:keepNext w:val="0"/>
        <w:keepLines w:val="0"/>
        <w:pageBreakBefore w:val="0"/>
        <w:widowControl/>
        <w:shd w:val="clear" w:color="auto" w:fill="FFFFFF"/>
        <w:kinsoku/>
        <w:wordWrap/>
        <w:overflowPunct/>
        <w:topLinePunct w:val="0"/>
        <w:bidi w:val="0"/>
        <w:snapToGrid/>
        <w:spacing w:beforeAutospacing="0" w:afterAutospacing="0" w:line="600" w:lineRule="exact"/>
        <w:ind w:firstLine="643"/>
        <w:jc w:val="both"/>
        <w:rPr>
          <w:rFonts w:hint="eastAsia" w:ascii="黑体" w:hAnsi="黑体" w:eastAsia="黑体" w:cs="黑体"/>
          <w:color w:val="333333"/>
          <w:sz w:val="32"/>
          <w:szCs w:val="32"/>
        </w:rPr>
      </w:pPr>
      <w:r>
        <w:rPr>
          <w:rFonts w:hint="eastAsia" w:ascii="黑体" w:hAnsi="黑体" w:eastAsia="黑体" w:cs="黑体"/>
          <w:bCs/>
          <w:color w:val="333333"/>
          <w:sz w:val="32"/>
          <w:szCs w:val="32"/>
          <w:shd w:val="clear" w:color="auto" w:fill="FFFFFF"/>
          <w:lang w:val="en-US" w:eastAsia="zh-CN"/>
        </w:rPr>
        <w:t>七</w:t>
      </w:r>
      <w:r>
        <w:rPr>
          <w:rFonts w:hint="eastAsia" w:ascii="黑体" w:hAnsi="黑体" w:eastAsia="黑体" w:cs="黑体"/>
          <w:bCs/>
          <w:color w:val="333333"/>
          <w:sz w:val="32"/>
          <w:szCs w:val="32"/>
          <w:shd w:val="clear" w:color="auto" w:fill="FFFFFF"/>
        </w:rPr>
        <w:t>、存在的主要问题</w:t>
      </w:r>
    </w:p>
    <w:p w14:paraId="545CF45D">
      <w:pPr>
        <w:pStyle w:val="13"/>
        <w:keepNext w:val="0"/>
        <w:keepLines w:val="0"/>
        <w:pageBreakBefore w:val="0"/>
        <w:widowControl/>
        <w:shd w:val="clear" w:color="auto" w:fill="FFFFFF"/>
        <w:kinsoku/>
        <w:wordWrap/>
        <w:overflowPunct/>
        <w:topLinePunct w:val="0"/>
        <w:bidi w:val="0"/>
        <w:snapToGrid/>
        <w:spacing w:beforeAutospacing="0" w:afterAutospacing="0" w:line="600" w:lineRule="exact"/>
        <w:ind w:firstLine="64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通过对全年绩效评价发现，在预算收支执行过程中存在</w:t>
      </w:r>
      <w:r>
        <w:rPr>
          <w:rFonts w:hint="eastAsia" w:ascii="仿宋_GB2312" w:hAnsi="仿宋_GB2312" w:eastAsia="仿宋_GB2312" w:cs="仿宋_GB2312"/>
          <w:kern w:val="2"/>
          <w:sz w:val="32"/>
          <w:szCs w:val="32"/>
          <w:lang w:val="en-US" w:eastAsia="zh-CN"/>
        </w:rPr>
        <w:t>的</w:t>
      </w:r>
      <w:r>
        <w:rPr>
          <w:rFonts w:hint="eastAsia" w:ascii="仿宋_GB2312" w:hAnsi="仿宋_GB2312" w:eastAsia="仿宋_GB2312" w:cs="仿宋_GB2312"/>
          <w:kern w:val="2"/>
          <w:sz w:val="32"/>
          <w:szCs w:val="32"/>
        </w:rPr>
        <w:t>主要问题是预算编制</w:t>
      </w:r>
      <w:r>
        <w:rPr>
          <w:rFonts w:hint="eastAsia" w:ascii="仿宋_GB2312" w:hAnsi="仿宋_GB2312" w:eastAsia="仿宋_GB2312" w:cs="仿宋_GB2312"/>
          <w:kern w:val="2"/>
          <w:sz w:val="32"/>
          <w:szCs w:val="32"/>
          <w:lang w:val="en-US" w:eastAsia="zh-CN"/>
        </w:rPr>
        <w:t>还</w:t>
      </w:r>
      <w:r>
        <w:rPr>
          <w:rFonts w:hint="eastAsia" w:ascii="仿宋_GB2312" w:hAnsi="仿宋_GB2312" w:eastAsia="仿宋_GB2312" w:cs="仿宋_GB2312"/>
          <w:kern w:val="2"/>
          <w:sz w:val="32"/>
          <w:szCs w:val="32"/>
        </w:rPr>
        <w:t>不够科学。目前，我委支出的预算数据大都是为保证日常公用支出而发生的开支（未包括</w:t>
      </w:r>
      <w:r>
        <w:rPr>
          <w:rFonts w:hint="eastAsia" w:ascii="仿宋_GB2312" w:hAnsi="仿宋_GB2312" w:eastAsia="仿宋_GB2312" w:cs="仿宋_GB2312"/>
          <w:kern w:val="2"/>
          <w:sz w:val="32"/>
          <w:szCs w:val="32"/>
          <w:lang w:val="en-US" w:eastAsia="zh-CN"/>
        </w:rPr>
        <w:t>乡村振兴建设</w:t>
      </w:r>
      <w:r>
        <w:rPr>
          <w:rFonts w:hint="eastAsia" w:ascii="仿宋_GB2312" w:hAnsi="仿宋_GB2312" w:eastAsia="仿宋_GB2312" w:cs="仿宋_GB2312"/>
          <w:kern w:val="2"/>
          <w:sz w:val="32"/>
          <w:szCs w:val="32"/>
        </w:rPr>
        <w:t>等专项支出），</w:t>
      </w:r>
      <w:r>
        <w:rPr>
          <w:rFonts w:hint="eastAsia" w:ascii="仿宋_GB2312" w:hAnsi="仿宋_GB2312" w:eastAsia="仿宋_GB2312" w:cs="仿宋_GB2312"/>
          <w:kern w:val="2"/>
          <w:sz w:val="32"/>
          <w:szCs w:val="32"/>
          <w:lang w:val="en-US" w:eastAsia="zh-CN"/>
        </w:rPr>
        <w:t>我委</w:t>
      </w:r>
      <w:r>
        <w:rPr>
          <w:rFonts w:hint="eastAsia" w:ascii="仿宋_GB2312" w:hAnsi="仿宋_GB2312" w:eastAsia="仿宋_GB2312" w:cs="仿宋_GB2312"/>
          <w:kern w:val="2"/>
          <w:sz w:val="32"/>
          <w:szCs w:val="32"/>
        </w:rPr>
        <w:t>经费来源单纯是财政预算经费拨入，没有收费项目，而</w:t>
      </w:r>
      <w:r>
        <w:rPr>
          <w:rFonts w:hint="eastAsia" w:ascii="仿宋_GB2312" w:hAnsi="仿宋_GB2312" w:eastAsia="仿宋_GB2312" w:cs="仿宋_GB2312"/>
          <w:kern w:val="2"/>
          <w:sz w:val="32"/>
          <w:szCs w:val="32"/>
          <w:lang w:val="en-US" w:eastAsia="zh-CN"/>
        </w:rPr>
        <w:t>乡村振兴</w:t>
      </w:r>
      <w:r>
        <w:rPr>
          <w:rFonts w:hint="eastAsia" w:ascii="仿宋_GB2312" w:hAnsi="仿宋_GB2312" w:eastAsia="仿宋_GB2312" w:cs="仿宋_GB2312"/>
          <w:kern w:val="2"/>
          <w:sz w:val="32"/>
          <w:szCs w:val="32"/>
        </w:rPr>
        <w:t>支出又是专项开支较大的项目，在没有预算的前提下</w:t>
      </w:r>
      <w:r>
        <w:rPr>
          <w:rFonts w:hint="eastAsia" w:ascii="仿宋_GB2312" w:hAnsi="仿宋_GB2312" w:eastAsia="仿宋_GB2312" w:cs="仿宋_GB2312"/>
          <w:kern w:val="2"/>
          <w:sz w:val="32"/>
          <w:szCs w:val="32"/>
          <w:lang w:val="en-US" w:eastAsia="zh-CN"/>
        </w:rPr>
        <w:t>财政年初安排的</w:t>
      </w:r>
      <w:r>
        <w:rPr>
          <w:rFonts w:hint="eastAsia" w:ascii="仿宋_GB2312" w:hAnsi="仿宋_GB2312" w:eastAsia="仿宋_GB2312" w:cs="仿宋_GB2312"/>
          <w:kern w:val="2"/>
          <w:sz w:val="32"/>
          <w:szCs w:val="32"/>
        </w:rPr>
        <w:t>一般公用人头经费远远不能满足上述这些开支，需用其他经费来弥补，这就造成与年初预算支出不匹配。</w:t>
      </w:r>
    </w:p>
    <w:p w14:paraId="154406A8">
      <w:pPr>
        <w:pStyle w:val="13"/>
        <w:keepNext w:val="0"/>
        <w:keepLines w:val="0"/>
        <w:pageBreakBefore w:val="0"/>
        <w:widowControl/>
        <w:shd w:val="clear" w:color="auto" w:fill="FFFFFF"/>
        <w:kinsoku/>
        <w:wordWrap/>
        <w:overflowPunct/>
        <w:topLinePunct w:val="0"/>
        <w:bidi w:val="0"/>
        <w:snapToGrid/>
        <w:spacing w:beforeAutospacing="0" w:afterAutospacing="0" w:line="600" w:lineRule="exact"/>
        <w:ind w:firstLine="643"/>
        <w:jc w:val="both"/>
        <w:rPr>
          <w:rFonts w:hint="eastAsia" w:ascii="黑体" w:hAnsi="黑体" w:eastAsia="黑体" w:cs="黑体"/>
          <w:color w:val="333333"/>
          <w:sz w:val="32"/>
          <w:szCs w:val="32"/>
        </w:rPr>
      </w:pPr>
      <w:r>
        <w:rPr>
          <w:rFonts w:hint="eastAsia" w:ascii="黑体" w:hAnsi="黑体" w:eastAsia="黑体" w:cs="黑体"/>
          <w:b/>
          <w:bCs w:val="0"/>
          <w:color w:val="333333"/>
          <w:sz w:val="32"/>
          <w:szCs w:val="32"/>
          <w:shd w:val="clear" w:color="auto" w:fill="FFFFFF"/>
          <w:lang w:val="en-US" w:eastAsia="zh-CN"/>
        </w:rPr>
        <w:t>八</w:t>
      </w:r>
      <w:r>
        <w:rPr>
          <w:rFonts w:hint="eastAsia" w:ascii="黑体" w:hAnsi="黑体" w:eastAsia="黑体" w:cs="黑体"/>
          <w:bCs/>
          <w:color w:val="333333"/>
          <w:sz w:val="32"/>
          <w:szCs w:val="32"/>
          <w:shd w:val="clear" w:color="auto" w:fill="FFFFFF"/>
        </w:rPr>
        <w:t>、改进措施和有关建议</w:t>
      </w:r>
    </w:p>
    <w:p w14:paraId="161F2F9D">
      <w:pPr>
        <w:pStyle w:val="25"/>
        <w:keepNext w:val="0"/>
        <w:keepLines w:val="0"/>
        <w:pageBreakBefore w:val="0"/>
        <w:kinsoku/>
        <w:wordWrap/>
        <w:overflowPunct/>
        <w:topLinePunct w:val="0"/>
        <w:bidi w:val="0"/>
        <w:snapToGrid/>
        <w:spacing w:line="580" w:lineRule="exact"/>
        <w:ind w:firstLine="643"/>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针对当前工作中存在的预算统筹不足、财务管理不够精细等问题，结合实际工作开展需求，提出以下两项针对性改进建议，切实提升资金管理质效、保障各项重点工作落地见效。</w:t>
      </w:r>
    </w:p>
    <w:p w14:paraId="3F866F89">
      <w:pPr>
        <w:pStyle w:val="25"/>
        <w:keepNext w:val="0"/>
        <w:keepLines w:val="0"/>
        <w:pageBreakBefore w:val="0"/>
        <w:kinsoku/>
        <w:wordWrap/>
        <w:overflowPunct/>
        <w:topLinePunct w:val="0"/>
        <w:bidi w:val="0"/>
        <w:snapToGrid/>
        <w:spacing w:line="580" w:lineRule="exact"/>
        <w:ind w:left="0" w:leftChars="0" w:firstLine="640" w:firstLineChars="200"/>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一是全面提升预算编制科学性与统筹性。针对现有预算编制前瞻性不足、临时重点支出无固定资金保障的问题，建议市财政局在下一年度预算编制工作中，提前梳理历年刚性重点支出项目，全面摸排市政府年初既定部署及年中临时安排的乡村振兴建设等专项支出规模大、资金需求刚性的重点工作，提前测算资金额度，将此类固定性重点支出直接纳入年初预算编制范畴，避免后续资金调度紧张、工作推进受阻，从源头筑牢资金保障防线，确保各项重点任务平稳有序开展。</w:t>
      </w:r>
    </w:p>
    <w:p w14:paraId="30C23149">
      <w:pPr>
        <w:pStyle w:val="25"/>
        <w:keepNext w:val="0"/>
        <w:keepLines w:val="0"/>
        <w:pageBreakBefore w:val="0"/>
        <w:kinsoku/>
        <w:wordWrap/>
        <w:overflowPunct/>
        <w:topLinePunct w:val="0"/>
        <w:bidi w:val="0"/>
        <w:snapToGrid/>
        <w:spacing w:line="600" w:lineRule="exact"/>
        <w:ind w:firstLine="643"/>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b w:val="0"/>
          <w:bCs/>
          <w:color w:val="000000"/>
          <w:sz w:val="32"/>
          <w:szCs w:val="32"/>
        </w:rPr>
        <w:t>二是持续推进财务管理精细化规范化。后续将全面优化内部财务管理流程，结合业务实际制定细化、可落地的资金使用明细计划，明确支出标准、严控非必要支出，压实经费管控责任。同时常态化组织财务人员开展专业技能培训，重点强化精准核算、规范记账、合规支出等核心业务学习，全面提升财务人员业务素养和实操能力，确保所有财务核算做到真实合规、及时精准、完整清晰，推动资金使用效益最大化，筑牢财务合规防线</w:t>
      </w:r>
      <w:r>
        <w:rPr>
          <w:rFonts w:hint="eastAsia" w:ascii="仿宋_GB2312" w:hAnsi="仿宋_GB2312" w:eastAsia="仿宋_GB2312" w:cs="仿宋_GB2312"/>
          <w:color w:val="000000"/>
          <w:sz w:val="32"/>
          <w:szCs w:val="32"/>
          <w:lang w:val="zh-CN"/>
        </w:rPr>
        <w:t>。</w:t>
      </w:r>
    </w:p>
    <w:p w14:paraId="7416A91B">
      <w:pPr>
        <w:pStyle w:val="25"/>
        <w:keepNext w:val="0"/>
        <w:keepLines w:val="0"/>
        <w:pageBreakBefore w:val="0"/>
        <w:kinsoku/>
        <w:wordWrap/>
        <w:overflowPunct/>
        <w:topLinePunct w:val="0"/>
        <w:bidi w:val="0"/>
        <w:snapToGrid/>
        <w:spacing w:line="600" w:lineRule="exact"/>
        <w:ind w:firstLine="643"/>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九、部门</w:t>
      </w:r>
      <w:r>
        <w:rPr>
          <w:rFonts w:hint="eastAsia" w:ascii="黑体" w:hAnsi="黑体" w:eastAsia="黑体" w:cs="黑体"/>
          <w:b w:val="0"/>
          <w:bCs w:val="0"/>
          <w:color w:val="000000"/>
          <w:sz w:val="32"/>
          <w:szCs w:val="32"/>
        </w:rPr>
        <w:t>整体支出绩效</w:t>
      </w:r>
      <w:r>
        <w:rPr>
          <w:rFonts w:hint="eastAsia" w:ascii="黑体" w:hAnsi="黑体" w:eastAsia="黑体" w:cs="黑体"/>
          <w:b w:val="0"/>
          <w:bCs w:val="0"/>
          <w:color w:val="000000"/>
          <w:sz w:val="32"/>
          <w:szCs w:val="32"/>
          <w:lang w:val="en-US" w:eastAsia="zh-CN"/>
        </w:rPr>
        <w:t>自</w:t>
      </w:r>
      <w:r>
        <w:rPr>
          <w:rFonts w:hint="eastAsia" w:ascii="黑体" w:hAnsi="黑体" w:eastAsia="黑体" w:cs="黑体"/>
          <w:b w:val="0"/>
          <w:bCs w:val="0"/>
          <w:color w:val="000000"/>
          <w:sz w:val="32"/>
          <w:szCs w:val="32"/>
        </w:rPr>
        <w:t>评</w:t>
      </w:r>
      <w:r>
        <w:rPr>
          <w:rFonts w:hint="eastAsia" w:ascii="黑体" w:hAnsi="黑体" w:eastAsia="黑体" w:cs="黑体"/>
          <w:b w:val="0"/>
          <w:bCs w:val="0"/>
          <w:color w:val="000000"/>
          <w:sz w:val="32"/>
          <w:szCs w:val="32"/>
          <w:lang w:val="en-US" w:eastAsia="zh-CN"/>
        </w:rPr>
        <w:t>结果拟应用和公开情况</w:t>
      </w:r>
    </w:p>
    <w:p w14:paraId="2CF4EC90">
      <w:pPr>
        <w:keepNext w:val="0"/>
        <w:keepLines w:val="0"/>
        <w:pageBreakBefore w:val="0"/>
        <w:kinsoku/>
        <w:wordWrap/>
        <w:overflowPunct/>
        <w:topLinePunct w:val="0"/>
        <w:bidi w:val="0"/>
        <w:snapToGrid/>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Cs/>
          <w:sz w:val="32"/>
          <w:szCs w:val="32"/>
        </w:rPr>
        <w:t>按照市委、市政府要求，我委较好的完成了各项工作目标和任务，取得了较好的成效。各项指标完成率达100%</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color w:val="000000"/>
          <w:sz w:val="32"/>
          <w:szCs w:val="32"/>
        </w:rPr>
        <w:t>根据评价指标体系测算，本单位部门整体支出绩效评价得分总绩效为９</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分。评价结果等次为“优”。以上数据来源于单位财务报表和决算数据</w:t>
      </w:r>
      <w:r>
        <w:rPr>
          <w:rFonts w:hint="eastAsia" w:ascii="仿宋_GB2312" w:hAnsi="仿宋_GB2312" w:eastAsia="仿宋_GB2312" w:cs="仿宋_GB2312"/>
          <w:bCs/>
          <w:sz w:val="32"/>
          <w:szCs w:val="32"/>
        </w:rPr>
        <w:t>。同时，已将各项支出情况在市财政局网站和国资委网站上进行了公布。</w:t>
      </w:r>
    </w:p>
    <w:p w14:paraId="76247611">
      <w:pPr>
        <w:pStyle w:val="4"/>
        <w:keepNext w:val="0"/>
        <w:keepLines w:val="0"/>
        <w:pageBreakBefore w:val="0"/>
        <w:numPr>
          <w:ilvl w:val="0"/>
          <w:numId w:val="6"/>
        </w:numPr>
        <w:kinsoku/>
        <w:wordWrap/>
        <w:overflowPunct/>
        <w:topLinePunct w:val="0"/>
        <w:bidi w:val="0"/>
        <w:snapToGrid/>
        <w:spacing w:line="600" w:lineRule="exact"/>
        <w:ind w:left="630" w:leftChars="0" w:firstLine="0" w:firstLineChars="0"/>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其他需要说明的情况</w:t>
      </w:r>
    </w:p>
    <w:p w14:paraId="0195B46B">
      <w:pPr>
        <w:pStyle w:val="4"/>
        <w:keepNext w:val="0"/>
        <w:keepLines w:val="0"/>
        <w:pageBreakBefore w:val="0"/>
        <w:numPr>
          <w:ilvl w:val="0"/>
          <w:numId w:val="0"/>
        </w:numPr>
        <w:kinsoku/>
        <w:wordWrap/>
        <w:overflowPunct/>
        <w:topLinePunct w:val="0"/>
        <w:bidi w:val="0"/>
        <w:snapToGrid/>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Cs/>
          <w:sz w:val="32"/>
          <w:szCs w:val="32"/>
          <w:lang w:val="en-US" w:eastAsia="zh-CN"/>
        </w:rPr>
        <w:t>我单位无其他需要说明的情况。</w:t>
      </w:r>
    </w:p>
    <w:p w14:paraId="6CB3643F">
      <w:pPr>
        <w:pStyle w:val="4"/>
        <w:keepNext w:val="0"/>
        <w:keepLines w:val="0"/>
        <w:pageBreakBefore w:val="0"/>
        <w:numPr>
          <w:ilvl w:val="0"/>
          <w:numId w:val="0"/>
        </w:numPr>
        <w:kinsoku/>
        <w:wordWrap/>
        <w:overflowPunct/>
        <w:topLinePunct w:val="0"/>
        <w:bidi w:val="0"/>
        <w:snapToGrid/>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报告需要以下附件：</w:t>
      </w:r>
    </w:p>
    <w:p w14:paraId="0C6DA41A">
      <w:pPr>
        <w:pStyle w:val="4"/>
        <w:keepNext w:val="0"/>
        <w:keepLines w:val="0"/>
        <w:pageBreakBefore w:val="0"/>
        <w:numPr>
          <w:ilvl w:val="0"/>
          <w:numId w:val="0"/>
        </w:numPr>
        <w:kinsoku/>
        <w:wordWrap/>
        <w:overflowPunct/>
        <w:topLinePunct w:val="0"/>
        <w:bidi w:val="0"/>
        <w:snapToGrid/>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附件2、2025年度部门整体支出绩效评价基础数据表</w:t>
      </w:r>
    </w:p>
    <w:p w14:paraId="78164816">
      <w:pPr>
        <w:pStyle w:val="4"/>
        <w:keepNext w:val="0"/>
        <w:keepLines w:val="0"/>
        <w:pageBreakBefore w:val="0"/>
        <w:numPr>
          <w:ilvl w:val="0"/>
          <w:numId w:val="0"/>
        </w:numPr>
        <w:kinsoku/>
        <w:wordWrap/>
        <w:overflowPunct/>
        <w:topLinePunct w:val="0"/>
        <w:bidi w:val="0"/>
        <w:snapToGrid/>
        <w:spacing w:line="600" w:lineRule="exac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附件3、2025年部门整体支出绩效自评表</w:t>
      </w:r>
    </w:p>
    <w:p w14:paraId="10220F83">
      <w:pPr>
        <w:pStyle w:val="4"/>
        <w:keepNext w:val="0"/>
        <w:keepLines w:val="0"/>
        <w:pageBreakBefore w:val="0"/>
        <w:numPr>
          <w:ilvl w:val="0"/>
          <w:numId w:val="0"/>
        </w:numPr>
        <w:kinsoku/>
        <w:wordWrap/>
        <w:overflowPunct/>
        <w:topLinePunct w:val="0"/>
        <w:bidi w:val="0"/>
        <w:snapToGrid/>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附件4、项目支出自评表</w:t>
      </w:r>
    </w:p>
    <w:p w14:paraId="0FE4398C">
      <w:pPr>
        <w:pStyle w:val="4"/>
        <w:numPr>
          <w:ilvl w:val="0"/>
          <w:numId w:val="0"/>
        </w:numPr>
        <w:rPr>
          <w:rFonts w:hint="eastAsia" w:ascii="仿宋_GB2312" w:hAnsi="仿宋_GB2312" w:eastAsia="仿宋_GB2312" w:cs="仿宋_GB2312"/>
          <w:color w:val="000000"/>
          <w:sz w:val="32"/>
          <w:szCs w:val="32"/>
          <w:lang w:val="en-US" w:eastAsia="zh-CN"/>
        </w:rPr>
      </w:pPr>
    </w:p>
    <w:p w14:paraId="2D35E08F">
      <w:pPr>
        <w:pStyle w:val="4"/>
        <w:numPr>
          <w:ilvl w:val="0"/>
          <w:numId w:val="0"/>
        </w:numPr>
        <w:rPr>
          <w:rFonts w:hint="eastAsia" w:ascii="仿宋_GB2312" w:hAnsi="仿宋_GB2312" w:eastAsia="仿宋_GB2312" w:cs="仿宋_GB2312"/>
          <w:color w:val="000000"/>
          <w:sz w:val="32"/>
          <w:szCs w:val="32"/>
          <w:lang w:val="en-US" w:eastAsia="zh-CN"/>
        </w:rPr>
      </w:pPr>
    </w:p>
    <w:p w14:paraId="5FB5140C">
      <w:pPr>
        <w:pStyle w:val="4"/>
        <w:numPr>
          <w:ilvl w:val="0"/>
          <w:numId w:val="0"/>
        </w:numPr>
        <w:rPr>
          <w:rFonts w:hint="eastAsia" w:ascii="仿宋_GB2312" w:hAnsi="仿宋_GB2312" w:eastAsia="仿宋_GB2312" w:cs="仿宋_GB2312"/>
          <w:color w:val="000000"/>
          <w:sz w:val="32"/>
          <w:szCs w:val="32"/>
          <w:lang w:val="en-US" w:eastAsia="zh-CN"/>
        </w:rPr>
      </w:pPr>
    </w:p>
    <w:p w14:paraId="244760EA">
      <w:pPr>
        <w:pStyle w:val="3"/>
        <w:rPr>
          <w:rFonts w:hint="eastAsia" w:ascii="仿宋_GB2312" w:hAnsi="仿宋_GB2312" w:eastAsia="仿宋_GB2312" w:cs="仿宋_GB2312"/>
          <w:color w:val="000000"/>
          <w:sz w:val="32"/>
          <w:szCs w:val="32"/>
          <w:lang w:val="en-US" w:eastAsia="zh-CN"/>
        </w:rPr>
      </w:pPr>
    </w:p>
    <w:p w14:paraId="3E1D1784">
      <w:pPr>
        <w:rPr>
          <w:rFonts w:hint="eastAsia" w:ascii="仿宋_GB2312" w:hAnsi="仿宋_GB2312" w:eastAsia="仿宋_GB2312" w:cs="仿宋_GB2312"/>
          <w:color w:val="000000"/>
          <w:sz w:val="32"/>
          <w:szCs w:val="32"/>
          <w:lang w:val="en-US" w:eastAsia="zh-CN"/>
        </w:rPr>
      </w:pPr>
    </w:p>
    <w:p w14:paraId="1D9A627F">
      <w:pPr>
        <w:pStyle w:val="4"/>
        <w:rPr>
          <w:rFonts w:hint="eastAsia" w:ascii="仿宋_GB2312" w:hAnsi="仿宋_GB2312" w:eastAsia="仿宋_GB2312" w:cs="仿宋_GB2312"/>
          <w:color w:val="000000"/>
          <w:sz w:val="32"/>
          <w:szCs w:val="32"/>
          <w:lang w:val="en-US" w:eastAsia="zh-CN"/>
        </w:rPr>
      </w:pPr>
    </w:p>
    <w:p w14:paraId="2B044BFC">
      <w:pPr>
        <w:pStyle w:val="3"/>
        <w:rPr>
          <w:rFonts w:hint="eastAsia" w:ascii="仿宋_GB2312" w:hAnsi="仿宋_GB2312" w:eastAsia="仿宋_GB2312" w:cs="仿宋_GB2312"/>
          <w:color w:val="000000"/>
          <w:sz w:val="32"/>
          <w:szCs w:val="32"/>
          <w:lang w:val="en-US" w:eastAsia="zh-CN"/>
        </w:rPr>
      </w:pPr>
    </w:p>
    <w:p w14:paraId="5A5A90E4">
      <w:pPr>
        <w:rPr>
          <w:rFonts w:hint="eastAsia" w:ascii="仿宋_GB2312" w:hAnsi="仿宋_GB2312" w:eastAsia="仿宋_GB2312" w:cs="仿宋_GB2312"/>
          <w:color w:val="000000"/>
          <w:sz w:val="32"/>
          <w:szCs w:val="32"/>
          <w:lang w:val="en-US" w:eastAsia="zh-CN"/>
        </w:rPr>
      </w:pPr>
    </w:p>
    <w:p w14:paraId="45E7D1A5">
      <w:pPr>
        <w:pStyle w:val="4"/>
        <w:rPr>
          <w:rFonts w:hint="eastAsia" w:ascii="仿宋_GB2312" w:hAnsi="仿宋_GB2312" w:eastAsia="仿宋_GB2312" w:cs="仿宋_GB2312"/>
          <w:color w:val="000000"/>
          <w:sz w:val="32"/>
          <w:szCs w:val="32"/>
          <w:lang w:val="en-US" w:eastAsia="zh-CN"/>
        </w:rPr>
      </w:pPr>
    </w:p>
    <w:p w14:paraId="6892CBF3">
      <w:pPr>
        <w:pStyle w:val="4"/>
        <w:numPr>
          <w:ilvl w:val="0"/>
          <w:numId w:val="0"/>
        </w:numPr>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附件2</w:t>
      </w:r>
    </w:p>
    <w:tbl>
      <w:tblPr>
        <w:tblStyle w:val="14"/>
        <w:tblpPr w:leftFromText="180" w:rightFromText="180" w:vertAnchor="text" w:horzAnchor="page" w:tblpX="1225" w:tblpY="547"/>
        <w:tblOverlap w:val="never"/>
        <w:tblW w:w="101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94"/>
        <w:gridCol w:w="1080"/>
        <w:gridCol w:w="816"/>
        <w:gridCol w:w="1080"/>
        <w:gridCol w:w="1035"/>
        <w:gridCol w:w="1080"/>
        <w:gridCol w:w="825"/>
      </w:tblGrid>
      <w:tr w14:paraId="645B5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10" w:type="dxa"/>
            <w:gridSpan w:val="7"/>
            <w:tcBorders>
              <w:top w:val="nil"/>
              <w:left w:val="nil"/>
              <w:bottom w:val="nil"/>
              <w:right w:val="nil"/>
            </w:tcBorders>
            <w:shd w:val="clear" w:color="auto" w:fill="auto"/>
            <w:noWrap/>
            <w:vAlign w:val="center"/>
          </w:tcPr>
          <w:p w14:paraId="7C8F153E">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2025年度部门整体支出绩效评价基础数据表</w:t>
            </w:r>
          </w:p>
        </w:tc>
      </w:tr>
      <w:tr w14:paraId="3F2AB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7F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财政供养人员情况（人）</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9C7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编制数</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8AAF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eastAsia" w:cs="Times New Roman"/>
                <w:b/>
                <w:bCs/>
                <w:i w:val="0"/>
                <w:iCs w:val="0"/>
                <w:color w:val="000000"/>
                <w:kern w:val="0"/>
                <w:sz w:val="20"/>
                <w:szCs w:val="20"/>
                <w:u w:val="none"/>
                <w:lang w:val="en-US" w:eastAsia="zh-CN" w:bidi="ar"/>
              </w:rPr>
              <w:t>2025年</w:t>
            </w:r>
            <w:r>
              <w:rPr>
                <w:rFonts w:hint="eastAsia" w:ascii="宋体" w:hAnsi="宋体" w:eastAsia="宋体" w:cs="宋体"/>
                <w:b/>
                <w:bCs/>
                <w:i w:val="0"/>
                <w:iCs w:val="0"/>
                <w:color w:val="000000"/>
                <w:kern w:val="0"/>
                <w:sz w:val="20"/>
                <w:szCs w:val="20"/>
                <w:u w:val="none"/>
                <w:lang w:val="en-US" w:eastAsia="zh-CN" w:bidi="ar"/>
              </w:rPr>
              <w:t>实际在职人数</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98B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控制率</w:t>
            </w:r>
          </w:p>
        </w:tc>
      </w:tr>
      <w:tr w14:paraId="46355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BAA9B">
            <w:pPr>
              <w:jc w:val="center"/>
              <w:rPr>
                <w:rFonts w:hint="eastAsia" w:ascii="宋体" w:hAnsi="宋体" w:eastAsia="宋体" w:cs="宋体"/>
                <w:i w:val="0"/>
                <w:iCs w:val="0"/>
                <w:color w:val="000000"/>
                <w:sz w:val="20"/>
                <w:szCs w:val="20"/>
                <w:u w:val="none"/>
              </w:rPr>
            </w:pP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23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1</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AAD7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27</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BD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87.1</w:t>
            </w:r>
            <w:r>
              <w:rPr>
                <w:rFonts w:hint="eastAsia" w:ascii="宋体" w:hAnsi="宋体" w:eastAsia="宋体" w:cs="宋体"/>
                <w:i w:val="0"/>
                <w:iCs w:val="0"/>
                <w:color w:val="000000"/>
                <w:kern w:val="0"/>
                <w:sz w:val="20"/>
                <w:szCs w:val="20"/>
                <w:u w:val="none"/>
                <w:lang w:val="en-US" w:eastAsia="zh-CN" w:bidi="ar"/>
              </w:rPr>
              <w:t>%</w:t>
            </w:r>
          </w:p>
        </w:tc>
      </w:tr>
      <w:tr w14:paraId="5DF70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E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经费控制情况（万元）</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8B4D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202</w:t>
            </w:r>
            <w:r>
              <w:rPr>
                <w:rFonts w:hint="eastAsia" w:cs="Times New Roman"/>
                <w:b/>
                <w:bCs/>
                <w:i w:val="0"/>
                <w:iCs w:val="0"/>
                <w:color w:val="000000"/>
                <w:kern w:val="0"/>
                <w:sz w:val="20"/>
                <w:szCs w:val="20"/>
                <w:u w:val="none"/>
                <w:lang w:val="en-US" w:eastAsia="zh-CN" w:bidi="ar"/>
              </w:rPr>
              <w:t>4</w:t>
            </w:r>
            <w:r>
              <w:rPr>
                <w:rFonts w:hint="eastAsia" w:ascii="宋体" w:hAnsi="宋体" w:eastAsia="宋体" w:cs="宋体"/>
                <w:b/>
                <w:bCs/>
                <w:i w:val="0"/>
                <w:iCs w:val="0"/>
                <w:color w:val="000000"/>
                <w:kern w:val="0"/>
                <w:sz w:val="20"/>
                <w:szCs w:val="20"/>
                <w:u w:val="none"/>
                <w:lang w:val="en-US" w:eastAsia="zh-CN" w:bidi="ar"/>
              </w:rPr>
              <w:t>年决算数</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9D37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eastAsia" w:cs="Times New Roman"/>
                <w:b/>
                <w:bCs/>
                <w:i w:val="0"/>
                <w:iCs w:val="0"/>
                <w:color w:val="000000"/>
                <w:kern w:val="0"/>
                <w:sz w:val="20"/>
                <w:szCs w:val="20"/>
                <w:u w:val="none"/>
                <w:lang w:val="en-US" w:eastAsia="zh-CN" w:bidi="ar"/>
              </w:rPr>
              <w:t>2025年</w:t>
            </w:r>
            <w:r>
              <w:rPr>
                <w:rFonts w:hint="eastAsia" w:ascii="宋体" w:hAnsi="宋体" w:eastAsia="宋体" w:cs="宋体"/>
                <w:b/>
                <w:bCs/>
                <w:i w:val="0"/>
                <w:iCs w:val="0"/>
                <w:color w:val="000000"/>
                <w:kern w:val="0"/>
                <w:sz w:val="20"/>
                <w:szCs w:val="20"/>
                <w:u w:val="none"/>
                <w:lang w:val="en-US" w:eastAsia="zh-CN" w:bidi="ar"/>
              </w:rPr>
              <w:t>预算数</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BDC4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eastAsia" w:cs="Times New Roman"/>
                <w:b/>
                <w:bCs/>
                <w:i w:val="0"/>
                <w:iCs w:val="0"/>
                <w:color w:val="000000"/>
                <w:kern w:val="0"/>
                <w:sz w:val="20"/>
                <w:szCs w:val="20"/>
                <w:u w:val="none"/>
                <w:lang w:val="en-US" w:eastAsia="zh-CN" w:bidi="ar"/>
              </w:rPr>
              <w:t>2025年</w:t>
            </w:r>
            <w:r>
              <w:rPr>
                <w:rFonts w:hint="eastAsia" w:ascii="宋体" w:hAnsi="宋体" w:eastAsia="宋体" w:cs="宋体"/>
                <w:b/>
                <w:bCs/>
                <w:i w:val="0"/>
                <w:iCs w:val="0"/>
                <w:color w:val="000000"/>
                <w:kern w:val="0"/>
                <w:sz w:val="20"/>
                <w:szCs w:val="20"/>
                <w:u w:val="none"/>
                <w:lang w:val="en-US" w:eastAsia="zh-CN" w:bidi="ar"/>
              </w:rPr>
              <w:t>决算数</w:t>
            </w:r>
          </w:p>
        </w:tc>
      </w:tr>
      <w:tr w14:paraId="7FE8A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8A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一、部门基本支出</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F9D0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552.3</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98BA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497.97</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15CD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545.93</w:t>
            </w:r>
          </w:p>
        </w:tc>
      </w:tr>
      <w:tr w14:paraId="7841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F9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其中：公用经费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2F42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66.15</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BD04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45.36</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D683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84.6</w:t>
            </w:r>
          </w:p>
        </w:tc>
      </w:tr>
      <w:tr w14:paraId="27B1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B9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其中：办公经费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45DD8">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4.66</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AD10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2.75</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32F8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6.33</w:t>
            </w:r>
          </w:p>
        </w:tc>
      </w:tr>
      <w:tr w14:paraId="58DE1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C783">
            <w:pPr>
              <w:keepNext w:val="0"/>
              <w:keepLines w:val="0"/>
              <w:widowControl/>
              <w:suppressLineNumbers w:val="0"/>
              <w:ind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水费、电费、差旅费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0F65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9</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C551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5.66</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1212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13.53</w:t>
            </w:r>
          </w:p>
        </w:tc>
      </w:tr>
      <w:tr w14:paraId="5F554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56F6">
            <w:pPr>
              <w:keepNext w:val="0"/>
              <w:keepLines w:val="0"/>
              <w:widowControl/>
              <w:suppressLineNumbers w:val="0"/>
              <w:ind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会议费、培训费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F47E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1</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514C7">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A100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0.73</w:t>
            </w:r>
          </w:p>
        </w:tc>
      </w:tr>
      <w:tr w14:paraId="721F4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747C">
            <w:pPr>
              <w:keepNext w:val="0"/>
              <w:keepLines w:val="0"/>
              <w:widowControl/>
              <w:suppressLineNumbers w:val="0"/>
              <w:ind w:firstLineChars="1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AC77C">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0.33</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F067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0.3</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4D78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0.25</w:t>
            </w:r>
          </w:p>
        </w:tc>
      </w:tr>
      <w:tr w14:paraId="4D9D1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7351">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、公务用车购置和维护经费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F4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BB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B9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3EFEB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1D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其中：公交车购置</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D3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8A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0F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4B07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259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公交车运行维护</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96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01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03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r>
      <w:tr w14:paraId="0F20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9A1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2</w:t>
            </w:r>
            <w:r>
              <w:rPr>
                <w:rFonts w:hint="eastAsia" w:ascii="宋体" w:hAnsi="宋体" w:eastAsia="宋体" w:cs="宋体"/>
                <w:i w:val="0"/>
                <w:iCs w:val="0"/>
                <w:color w:val="000000"/>
                <w:kern w:val="0"/>
                <w:sz w:val="20"/>
                <w:szCs w:val="20"/>
                <w:u w:val="none"/>
                <w:lang w:val="en-US" w:eastAsia="zh-CN" w:bidi="ar"/>
              </w:rPr>
              <w:t>、出国经费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635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C9B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8BF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p>
        </w:tc>
      </w:tr>
      <w:tr w14:paraId="20120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3E2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3</w:t>
            </w:r>
            <w:r>
              <w:rPr>
                <w:rFonts w:hint="eastAsia" w:ascii="宋体" w:hAnsi="宋体" w:eastAsia="宋体" w:cs="宋体"/>
                <w:i w:val="0"/>
                <w:iCs w:val="0"/>
                <w:color w:val="000000"/>
                <w:kern w:val="0"/>
                <w:sz w:val="20"/>
                <w:szCs w:val="20"/>
                <w:u w:val="none"/>
                <w:lang w:val="en-US" w:eastAsia="zh-CN" w:bidi="ar"/>
              </w:rPr>
              <w:t>、公务接待</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4B4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0.33</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844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cs="Times New Roman"/>
                <w:i w:val="0"/>
                <w:iCs w:val="0"/>
                <w:color w:val="000000"/>
                <w:sz w:val="20"/>
                <w:szCs w:val="20"/>
                <w:u w:val="none"/>
                <w:lang w:val="en-US" w:eastAsia="zh-CN"/>
              </w:rPr>
              <w:t>0.3</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A94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cs="Times New Roman"/>
                <w:i w:val="0"/>
                <w:iCs w:val="0"/>
                <w:color w:val="000000"/>
                <w:sz w:val="20"/>
                <w:szCs w:val="20"/>
                <w:u w:val="none"/>
                <w:lang w:val="en-US" w:eastAsia="zh-CN"/>
              </w:rPr>
              <w:t>0.25</w:t>
            </w:r>
          </w:p>
        </w:tc>
      </w:tr>
      <w:tr w14:paraId="084CA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62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二、部门项目支出</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9DA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445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0EC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p>
        </w:tc>
      </w:tr>
      <w:tr w14:paraId="16D86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522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1</w:t>
            </w:r>
            <w:r>
              <w:rPr>
                <w:rFonts w:hint="eastAsia" w:ascii="宋体" w:hAnsi="宋体" w:eastAsia="宋体" w:cs="宋体"/>
                <w:i w:val="0"/>
                <w:iCs w:val="0"/>
                <w:color w:val="000000"/>
                <w:kern w:val="0"/>
                <w:sz w:val="20"/>
                <w:szCs w:val="20"/>
                <w:u w:val="none"/>
                <w:lang w:val="en-US" w:eastAsia="zh-CN" w:bidi="ar"/>
              </w:rPr>
              <w:t>、业务工作经费（一个项目一行）</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8BA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13.58</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9192E">
            <w:pPr>
              <w:keepNext w:val="0"/>
              <w:keepLines w:val="0"/>
              <w:widowControl/>
              <w:suppressLineNumbers w:val="0"/>
              <w:jc w:val="center"/>
              <w:textAlignment w:val="center"/>
              <w:rPr>
                <w:rFonts w:hint="eastAsia" w:ascii="Times New Roman" w:hAnsi="Times New Roman" w:eastAsia="宋体" w:cs="Times New Roman"/>
                <w:i w:val="0"/>
                <w:iCs w:val="0"/>
                <w:color w:val="000000"/>
                <w:sz w:val="20"/>
                <w:szCs w:val="20"/>
                <w:u w:val="none"/>
                <w:lang w:val="en-US" w:eastAsia="zh-CN"/>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FCF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p>
        </w:tc>
      </w:tr>
      <w:tr w14:paraId="5DCB4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D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市属国有企业国资监管工作经费（包括：办公费、培训费、差旅费</w:t>
            </w:r>
            <w:r>
              <w:rPr>
                <w:rFonts w:hint="eastAsia" w:ascii="宋体" w:hAnsi="宋体" w:cs="宋体"/>
                <w:i w:val="0"/>
                <w:iCs w:val="0"/>
                <w:color w:val="000000"/>
                <w:kern w:val="0"/>
                <w:sz w:val="20"/>
                <w:szCs w:val="20"/>
                <w:u w:val="none"/>
                <w:lang w:val="en-US" w:eastAsia="zh-CN" w:bidi="ar"/>
              </w:rPr>
              <w:t>等</w:t>
            </w:r>
            <w:r>
              <w:rPr>
                <w:rFonts w:hint="eastAsia" w:ascii="宋体" w:hAnsi="宋体" w:eastAsia="宋体" w:cs="宋体"/>
                <w:i w:val="0"/>
                <w:iCs w:val="0"/>
                <w:color w:val="000000"/>
                <w:kern w:val="0"/>
                <w:sz w:val="20"/>
                <w:szCs w:val="20"/>
                <w:u w:val="none"/>
                <w:lang w:val="en-US" w:eastAsia="zh-CN" w:bidi="ar"/>
              </w:rPr>
              <w:t>）</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4C4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7</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B58D2">
            <w:pPr>
              <w:keepNext w:val="0"/>
              <w:keepLines w:val="0"/>
              <w:widowControl/>
              <w:suppressLineNumbers w:val="0"/>
              <w:jc w:val="center"/>
              <w:textAlignment w:val="center"/>
              <w:rPr>
                <w:rFonts w:hint="eastAsia" w:ascii="Times New Roman" w:hAnsi="Times New Roman" w:eastAsia="宋体" w:cs="Times New Roman"/>
                <w:i w:val="0"/>
                <w:iCs w:val="0"/>
                <w:color w:val="000000"/>
                <w:sz w:val="20"/>
                <w:szCs w:val="20"/>
                <w:u w:val="none"/>
                <w:lang w:val="en-US" w:eastAsia="zh-CN"/>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66963">
            <w:pPr>
              <w:keepNext w:val="0"/>
              <w:keepLines w:val="0"/>
              <w:widowControl/>
              <w:suppressLineNumbers w:val="0"/>
              <w:jc w:val="center"/>
              <w:textAlignment w:val="center"/>
              <w:rPr>
                <w:rFonts w:hint="eastAsia" w:ascii="Times New Roman" w:hAnsi="Times New Roman" w:eastAsia="宋体" w:cs="Times New Roman"/>
                <w:i w:val="0"/>
                <w:iCs w:val="0"/>
                <w:color w:val="000000"/>
                <w:sz w:val="20"/>
                <w:szCs w:val="20"/>
                <w:u w:val="none"/>
                <w:lang w:val="en-US" w:eastAsia="zh-CN"/>
              </w:rPr>
            </w:pPr>
          </w:p>
        </w:tc>
      </w:tr>
      <w:tr w14:paraId="10C7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F45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cs="Times New Roman"/>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市国企改革办工作经费</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F128D">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6.58</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4BA52">
            <w:pPr>
              <w:jc w:val="center"/>
              <w:rPr>
                <w:rFonts w:hint="default" w:ascii="宋体" w:hAnsi="宋体" w:eastAsia="宋体" w:cs="宋体"/>
                <w:i w:val="0"/>
                <w:iCs w:val="0"/>
                <w:color w:val="000000"/>
                <w:sz w:val="20"/>
                <w:szCs w:val="20"/>
                <w:u w:val="none"/>
                <w:lang w:val="en-US" w:eastAsia="zh-CN"/>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09F4C">
            <w:pPr>
              <w:jc w:val="center"/>
              <w:rPr>
                <w:rFonts w:hint="default" w:ascii="宋体" w:hAnsi="宋体" w:eastAsia="宋体" w:cs="宋体"/>
                <w:i w:val="0"/>
                <w:iCs w:val="0"/>
                <w:color w:val="000000"/>
                <w:sz w:val="20"/>
                <w:szCs w:val="20"/>
                <w:u w:val="none"/>
                <w:lang w:val="en-US" w:eastAsia="zh-CN"/>
              </w:rPr>
            </w:pPr>
          </w:p>
        </w:tc>
      </w:tr>
      <w:tr w14:paraId="669F9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51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54BF3">
            <w:pPr>
              <w:jc w:val="center"/>
              <w:rPr>
                <w:rFonts w:hint="default" w:ascii="Times New Roman" w:hAnsi="Times New Roman" w:eastAsia="宋体" w:cs="Times New Roman"/>
                <w:i w:val="0"/>
                <w:iCs w:val="0"/>
                <w:color w:val="000000"/>
                <w:sz w:val="20"/>
                <w:szCs w:val="20"/>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269D1">
            <w:pPr>
              <w:jc w:val="center"/>
              <w:rPr>
                <w:rFonts w:hint="default" w:ascii="Times New Roman" w:hAnsi="Times New Roman" w:eastAsia="宋体" w:cs="Times New Roman"/>
                <w:i w:val="0"/>
                <w:iCs w:val="0"/>
                <w:color w:val="000000"/>
                <w:sz w:val="20"/>
                <w:szCs w:val="20"/>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C912F">
            <w:pPr>
              <w:jc w:val="center"/>
              <w:rPr>
                <w:rFonts w:hint="default" w:ascii="Times New Roman" w:hAnsi="Times New Roman" w:eastAsia="宋体" w:cs="Times New Roman"/>
                <w:i w:val="0"/>
                <w:iCs w:val="0"/>
                <w:color w:val="000000"/>
                <w:sz w:val="20"/>
                <w:szCs w:val="20"/>
                <w:u w:val="none"/>
              </w:rPr>
            </w:pPr>
          </w:p>
        </w:tc>
      </w:tr>
      <w:tr w14:paraId="0603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039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cs="Times New Roman"/>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 xml:space="preserve">、市级专项资金（一个项目一行）  </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920CA">
            <w:pPr>
              <w:jc w:val="center"/>
              <w:rPr>
                <w:rFonts w:hint="default" w:ascii="Times New Roman" w:hAnsi="Times New Roman" w:eastAsia="宋体" w:cs="Times New Roman"/>
                <w:i w:val="0"/>
                <w:iCs w:val="0"/>
                <w:color w:val="000000"/>
                <w:sz w:val="20"/>
                <w:szCs w:val="20"/>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A0572">
            <w:pPr>
              <w:jc w:val="center"/>
              <w:rPr>
                <w:rFonts w:hint="default" w:ascii="Times New Roman" w:hAnsi="Times New Roman" w:eastAsia="宋体" w:cs="Times New Roman"/>
                <w:i w:val="0"/>
                <w:iCs w:val="0"/>
                <w:color w:val="000000"/>
                <w:sz w:val="20"/>
                <w:szCs w:val="20"/>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EBCEE">
            <w:pPr>
              <w:jc w:val="center"/>
              <w:rPr>
                <w:rFonts w:hint="default" w:ascii="Times New Roman" w:hAnsi="Times New Roman" w:eastAsia="宋体" w:cs="Times New Roman"/>
                <w:i w:val="0"/>
                <w:iCs w:val="0"/>
                <w:color w:val="000000"/>
                <w:sz w:val="20"/>
                <w:szCs w:val="20"/>
                <w:u w:val="none"/>
              </w:rPr>
            </w:pPr>
          </w:p>
        </w:tc>
      </w:tr>
      <w:tr w14:paraId="0FBF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34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56C02">
            <w:pPr>
              <w:jc w:val="center"/>
              <w:rPr>
                <w:rFonts w:hint="eastAsia" w:ascii="宋体" w:hAnsi="宋体" w:eastAsia="宋体" w:cs="宋体"/>
                <w:i w:val="0"/>
                <w:iCs w:val="0"/>
                <w:color w:val="000000"/>
                <w:sz w:val="20"/>
                <w:szCs w:val="20"/>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DEB06">
            <w:pPr>
              <w:jc w:val="center"/>
              <w:rPr>
                <w:rFonts w:hint="eastAsia" w:ascii="宋体" w:hAnsi="宋体" w:eastAsia="宋体" w:cs="宋体"/>
                <w:i w:val="0"/>
                <w:iCs w:val="0"/>
                <w:color w:val="000000"/>
                <w:sz w:val="20"/>
                <w:szCs w:val="20"/>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2CBA7">
            <w:pPr>
              <w:jc w:val="center"/>
              <w:rPr>
                <w:rFonts w:hint="eastAsia" w:ascii="宋体" w:hAnsi="宋体" w:eastAsia="宋体" w:cs="宋体"/>
                <w:i w:val="0"/>
                <w:iCs w:val="0"/>
                <w:color w:val="000000"/>
                <w:sz w:val="20"/>
                <w:szCs w:val="20"/>
                <w:u w:val="none"/>
              </w:rPr>
            </w:pPr>
          </w:p>
        </w:tc>
      </w:tr>
      <w:tr w14:paraId="40B40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AC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政府采购金额</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72F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84D52">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EEA73">
            <w:pPr>
              <w:jc w:val="center"/>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r>
      <w:tr w14:paraId="6103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AD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部门基本支出预算调整</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3CE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96C2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C144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r>
      <w:tr w14:paraId="1C39D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B95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楼堂馆所控制情况</w:t>
            </w:r>
          </w:p>
          <w:p w14:paraId="37363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（2021年完工项目）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2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批复规模</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0C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实际规模（㎡）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82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规模控制率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6B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预算投资（万元）</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05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实际投资（万元）</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82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投资概算控制率</w:t>
            </w:r>
          </w:p>
        </w:tc>
      </w:tr>
      <w:tr w14:paraId="39693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8DD6F">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3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85E3C">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A6A2D">
            <w:pPr>
              <w:jc w:val="center"/>
              <w:rPr>
                <w:rFonts w:hint="eastAsia" w:ascii="宋体" w:hAnsi="宋体" w:eastAsia="宋体" w:cs="宋体"/>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6CA53">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D455B">
            <w:pPr>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BB404">
            <w:pPr>
              <w:jc w:val="center"/>
              <w:rPr>
                <w:rFonts w:hint="eastAsia" w:ascii="宋体" w:hAnsi="宋体" w:eastAsia="宋体" w:cs="宋体"/>
                <w:i w:val="0"/>
                <w:iCs w:val="0"/>
                <w:color w:val="000000"/>
                <w:sz w:val="20"/>
                <w:szCs w:val="20"/>
                <w:u w:val="none"/>
              </w:rPr>
            </w:pPr>
          </w:p>
        </w:tc>
      </w:tr>
      <w:tr w14:paraId="5F890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9B9A">
            <w:pP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B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5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2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4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C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7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14:paraId="1BFB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3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厉行节约保障措施</w:t>
            </w:r>
          </w:p>
        </w:tc>
        <w:tc>
          <w:tcPr>
            <w:tcW w:w="59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512FB2">
            <w:pPr>
              <w:jc w:val="center"/>
              <w:rPr>
                <w:rFonts w:hint="eastAsia" w:ascii="宋体" w:hAnsi="宋体" w:eastAsia="宋体" w:cs="宋体"/>
                <w:i w:val="0"/>
                <w:iCs w:val="0"/>
                <w:color w:val="000000"/>
                <w:sz w:val="20"/>
                <w:szCs w:val="20"/>
                <w:u w:val="none"/>
              </w:rPr>
            </w:pPr>
          </w:p>
        </w:tc>
      </w:tr>
      <w:tr w14:paraId="5E47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0110" w:type="dxa"/>
            <w:gridSpan w:val="7"/>
            <w:vMerge w:val="restart"/>
            <w:tcBorders>
              <w:top w:val="nil"/>
              <w:left w:val="nil"/>
              <w:bottom w:val="nil"/>
              <w:right w:val="nil"/>
            </w:tcBorders>
            <w:shd w:val="clear" w:color="auto" w:fill="auto"/>
            <w:vAlign w:val="center"/>
          </w:tcPr>
          <w:p w14:paraId="2AD586C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说明：“项目支出”需要填报基本支出以外的所有项目支出情况，“公用经费”填报基本支出中的一般商品和服务支出。</w:t>
            </w:r>
          </w:p>
          <w:p w14:paraId="05FA01F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填表人：肖景文 填报日期：2026年3月23日 联系电话：18074673632  单位负责人签字：王名扬</w:t>
            </w:r>
          </w:p>
        </w:tc>
      </w:tr>
      <w:tr w14:paraId="18662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0110" w:type="dxa"/>
            <w:gridSpan w:val="7"/>
            <w:vMerge w:val="continue"/>
            <w:tcBorders>
              <w:top w:val="nil"/>
              <w:left w:val="nil"/>
              <w:bottom w:val="nil"/>
              <w:right w:val="nil"/>
            </w:tcBorders>
            <w:shd w:val="clear" w:color="auto" w:fill="auto"/>
            <w:vAlign w:val="center"/>
          </w:tcPr>
          <w:p w14:paraId="242A2946">
            <w:pPr>
              <w:jc w:val="left"/>
              <w:rPr>
                <w:rFonts w:hint="default" w:ascii="Times New Roman" w:hAnsi="Times New Roman" w:eastAsia="宋体" w:cs="Times New Roman"/>
                <w:i w:val="0"/>
                <w:iCs w:val="0"/>
                <w:color w:val="000000"/>
                <w:sz w:val="22"/>
                <w:szCs w:val="22"/>
                <w:u w:val="none"/>
              </w:rPr>
            </w:pPr>
          </w:p>
        </w:tc>
      </w:tr>
      <w:tr w14:paraId="30CAC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110" w:type="dxa"/>
            <w:gridSpan w:val="7"/>
            <w:vMerge w:val="continue"/>
            <w:tcBorders>
              <w:top w:val="nil"/>
              <w:left w:val="nil"/>
              <w:bottom w:val="nil"/>
              <w:right w:val="nil"/>
            </w:tcBorders>
            <w:shd w:val="clear" w:color="auto" w:fill="auto"/>
            <w:vAlign w:val="center"/>
          </w:tcPr>
          <w:p w14:paraId="561DFC3E">
            <w:pPr>
              <w:jc w:val="left"/>
              <w:rPr>
                <w:rFonts w:hint="default" w:ascii="Times New Roman" w:hAnsi="Times New Roman" w:eastAsia="宋体" w:cs="Times New Roman"/>
                <w:i w:val="0"/>
                <w:iCs w:val="0"/>
                <w:color w:val="000000"/>
                <w:sz w:val="22"/>
                <w:szCs w:val="22"/>
                <w:u w:val="none"/>
              </w:rPr>
            </w:pPr>
          </w:p>
        </w:tc>
      </w:tr>
      <w:tr w14:paraId="4BFEB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110" w:type="dxa"/>
            <w:gridSpan w:val="7"/>
            <w:vMerge w:val="continue"/>
            <w:tcBorders>
              <w:top w:val="nil"/>
              <w:left w:val="nil"/>
              <w:bottom w:val="nil"/>
              <w:right w:val="nil"/>
            </w:tcBorders>
            <w:shd w:val="clear" w:color="auto" w:fill="auto"/>
            <w:vAlign w:val="center"/>
          </w:tcPr>
          <w:p w14:paraId="7C0F9F42">
            <w:pPr>
              <w:jc w:val="left"/>
              <w:rPr>
                <w:rFonts w:hint="default" w:ascii="Times New Roman" w:hAnsi="Times New Roman" w:eastAsia="宋体" w:cs="Times New Roman"/>
                <w:i w:val="0"/>
                <w:iCs w:val="0"/>
                <w:color w:val="000000"/>
                <w:sz w:val="22"/>
                <w:szCs w:val="22"/>
                <w:u w:val="none"/>
              </w:rPr>
            </w:pPr>
          </w:p>
        </w:tc>
      </w:tr>
      <w:tr w14:paraId="5827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110" w:type="dxa"/>
            <w:gridSpan w:val="7"/>
            <w:vMerge w:val="continue"/>
            <w:tcBorders>
              <w:top w:val="nil"/>
              <w:left w:val="nil"/>
              <w:bottom w:val="nil"/>
              <w:right w:val="nil"/>
            </w:tcBorders>
            <w:shd w:val="clear" w:color="auto" w:fill="auto"/>
            <w:vAlign w:val="center"/>
          </w:tcPr>
          <w:p w14:paraId="065665E7">
            <w:pPr>
              <w:jc w:val="left"/>
              <w:rPr>
                <w:rFonts w:hint="default" w:ascii="Times New Roman" w:hAnsi="Times New Roman" w:eastAsia="宋体" w:cs="Times New Roman"/>
                <w:i w:val="0"/>
                <w:iCs w:val="0"/>
                <w:color w:val="000000"/>
                <w:sz w:val="22"/>
                <w:szCs w:val="22"/>
                <w:u w:val="none"/>
              </w:rPr>
            </w:pPr>
          </w:p>
        </w:tc>
      </w:tr>
      <w:tr w14:paraId="32EB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110" w:type="dxa"/>
            <w:gridSpan w:val="7"/>
            <w:vMerge w:val="continue"/>
            <w:tcBorders>
              <w:top w:val="nil"/>
              <w:left w:val="nil"/>
              <w:bottom w:val="nil"/>
              <w:right w:val="nil"/>
            </w:tcBorders>
            <w:shd w:val="clear" w:color="auto" w:fill="auto"/>
            <w:vAlign w:val="center"/>
          </w:tcPr>
          <w:p w14:paraId="3C628764">
            <w:pPr>
              <w:jc w:val="left"/>
              <w:rPr>
                <w:rFonts w:hint="default" w:ascii="Times New Roman" w:hAnsi="Times New Roman" w:eastAsia="宋体" w:cs="Times New Roman"/>
                <w:i w:val="0"/>
                <w:iCs w:val="0"/>
                <w:color w:val="000000"/>
                <w:sz w:val="22"/>
                <w:szCs w:val="22"/>
                <w:u w:val="none"/>
              </w:rPr>
            </w:pPr>
          </w:p>
        </w:tc>
      </w:tr>
      <w:tr w14:paraId="137F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110" w:type="dxa"/>
            <w:gridSpan w:val="7"/>
            <w:tcBorders>
              <w:top w:val="nil"/>
              <w:left w:val="nil"/>
              <w:bottom w:val="nil"/>
              <w:right w:val="nil"/>
            </w:tcBorders>
            <w:shd w:val="clear" w:color="auto" w:fill="auto"/>
            <w:vAlign w:val="center"/>
          </w:tcPr>
          <w:p w14:paraId="4B38CF44">
            <w:pPr>
              <w:pStyle w:val="4"/>
              <w:rPr>
                <w:rFonts w:hint="eastAsia"/>
                <w:lang w:val="en-US" w:eastAsia="zh-CN"/>
              </w:rPr>
            </w:pPr>
            <w:r>
              <w:rPr>
                <w:rFonts w:hint="eastAsia"/>
                <w:lang w:val="en-US" w:eastAsia="zh-CN"/>
              </w:rPr>
              <w:t>附件3</w:t>
            </w:r>
          </w:p>
          <w:p w14:paraId="28DE91D8">
            <w:pPr>
              <w:pStyle w:val="3"/>
              <w:rPr>
                <w:rFonts w:hint="default"/>
                <w:lang w:val="en-US" w:eastAsia="zh-CN"/>
              </w:rPr>
            </w:pPr>
          </w:p>
        </w:tc>
      </w:tr>
    </w:tbl>
    <w:tbl>
      <w:tblPr>
        <w:tblStyle w:val="14"/>
        <w:tblpPr w:leftFromText="180" w:rightFromText="180" w:vertAnchor="text" w:horzAnchor="page" w:tblpX="850" w:tblpY="351"/>
        <w:tblOverlap w:val="never"/>
        <w:tblW w:w="105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6"/>
        <w:gridCol w:w="616"/>
        <w:gridCol w:w="416"/>
        <w:gridCol w:w="5054"/>
        <w:gridCol w:w="873"/>
        <w:gridCol w:w="915"/>
        <w:gridCol w:w="570"/>
        <w:gridCol w:w="690"/>
        <w:gridCol w:w="840"/>
      </w:tblGrid>
      <w:tr w14:paraId="44705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trPr>
        <w:tc>
          <w:tcPr>
            <w:tcW w:w="10590" w:type="dxa"/>
            <w:gridSpan w:val="9"/>
            <w:tcBorders>
              <w:top w:val="nil"/>
              <w:left w:val="nil"/>
              <w:bottom w:val="nil"/>
              <w:right w:val="nil"/>
            </w:tcBorders>
            <w:shd w:val="clear" w:color="auto" w:fill="auto"/>
            <w:noWrap/>
            <w:vAlign w:val="center"/>
          </w:tcPr>
          <w:p w14:paraId="2E21804C">
            <w:pPr>
              <w:keepNext w:val="0"/>
              <w:keepLines w:val="0"/>
              <w:widowControl/>
              <w:suppressLineNumbers w:val="0"/>
              <w:ind w:firstLine="1760" w:firstLineChars="400"/>
              <w:jc w:val="both"/>
              <w:textAlignment w:val="center"/>
              <w:rPr>
                <w:rFonts w:hint="eastAsia"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2025年度部门整体支出绩效自评表</w:t>
            </w:r>
          </w:p>
        </w:tc>
      </w:tr>
      <w:tr w14:paraId="2ABF7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0590" w:type="dxa"/>
            <w:gridSpan w:val="9"/>
            <w:tcBorders>
              <w:top w:val="nil"/>
              <w:left w:val="nil"/>
              <w:bottom w:val="nil"/>
              <w:right w:val="nil"/>
            </w:tcBorders>
            <w:shd w:val="clear" w:color="auto" w:fill="auto"/>
            <w:noWrap/>
            <w:vAlign w:val="center"/>
          </w:tcPr>
          <w:p w14:paraId="394BC254">
            <w:pPr>
              <w:keepNext w:val="0"/>
              <w:keepLines w:val="0"/>
              <w:widowControl/>
              <w:suppressLineNumbers w:val="0"/>
              <w:jc w:val="center"/>
              <w:textAlignment w:val="center"/>
              <w:rPr>
                <w:rFonts w:hint="eastAsia" w:ascii="宋体" w:hAnsi="宋体" w:eastAsia="宋体" w:cs="宋体"/>
                <w:i w:val="0"/>
                <w:iCs w:val="0"/>
                <w:color w:val="000000"/>
                <w:kern w:val="0"/>
                <w:sz w:val="44"/>
                <w:szCs w:val="44"/>
                <w:u w:val="none"/>
                <w:lang w:val="en-US" w:eastAsia="zh-CN" w:bidi="ar"/>
              </w:rPr>
            </w:pPr>
          </w:p>
        </w:tc>
      </w:tr>
      <w:tr w14:paraId="04624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7"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1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市级预算部门名称</w:t>
            </w:r>
          </w:p>
        </w:tc>
        <w:tc>
          <w:tcPr>
            <w:tcW w:w="997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5E0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永州市人民政府国有资产监督管理委员会</w:t>
            </w:r>
          </w:p>
        </w:tc>
      </w:tr>
      <w:tr w14:paraId="4235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203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年度预算申请</w:t>
            </w:r>
          </w:p>
          <w:p w14:paraId="1A90BD9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（万元）</w:t>
            </w:r>
          </w:p>
        </w:tc>
        <w:tc>
          <w:tcPr>
            <w:tcW w:w="1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01949">
            <w:pPr>
              <w:jc w:val="center"/>
              <w:rPr>
                <w:rFonts w:hint="default" w:ascii="Times New Roman" w:hAnsi="Times New Roman" w:eastAsia="宋体" w:cs="Times New Roman"/>
                <w:i w:val="0"/>
                <w:iCs w:val="0"/>
                <w:color w:val="000000"/>
                <w:sz w:val="20"/>
                <w:szCs w:val="20"/>
                <w:u w:val="none"/>
              </w:rPr>
            </w:pPr>
          </w:p>
        </w:tc>
        <w:tc>
          <w:tcPr>
            <w:tcW w:w="5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3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年初预算数</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6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C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B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E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29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14:paraId="6236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A76D">
            <w:pPr>
              <w:jc w:val="center"/>
              <w:rPr>
                <w:rFonts w:hint="eastAsia" w:ascii="宋体" w:hAnsi="宋体" w:eastAsia="宋体" w:cs="宋体"/>
                <w:i w:val="0"/>
                <w:iCs w:val="0"/>
                <w:color w:val="000000"/>
                <w:sz w:val="20"/>
                <w:szCs w:val="20"/>
                <w:u w:val="none"/>
              </w:rPr>
            </w:pPr>
          </w:p>
        </w:tc>
        <w:tc>
          <w:tcPr>
            <w:tcW w:w="1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91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5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13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497.97</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E9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cs="Times New Roman"/>
                <w:i w:val="0"/>
                <w:iCs w:val="0"/>
                <w:color w:val="000000"/>
                <w:sz w:val="20"/>
                <w:szCs w:val="20"/>
                <w:u w:val="none"/>
                <w:lang w:val="en-US" w:eastAsia="zh-CN"/>
              </w:rPr>
              <w:t>607.09</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34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cs="Times New Roman"/>
                <w:i w:val="0"/>
                <w:iCs w:val="0"/>
                <w:color w:val="000000"/>
                <w:sz w:val="20"/>
                <w:szCs w:val="20"/>
                <w:u w:val="none"/>
                <w:lang w:val="en-US" w:eastAsia="zh-CN"/>
              </w:rPr>
              <w:t>605.08</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C3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B0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99.67</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87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cs="Times New Roman"/>
                <w:i w:val="0"/>
                <w:iCs w:val="0"/>
                <w:color w:val="000000"/>
                <w:kern w:val="0"/>
                <w:sz w:val="20"/>
                <w:szCs w:val="20"/>
                <w:u w:val="none"/>
                <w:lang w:val="en-US" w:eastAsia="zh-CN" w:bidi="ar"/>
              </w:rPr>
              <w:t>9.97</w:t>
            </w:r>
          </w:p>
        </w:tc>
      </w:tr>
      <w:tr w14:paraId="3C64B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70480">
            <w:pPr>
              <w:jc w:val="center"/>
              <w:rPr>
                <w:rFonts w:hint="eastAsia" w:ascii="宋体" w:hAnsi="宋体" w:eastAsia="宋体" w:cs="宋体"/>
                <w:i w:val="0"/>
                <w:iCs w:val="0"/>
                <w:color w:val="000000"/>
                <w:sz w:val="20"/>
                <w:szCs w:val="20"/>
                <w:u w:val="none"/>
              </w:rPr>
            </w:pPr>
          </w:p>
        </w:tc>
        <w:tc>
          <w:tcPr>
            <w:tcW w:w="6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826D9">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按收入性质分：</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0C44A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按支出性质分：</w:t>
            </w:r>
          </w:p>
        </w:tc>
      </w:tr>
      <w:tr w14:paraId="781A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5A9D0">
            <w:pPr>
              <w:jc w:val="center"/>
              <w:rPr>
                <w:rFonts w:hint="eastAsia" w:ascii="宋体" w:hAnsi="宋体" w:eastAsia="宋体" w:cs="宋体"/>
                <w:i w:val="0"/>
                <w:iCs w:val="0"/>
                <w:color w:val="000000"/>
                <w:sz w:val="20"/>
                <w:szCs w:val="20"/>
                <w:u w:val="none"/>
              </w:rPr>
            </w:pPr>
          </w:p>
        </w:tc>
        <w:tc>
          <w:tcPr>
            <w:tcW w:w="6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9208E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一般公共预算：</w:t>
            </w:r>
            <w:r>
              <w:rPr>
                <w:rFonts w:hint="eastAsia" w:cs="Times New Roman"/>
                <w:i w:val="0"/>
                <w:iCs w:val="0"/>
                <w:color w:val="000000"/>
                <w:kern w:val="0"/>
                <w:sz w:val="20"/>
                <w:szCs w:val="20"/>
                <w:u w:val="none"/>
                <w:lang w:val="en-US" w:eastAsia="zh-CN" w:bidi="ar"/>
              </w:rPr>
              <w:t>601.66</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EE75C9">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其中：基本支出：</w:t>
            </w:r>
            <w:r>
              <w:rPr>
                <w:rFonts w:hint="eastAsia" w:ascii="宋体" w:hAnsi="宋体" w:cs="宋体"/>
                <w:i w:val="0"/>
                <w:iCs w:val="0"/>
                <w:color w:val="000000"/>
                <w:kern w:val="0"/>
                <w:sz w:val="20"/>
                <w:szCs w:val="20"/>
                <w:u w:val="none"/>
                <w:lang w:val="en-US" w:eastAsia="zh-CN" w:bidi="ar"/>
              </w:rPr>
              <w:t>547.94</w:t>
            </w:r>
          </w:p>
        </w:tc>
      </w:tr>
      <w:tr w14:paraId="11B52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B952F">
            <w:pPr>
              <w:jc w:val="center"/>
              <w:rPr>
                <w:rFonts w:hint="eastAsia" w:ascii="宋体" w:hAnsi="宋体" w:eastAsia="宋体" w:cs="宋体"/>
                <w:i w:val="0"/>
                <w:iCs w:val="0"/>
                <w:color w:val="000000"/>
                <w:sz w:val="20"/>
                <w:szCs w:val="20"/>
                <w:u w:val="none"/>
              </w:rPr>
            </w:pPr>
          </w:p>
        </w:tc>
        <w:tc>
          <w:tcPr>
            <w:tcW w:w="6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9E5D0F">
            <w:pPr>
              <w:keepNext w:val="0"/>
              <w:keepLines w:val="0"/>
              <w:widowControl/>
              <w:suppressLineNumbers w:val="0"/>
              <w:ind w:firstLineChars="4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政府性基金拨款：</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F1E7DD">
            <w:pPr>
              <w:keepNext w:val="0"/>
              <w:keepLines w:val="0"/>
              <w:widowControl/>
              <w:suppressLineNumbers w:val="0"/>
              <w:ind w:firstLineChars="30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项目支出：</w:t>
            </w:r>
            <w:r>
              <w:rPr>
                <w:rFonts w:hint="eastAsia" w:ascii="宋体" w:hAnsi="宋体" w:cs="宋体"/>
                <w:i w:val="0"/>
                <w:iCs w:val="0"/>
                <w:color w:val="000000"/>
                <w:kern w:val="0"/>
                <w:sz w:val="20"/>
                <w:szCs w:val="20"/>
                <w:u w:val="none"/>
                <w:lang w:val="en-US" w:eastAsia="zh-CN" w:bidi="ar"/>
              </w:rPr>
              <w:t>59.15</w:t>
            </w:r>
          </w:p>
        </w:tc>
      </w:tr>
      <w:tr w14:paraId="1F1B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5EEF0">
            <w:pPr>
              <w:jc w:val="center"/>
              <w:rPr>
                <w:rFonts w:hint="eastAsia" w:ascii="宋体" w:hAnsi="宋体" w:eastAsia="宋体" w:cs="宋体"/>
                <w:i w:val="0"/>
                <w:iCs w:val="0"/>
                <w:color w:val="000000"/>
                <w:sz w:val="20"/>
                <w:szCs w:val="20"/>
                <w:u w:val="none"/>
              </w:rPr>
            </w:pPr>
          </w:p>
        </w:tc>
        <w:tc>
          <w:tcPr>
            <w:tcW w:w="6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D3D8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纳入专户管理的非税收入拨款：</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B3C4AE">
            <w:pPr>
              <w:jc w:val="left"/>
              <w:rPr>
                <w:rFonts w:hint="default" w:ascii="Times New Roman" w:hAnsi="Times New Roman" w:eastAsia="宋体" w:cs="Times New Roman"/>
                <w:i w:val="0"/>
                <w:iCs w:val="0"/>
                <w:color w:val="000000"/>
                <w:sz w:val="20"/>
                <w:szCs w:val="20"/>
                <w:u w:val="none"/>
              </w:rPr>
            </w:pPr>
          </w:p>
        </w:tc>
      </w:tr>
      <w:tr w14:paraId="1F9C0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40B27">
            <w:pPr>
              <w:jc w:val="center"/>
              <w:rPr>
                <w:rFonts w:hint="eastAsia" w:ascii="宋体" w:hAnsi="宋体" w:eastAsia="宋体" w:cs="宋体"/>
                <w:i w:val="0"/>
                <w:iCs w:val="0"/>
                <w:color w:val="000000"/>
                <w:sz w:val="20"/>
                <w:szCs w:val="20"/>
                <w:u w:val="none"/>
              </w:rPr>
            </w:pPr>
          </w:p>
        </w:tc>
        <w:tc>
          <w:tcPr>
            <w:tcW w:w="6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2E4F36">
            <w:pPr>
              <w:keepNext w:val="0"/>
              <w:keepLines w:val="0"/>
              <w:widowControl/>
              <w:suppressLineNumbers w:val="0"/>
              <w:ind w:firstLineChars="70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其他资金：</w:t>
            </w:r>
            <w:r>
              <w:rPr>
                <w:rFonts w:hint="eastAsia" w:ascii="宋体" w:hAnsi="宋体" w:cs="宋体"/>
                <w:i w:val="0"/>
                <w:iCs w:val="0"/>
                <w:color w:val="000000"/>
                <w:kern w:val="0"/>
                <w:sz w:val="20"/>
                <w:szCs w:val="20"/>
                <w:u w:val="none"/>
                <w:lang w:val="en-US" w:eastAsia="zh-CN" w:bidi="ar"/>
              </w:rPr>
              <w:t>5.43</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6EBE95">
            <w:pPr>
              <w:jc w:val="left"/>
              <w:rPr>
                <w:rFonts w:hint="default" w:ascii="Times New Roman" w:hAnsi="Times New Roman" w:eastAsia="宋体" w:cs="Times New Roman"/>
                <w:i w:val="0"/>
                <w:iCs w:val="0"/>
                <w:color w:val="000000"/>
                <w:sz w:val="20"/>
                <w:szCs w:val="20"/>
                <w:u w:val="none"/>
              </w:rPr>
            </w:pPr>
          </w:p>
        </w:tc>
      </w:tr>
      <w:tr w14:paraId="25B20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7E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6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877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316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　</w:t>
            </w:r>
          </w:p>
        </w:tc>
      </w:tr>
      <w:tr w14:paraId="22774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E714D">
            <w:pPr>
              <w:jc w:val="center"/>
              <w:rPr>
                <w:rFonts w:hint="eastAsia" w:ascii="宋体" w:hAnsi="宋体" w:eastAsia="宋体" w:cs="宋体"/>
                <w:i w:val="0"/>
                <w:iCs w:val="0"/>
                <w:color w:val="000000"/>
                <w:sz w:val="20"/>
                <w:szCs w:val="20"/>
                <w:u w:val="none"/>
              </w:rPr>
            </w:pPr>
          </w:p>
        </w:tc>
        <w:tc>
          <w:tcPr>
            <w:tcW w:w="6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8286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做好我委下属管理的</w:t>
            </w:r>
            <w:r>
              <w:rPr>
                <w:rFonts w:hint="eastAsia" w:ascii="宋体" w:hAnsi="宋体" w:cs="宋体"/>
                <w:i w:val="0"/>
                <w:iCs w:val="0"/>
                <w:color w:val="000000"/>
                <w:kern w:val="0"/>
                <w:sz w:val="20"/>
                <w:szCs w:val="20"/>
                <w:u w:val="none"/>
                <w:lang w:val="en-US" w:eastAsia="zh-CN" w:bidi="ar"/>
              </w:rPr>
              <w:t>13</w:t>
            </w:r>
            <w:r>
              <w:rPr>
                <w:rFonts w:hint="eastAsia" w:ascii="宋体" w:hAnsi="宋体" w:eastAsia="宋体" w:cs="宋体"/>
                <w:i w:val="0"/>
                <w:iCs w:val="0"/>
                <w:color w:val="000000"/>
                <w:kern w:val="0"/>
                <w:sz w:val="20"/>
                <w:szCs w:val="20"/>
                <w:u w:val="none"/>
                <w:lang w:val="en-US" w:eastAsia="zh-CN" w:bidi="ar"/>
              </w:rPr>
              <w:t>家（市城投公司、市经投公司、</w:t>
            </w:r>
            <w:r>
              <w:rPr>
                <w:rFonts w:hint="eastAsia" w:ascii="宋体" w:hAnsi="宋体" w:cs="宋体"/>
                <w:i w:val="0"/>
                <w:iCs w:val="0"/>
                <w:color w:val="000000"/>
                <w:kern w:val="0"/>
                <w:sz w:val="20"/>
                <w:szCs w:val="20"/>
                <w:u w:val="none"/>
                <w:lang w:val="en-US" w:eastAsia="zh-CN" w:bidi="ar"/>
              </w:rPr>
              <w:t>港发集团、</w:t>
            </w:r>
            <w:r>
              <w:rPr>
                <w:rFonts w:hint="eastAsia" w:ascii="宋体" w:hAnsi="宋体" w:eastAsia="宋体" w:cs="宋体"/>
                <w:i w:val="0"/>
                <w:iCs w:val="0"/>
                <w:color w:val="000000"/>
                <w:kern w:val="0"/>
                <w:sz w:val="20"/>
                <w:szCs w:val="20"/>
                <w:u w:val="none"/>
                <w:lang w:val="en-US" w:eastAsia="zh-CN" w:bidi="ar"/>
              </w:rPr>
              <w:t>涔天河公司、永州汽运总公司、市公交公司、市国投公司</w:t>
            </w:r>
            <w:r>
              <w:rPr>
                <w:rFonts w:hint="eastAsia" w:ascii="宋体" w:hAnsi="宋体" w:cs="宋体"/>
                <w:i w:val="0"/>
                <w:iCs w:val="0"/>
                <w:color w:val="000000"/>
                <w:kern w:val="0"/>
                <w:sz w:val="20"/>
                <w:szCs w:val="20"/>
                <w:u w:val="none"/>
                <w:lang w:val="en-US" w:eastAsia="zh-CN" w:bidi="ar"/>
              </w:rPr>
              <w:t>、华永湖南勘测规划设计有限公司、潇湘粮油公司、市二政公司、市机械化公司、市大健康公司、市潇湘安居公司</w:t>
            </w:r>
            <w:r>
              <w:rPr>
                <w:rFonts w:hint="eastAsia" w:ascii="宋体" w:hAnsi="宋体" w:eastAsia="宋体" w:cs="宋体"/>
                <w:i w:val="0"/>
                <w:iCs w:val="0"/>
                <w:color w:val="000000"/>
                <w:kern w:val="0"/>
                <w:sz w:val="20"/>
                <w:szCs w:val="20"/>
                <w:u w:val="none"/>
                <w:lang w:val="en-US" w:eastAsia="zh-CN" w:bidi="ar"/>
              </w:rPr>
              <w:t>）市属国有企业安全生产与经营管理和国有资产保值、增值的监管工作。做好市级平台公司转型发展相关工作；做好已改制企业历史遗留问题及市属监管企业的信访维稳工作、做好全市2</w:t>
            </w:r>
            <w:r>
              <w:rPr>
                <w:rFonts w:hint="eastAsia" w:ascii="宋体" w:hAnsi="宋体" w:cs="宋体"/>
                <w:i w:val="0"/>
                <w:iCs w:val="0"/>
                <w:color w:val="000000"/>
                <w:kern w:val="0"/>
                <w:sz w:val="20"/>
                <w:szCs w:val="20"/>
                <w:u w:val="none"/>
                <w:lang w:val="en-US" w:eastAsia="zh-CN" w:bidi="ar"/>
              </w:rPr>
              <w:t>52</w:t>
            </w:r>
            <w:r>
              <w:rPr>
                <w:rFonts w:hint="eastAsia" w:ascii="宋体" w:hAnsi="宋体" w:eastAsia="宋体" w:cs="宋体"/>
                <w:i w:val="0"/>
                <w:iCs w:val="0"/>
                <w:color w:val="000000"/>
                <w:kern w:val="0"/>
                <w:sz w:val="20"/>
                <w:szCs w:val="20"/>
                <w:u w:val="none"/>
                <w:lang w:val="en-US" w:eastAsia="zh-CN" w:bidi="ar"/>
              </w:rPr>
              <w:t>名市管干部的工资待遇和队伍稳定建设工作以及做好32家国有企业基层党建工作。</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FFA1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已按市委、市政府要求全部落实各项工作任务、较好地完成了全年国资监管工作目标。</w:t>
            </w:r>
          </w:p>
        </w:tc>
      </w:tr>
      <w:tr w14:paraId="40549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1D8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绩</w:t>
            </w:r>
          </w:p>
          <w:p w14:paraId="45E9D4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效</w:t>
            </w:r>
          </w:p>
          <w:p w14:paraId="2C3BE8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指</w:t>
            </w:r>
          </w:p>
          <w:p w14:paraId="33D4F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F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8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5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A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E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0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3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E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2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偏差原因分析及改进措施</w:t>
            </w:r>
          </w:p>
        </w:tc>
      </w:tr>
      <w:tr w14:paraId="0C64E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2F413">
            <w:pPr>
              <w:jc w:val="center"/>
              <w:rPr>
                <w:rFonts w:hint="eastAsia" w:ascii="宋体" w:hAnsi="宋体" w:eastAsia="宋体" w:cs="宋体"/>
                <w:i w:val="0"/>
                <w:iCs w:val="0"/>
                <w:color w:val="000000"/>
                <w:sz w:val="20"/>
                <w:szCs w:val="20"/>
                <w:u w:val="none"/>
              </w:rPr>
            </w:pPr>
          </w:p>
        </w:tc>
        <w:tc>
          <w:tcPr>
            <w:tcW w:w="616" w:type="dxa"/>
            <w:vMerge w:val="restart"/>
            <w:tcBorders>
              <w:top w:val="single" w:color="000000" w:sz="4" w:space="0"/>
              <w:left w:val="single" w:color="000000" w:sz="4" w:space="0"/>
              <w:right w:val="single" w:color="000000" w:sz="4" w:space="0"/>
            </w:tcBorders>
            <w:shd w:val="clear" w:color="auto" w:fill="auto"/>
            <w:vAlign w:val="center"/>
          </w:tcPr>
          <w:p w14:paraId="50A6B3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产出指标</w:t>
            </w:r>
          </w:p>
          <w:p w14:paraId="481A61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(50分)</w:t>
            </w:r>
          </w:p>
          <w:p w14:paraId="126CF9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8ED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数量指标</w:t>
            </w:r>
          </w:p>
        </w:tc>
        <w:tc>
          <w:tcPr>
            <w:tcW w:w="5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E3D1">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13家市属国企国资监管培训、安全生产集中整治</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1B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2次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A3D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default" w:ascii="仿宋_GB2312" w:hAnsi="宋体" w:eastAsia="仿宋_GB2312" w:cs="仿宋_GB2312"/>
                <w:i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7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0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E50F">
            <w:pPr>
              <w:jc w:val="left"/>
              <w:rPr>
                <w:rFonts w:hint="eastAsia" w:ascii="宋体" w:hAnsi="宋体" w:eastAsia="宋体" w:cs="宋体"/>
                <w:i w:val="0"/>
                <w:iCs w:val="0"/>
                <w:color w:val="000000"/>
                <w:sz w:val="20"/>
                <w:szCs w:val="20"/>
                <w:u w:val="none"/>
              </w:rPr>
            </w:pPr>
          </w:p>
        </w:tc>
      </w:tr>
      <w:tr w14:paraId="6AD42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601D7">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000000" w:sz="4" w:space="0"/>
            </w:tcBorders>
            <w:shd w:val="clear" w:color="auto" w:fill="auto"/>
            <w:vAlign w:val="center"/>
          </w:tcPr>
          <w:p w14:paraId="25D0C1E2">
            <w:pPr>
              <w:jc w:val="center"/>
              <w:rPr>
                <w:rFonts w:hint="eastAsia" w:ascii="宋体" w:hAnsi="宋体" w:eastAsia="宋体" w:cs="宋体"/>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B869B">
            <w:pPr>
              <w:jc w:val="center"/>
              <w:rPr>
                <w:rFonts w:hint="eastAsia" w:ascii="宋体" w:hAnsi="宋体" w:eastAsia="宋体" w:cs="宋体"/>
                <w:i w:val="0"/>
                <w:iCs w:val="0"/>
                <w:color w:val="000000"/>
                <w:sz w:val="20"/>
                <w:szCs w:val="20"/>
                <w:u w:val="none"/>
              </w:rPr>
            </w:pPr>
          </w:p>
        </w:tc>
        <w:tc>
          <w:tcPr>
            <w:tcW w:w="5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7311">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13家市属监管企业信访维稳</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A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赴省进京零上访</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8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2E4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default" w:ascii="仿宋_GB2312" w:hAnsi="宋体" w:eastAsia="仿宋_GB2312" w:cs="仿宋_GB2312"/>
                <w:i w:val="0"/>
                <w:color w:val="000000"/>
                <w:kern w:val="0"/>
                <w:sz w:val="18"/>
                <w:szCs w:val="18"/>
                <w:u w:val="none"/>
                <w:lang w:val="en-US" w:eastAsia="zh-CN" w:bidi="ar"/>
              </w:rPr>
              <w:t>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7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F509">
            <w:pPr>
              <w:jc w:val="left"/>
              <w:rPr>
                <w:rFonts w:hint="eastAsia" w:ascii="宋体" w:hAnsi="宋体" w:eastAsia="宋体" w:cs="宋体"/>
                <w:i w:val="0"/>
                <w:iCs w:val="0"/>
                <w:color w:val="000000"/>
                <w:sz w:val="20"/>
                <w:szCs w:val="20"/>
                <w:u w:val="none"/>
              </w:rPr>
            </w:pPr>
          </w:p>
        </w:tc>
      </w:tr>
      <w:tr w14:paraId="178EB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DD220">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000000" w:sz="4" w:space="0"/>
            </w:tcBorders>
            <w:shd w:val="clear" w:color="auto" w:fill="auto"/>
            <w:vAlign w:val="center"/>
          </w:tcPr>
          <w:p w14:paraId="4C5C7FAF">
            <w:pPr>
              <w:jc w:val="center"/>
              <w:rPr>
                <w:rFonts w:hint="eastAsia" w:ascii="宋体" w:hAnsi="宋体" w:eastAsia="宋体" w:cs="宋体"/>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502BD">
            <w:pPr>
              <w:jc w:val="center"/>
              <w:rPr>
                <w:rFonts w:hint="eastAsia" w:ascii="宋体" w:hAnsi="宋体" w:eastAsia="宋体" w:cs="宋体"/>
                <w:i w:val="0"/>
                <w:iCs w:val="0"/>
                <w:color w:val="000000"/>
                <w:sz w:val="20"/>
                <w:szCs w:val="20"/>
                <w:u w:val="none"/>
              </w:rPr>
            </w:pPr>
          </w:p>
        </w:tc>
        <w:tc>
          <w:tcPr>
            <w:tcW w:w="5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A59A">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安全生产事故率</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6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B0C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default" w:ascii="仿宋_GB2312" w:hAnsi="宋体" w:eastAsia="仿宋_GB2312" w:cs="仿宋_GB2312"/>
                <w:i w:val="0"/>
                <w:color w:val="000000"/>
                <w:kern w:val="0"/>
                <w:sz w:val="18"/>
                <w:szCs w:val="18"/>
                <w:u w:val="none"/>
                <w:lang w:val="en-US" w:eastAsia="zh-CN" w:bidi="ar"/>
              </w:rPr>
              <w:t>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E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BB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AF16">
            <w:pPr>
              <w:jc w:val="left"/>
              <w:rPr>
                <w:rFonts w:hint="eastAsia" w:ascii="宋体" w:hAnsi="宋体" w:eastAsia="宋体" w:cs="宋体"/>
                <w:i w:val="0"/>
                <w:iCs w:val="0"/>
                <w:color w:val="000000"/>
                <w:sz w:val="20"/>
                <w:szCs w:val="20"/>
                <w:u w:val="none"/>
              </w:rPr>
            </w:pPr>
          </w:p>
        </w:tc>
      </w:tr>
      <w:tr w14:paraId="2310D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48AEF">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000000" w:sz="4" w:space="0"/>
            </w:tcBorders>
            <w:shd w:val="clear" w:color="auto" w:fill="auto"/>
            <w:vAlign w:val="center"/>
          </w:tcPr>
          <w:p w14:paraId="0481A54E">
            <w:pPr>
              <w:jc w:val="center"/>
              <w:rPr>
                <w:rFonts w:hint="eastAsia" w:ascii="宋体" w:hAnsi="宋体" w:eastAsia="宋体" w:cs="宋体"/>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CE30A">
            <w:pPr>
              <w:jc w:val="center"/>
              <w:rPr>
                <w:rFonts w:hint="eastAsia" w:ascii="宋体" w:hAnsi="宋体" w:eastAsia="宋体" w:cs="宋体"/>
                <w:i w:val="0"/>
                <w:iCs w:val="0"/>
                <w:color w:val="000000"/>
                <w:sz w:val="20"/>
                <w:szCs w:val="20"/>
                <w:u w:val="none"/>
              </w:rPr>
            </w:pPr>
          </w:p>
        </w:tc>
        <w:tc>
          <w:tcPr>
            <w:tcW w:w="5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632A">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促进市城投公司、市经投公司2家公司改革、转型</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42C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default" w:ascii="仿宋_GB2312" w:hAnsi="宋体" w:eastAsia="仿宋_GB2312" w:cs="仿宋_GB2312"/>
                <w:i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179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default" w:ascii="仿宋_GB2312" w:hAnsi="宋体" w:eastAsia="仿宋_GB2312" w:cs="仿宋_GB2312"/>
                <w:i w:val="0"/>
                <w:color w:val="000000"/>
                <w:kern w:val="0"/>
                <w:sz w:val="18"/>
                <w:szCs w:val="18"/>
                <w:u w:val="none"/>
                <w:lang w:val="en-US" w:eastAsia="zh-CN" w:bidi="ar"/>
              </w:rPr>
              <w:t>90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4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3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7A1B">
            <w:pPr>
              <w:jc w:val="left"/>
              <w:rPr>
                <w:rFonts w:hint="eastAsia" w:ascii="宋体" w:hAnsi="宋体" w:eastAsia="宋体" w:cs="宋体"/>
                <w:i w:val="0"/>
                <w:iCs w:val="0"/>
                <w:color w:val="000000"/>
                <w:sz w:val="20"/>
                <w:szCs w:val="20"/>
                <w:u w:val="none"/>
              </w:rPr>
            </w:pPr>
          </w:p>
        </w:tc>
      </w:tr>
      <w:tr w14:paraId="2C64C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A7933">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000000" w:sz="4" w:space="0"/>
            </w:tcBorders>
            <w:shd w:val="clear" w:color="auto" w:fill="auto"/>
            <w:vAlign w:val="center"/>
          </w:tcPr>
          <w:p w14:paraId="0DEB4221">
            <w:pPr>
              <w:jc w:val="center"/>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auto" w:sz="4" w:space="0"/>
              <w:right w:val="single" w:color="000000" w:sz="4" w:space="0"/>
            </w:tcBorders>
            <w:shd w:val="clear" w:color="auto" w:fill="auto"/>
            <w:vAlign w:val="center"/>
          </w:tcPr>
          <w:p w14:paraId="1D881445">
            <w:pPr>
              <w:jc w:val="center"/>
              <w:rPr>
                <w:rFonts w:hint="default" w:ascii="宋体" w:hAnsi="宋体" w:eastAsia="宋体" w:cs="宋体"/>
                <w:i w:val="0"/>
                <w:iCs w:val="0"/>
                <w:color w:val="000000"/>
                <w:sz w:val="20"/>
                <w:szCs w:val="20"/>
                <w:u w:val="none"/>
                <w:lang w:val="en-US" w:eastAsia="zh-CN"/>
              </w:rPr>
            </w:pPr>
          </w:p>
        </w:tc>
        <w:tc>
          <w:tcPr>
            <w:tcW w:w="5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66888">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落实252名市市管干部人员工资待遇及队伍稳定</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6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25</w:t>
            </w:r>
            <w:r>
              <w:rPr>
                <w:rFonts w:hint="eastAsia" w:ascii="仿宋_GB2312" w:hAnsi="宋体" w:eastAsia="仿宋_GB2312" w:cs="仿宋_GB2312"/>
                <w:i w:val="0"/>
                <w:color w:val="000000"/>
                <w:kern w:val="0"/>
                <w:sz w:val="18"/>
                <w:szCs w:val="18"/>
                <w:u w:val="none"/>
                <w:lang w:val="en-US" w:eastAsia="zh-CN" w:bidi="ar"/>
              </w:rPr>
              <w:t>2</w:t>
            </w:r>
            <w:r>
              <w:rPr>
                <w:rFonts w:hint="default" w:ascii="仿宋_GB2312" w:hAnsi="宋体" w:eastAsia="仿宋_GB2312" w:cs="仿宋_GB2312"/>
                <w:i w:val="0"/>
                <w:color w:val="000000"/>
                <w:kern w:val="0"/>
                <w:sz w:val="18"/>
                <w:szCs w:val="18"/>
                <w:u w:val="none"/>
                <w:lang w:val="en-US" w:eastAsia="zh-CN" w:bidi="ar"/>
              </w:rPr>
              <w:t>名</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6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258</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B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E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default" w:ascii="仿宋_GB2312" w:hAnsi="宋体" w:eastAsia="仿宋_GB2312" w:cs="仿宋_GB2312"/>
                <w:i w:val="0"/>
                <w:color w:val="000000"/>
                <w:kern w:val="0"/>
                <w:sz w:val="18"/>
                <w:szCs w:val="18"/>
                <w:u w:val="none"/>
                <w:lang w:val="en-US" w:eastAsia="zh-CN" w:bidi="ar"/>
              </w:rPr>
              <w:t>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D3BB">
            <w:pPr>
              <w:jc w:val="left"/>
              <w:rPr>
                <w:rFonts w:hint="eastAsia" w:ascii="宋体" w:hAnsi="宋体" w:eastAsia="宋体" w:cs="宋体"/>
                <w:i w:val="0"/>
                <w:iCs w:val="0"/>
                <w:color w:val="000000"/>
                <w:sz w:val="20"/>
                <w:szCs w:val="20"/>
                <w:u w:val="none"/>
              </w:rPr>
            </w:pPr>
          </w:p>
        </w:tc>
      </w:tr>
      <w:tr w14:paraId="067F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0CA9C">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auto" w:sz="4" w:space="0"/>
            </w:tcBorders>
            <w:shd w:val="clear" w:color="auto" w:fill="auto"/>
            <w:vAlign w:val="center"/>
          </w:tcPr>
          <w:p w14:paraId="14A011B8">
            <w:pPr>
              <w:jc w:val="center"/>
              <w:rPr>
                <w:rFonts w:hint="eastAsia" w:ascii="宋体" w:hAnsi="宋体" w:eastAsia="宋体" w:cs="宋体"/>
                <w:i w:val="0"/>
                <w:iCs w:val="0"/>
                <w:color w:val="000000"/>
                <w:sz w:val="20"/>
                <w:szCs w:val="20"/>
                <w:u w:val="none"/>
              </w:rPr>
            </w:pPr>
          </w:p>
        </w:tc>
        <w:tc>
          <w:tcPr>
            <w:tcW w:w="416" w:type="dxa"/>
            <w:tcBorders>
              <w:top w:val="single" w:color="auto" w:sz="4" w:space="0"/>
              <w:left w:val="single" w:color="auto" w:sz="4" w:space="0"/>
              <w:bottom w:val="single" w:color="auto" w:sz="4" w:space="0"/>
              <w:right w:val="single" w:color="auto" w:sz="4" w:space="0"/>
            </w:tcBorders>
            <w:shd w:val="clear" w:color="auto" w:fill="auto"/>
            <w:vAlign w:val="center"/>
          </w:tcPr>
          <w:p w14:paraId="4BDF95A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质量指标</w:t>
            </w:r>
          </w:p>
        </w:tc>
        <w:tc>
          <w:tcPr>
            <w:tcW w:w="5054" w:type="dxa"/>
            <w:tcBorders>
              <w:top w:val="single" w:color="000000" w:sz="4" w:space="0"/>
              <w:left w:val="single" w:color="auto" w:sz="4" w:space="0"/>
              <w:bottom w:val="single" w:color="000000" w:sz="4" w:space="0"/>
              <w:right w:val="single" w:color="000000" w:sz="4" w:space="0"/>
            </w:tcBorders>
            <w:shd w:val="clear" w:color="auto" w:fill="auto"/>
            <w:vAlign w:val="center"/>
          </w:tcPr>
          <w:p w14:paraId="03C9C864">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国有企业国有资产保值增值率</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9AD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BB4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118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D50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033D">
            <w:pPr>
              <w:jc w:val="left"/>
              <w:rPr>
                <w:rFonts w:hint="eastAsia" w:ascii="宋体" w:hAnsi="宋体" w:eastAsia="宋体" w:cs="宋体"/>
                <w:i w:val="0"/>
                <w:iCs w:val="0"/>
                <w:color w:val="000000"/>
                <w:sz w:val="20"/>
                <w:szCs w:val="20"/>
                <w:u w:val="none"/>
              </w:rPr>
            </w:pPr>
          </w:p>
        </w:tc>
      </w:tr>
      <w:tr w14:paraId="7C357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887E">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auto" w:sz="4" w:space="0"/>
            </w:tcBorders>
            <w:shd w:val="clear" w:color="auto" w:fill="auto"/>
            <w:vAlign w:val="center"/>
          </w:tcPr>
          <w:p w14:paraId="5DF97E15">
            <w:pPr>
              <w:jc w:val="center"/>
              <w:rPr>
                <w:rFonts w:hint="eastAsia" w:ascii="宋体" w:hAnsi="宋体" w:eastAsia="宋体" w:cs="宋体"/>
                <w:i w:val="0"/>
                <w:iCs w:val="0"/>
                <w:color w:val="000000"/>
                <w:sz w:val="20"/>
                <w:szCs w:val="20"/>
                <w:u w:val="none"/>
              </w:rPr>
            </w:pPr>
          </w:p>
        </w:tc>
        <w:tc>
          <w:tcPr>
            <w:tcW w:w="416" w:type="dxa"/>
            <w:tcBorders>
              <w:top w:val="single" w:color="auto" w:sz="4" w:space="0"/>
              <w:left w:val="single" w:color="auto" w:sz="4" w:space="0"/>
              <w:bottom w:val="single" w:color="auto" w:sz="4" w:space="0"/>
              <w:right w:val="single" w:color="auto" w:sz="4" w:space="0"/>
            </w:tcBorders>
            <w:shd w:val="clear" w:color="auto" w:fill="auto"/>
            <w:vAlign w:val="center"/>
          </w:tcPr>
          <w:p w14:paraId="5FEF65A2">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时效指标</w:t>
            </w:r>
          </w:p>
        </w:tc>
        <w:tc>
          <w:tcPr>
            <w:tcW w:w="5054" w:type="dxa"/>
            <w:tcBorders>
              <w:top w:val="single" w:color="000000" w:sz="4" w:space="0"/>
              <w:left w:val="single" w:color="auto" w:sz="4" w:space="0"/>
              <w:bottom w:val="single" w:color="000000" w:sz="4" w:space="0"/>
              <w:right w:val="single" w:color="000000" w:sz="4" w:space="0"/>
            </w:tcBorders>
            <w:shd w:val="clear" w:color="auto" w:fill="auto"/>
            <w:vAlign w:val="center"/>
          </w:tcPr>
          <w:p w14:paraId="3F56D12E">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履职工作任务完成时间2025年1-12月</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B5D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12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ABB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12</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6AA7">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8905">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default" w:ascii="仿宋_GB2312" w:hAnsi="宋体" w:eastAsia="仿宋_GB2312" w:cs="仿宋_GB2312"/>
                <w:i w:val="0"/>
                <w:color w:val="000000"/>
                <w:kern w:val="0"/>
                <w:sz w:val="18"/>
                <w:szCs w:val="18"/>
                <w:u w:val="none"/>
                <w:lang w:val="en-US" w:eastAsia="zh-CN" w:bidi="ar"/>
              </w:rPr>
              <w:t>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8115">
            <w:pPr>
              <w:jc w:val="left"/>
              <w:rPr>
                <w:rFonts w:hint="eastAsia" w:ascii="宋体" w:hAnsi="宋体" w:eastAsia="宋体" w:cs="宋体"/>
                <w:i w:val="0"/>
                <w:iCs w:val="0"/>
                <w:color w:val="000000"/>
                <w:sz w:val="20"/>
                <w:szCs w:val="20"/>
                <w:u w:val="none"/>
              </w:rPr>
            </w:pPr>
          </w:p>
        </w:tc>
      </w:tr>
      <w:tr w14:paraId="19CBE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4FDF3">
            <w:pPr>
              <w:jc w:val="center"/>
              <w:rPr>
                <w:rFonts w:hint="eastAsia" w:ascii="宋体" w:hAnsi="宋体" w:eastAsia="宋体" w:cs="宋体"/>
                <w:i w:val="0"/>
                <w:iCs w:val="0"/>
                <w:color w:val="000000"/>
                <w:sz w:val="20"/>
                <w:szCs w:val="20"/>
                <w:u w:val="none"/>
              </w:rPr>
            </w:pPr>
          </w:p>
        </w:tc>
        <w:tc>
          <w:tcPr>
            <w:tcW w:w="616" w:type="dxa"/>
            <w:vMerge w:val="restart"/>
            <w:tcBorders>
              <w:top w:val="single" w:color="auto" w:sz="4" w:space="0"/>
              <w:left w:val="single" w:color="000000" w:sz="4" w:space="0"/>
              <w:right w:val="single" w:color="000000" w:sz="4" w:space="0"/>
            </w:tcBorders>
            <w:shd w:val="clear" w:color="auto" w:fill="auto"/>
            <w:vAlign w:val="center"/>
          </w:tcPr>
          <w:p w14:paraId="35576F5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效益指标</w:t>
            </w:r>
          </w:p>
          <w:p w14:paraId="593E91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4</w:t>
            </w:r>
            <w:r>
              <w:rPr>
                <w:rFonts w:hint="eastAsia" w:ascii="宋体" w:hAnsi="宋体" w:eastAsia="宋体" w:cs="宋体"/>
                <w:i w:val="0"/>
                <w:iCs w:val="0"/>
                <w:color w:val="000000"/>
                <w:kern w:val="0"/>
                <w:sz w:val="20"/>
                <w:szCs w:val="20"/>
                <w:u w:val="none"/>
                <w:lang w:val="en-US" w:eastAsia="zh-CN" w:bidi="ar"/>
              </w:rPr>
              <w:t>0分）</w:t>
            </w:r>
          </w:p>
        </w:tc>
        <w:tc>
          <w:tcPr>
            <w:tcW w:w="416" w:type="dxa"/>
            <w:tcBorders>
              <w:top w:val="single" w:color="auto" w:sz="4" w:space="0"/>
              <w:left w:val="single" w:color="000000" w:sz="4" w:space="0"/>
              <w:bottom w:val="single" w:color="auto" w:sz="4" w:space="0"/>
              <w:right w:val="single" w:color="000000" w:sz="4" w:space="0"/>
            </w:tcBorders>
            <w:shd w:val="clear" w:color="auto" w:fill="auto"/>
            <w:vAlign w:val="center"/>
          </w:tcPr>
          <w:p w14:paraId="3E33E25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经济效益</w:t>
            </w:r>
          </w:p>
        </w:tc>
        <w:tc>
          <w:tcPr>
            <w:tcW w:w="5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940C">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信访案件降低率</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652C">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w:t>
            </w:r>
            <w:r>
              <w:rPr>
                <w:rFonts w:hint="eastAsia" w:ascii="仿宋_GB2312" w:hAnsi="宋体" w:eastAsia="仿宋_GB2312" w:cs="仿宋_GB2312"/>
                <w:i w:val="0"/>
                <w:color w:val="000000"/>
                <w:kern w:val="0"/>
                <w:sz w:val="18"/>
                <w:szCs w:val="18"/>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1764">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D840">
            <w:pPr>
              <w:keepNext w:val="0"/>
              <w:keepLines w:val="0"/>
              <w:widowControl/>
              <w:suppressLineNumbers w:val="0"/>
              <w:jc w:val="center"/>
              <w:textAlignment w:val="center"/>
              <w:rPr>
                <w:rFonts w:hint="default"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04AC">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2652">
            <w:pPr>
              <w:jc w:val="left"/>
              <w:rPr>
                <w:rFonts w:hint="eastAsia" w:ascii="宋体" w:hAnsi="宋体" w:eastAsia="宋体" w:cs="宋体"/>
                <w:i w:val="0"/>
                <w:iCs w:val="0"/>
                <w:color w:val="000000"/>
                <w:sz w:val="20"/>
                <w:szCs w:val="20"/>
                <w:u w:val="none"/>
              </w:rPr>
            </w:pPr>
          </w:p>
        </w:tc>
      </w:tr>
      <w:tr w14:paraId="1773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ED4B8">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000000" w:sz="4" w:space="0"/>
            </w:tcBorders>
            <w:shd w:val="clear" w:color="auto" w:fill="auto"/>
            <w:vAlign w:val="center"/>
          </w:tcPr>
          <w:p w14:paraId="4435CEC4">
            <w:pPr>
              <w:jc w:val="left"/>
              <w:rPr>
                <w:rFonts w:hint="eastAsia" w:ascii="宋体" w:hAnsi="宋体" w:eastAsia="宋体" w:cs="宋体"/>
                <w:i w:val="0"/>
                <w:iCs w:val="0"/>
                <w:color w:val="000000"/>
                <w:sz w:val="20"/>
                <w:szCs w:val="20"/>
                <w:u w:val="none"/>
              </w:rPr>
            </w:pPr>
          </w:p>
        </w:tc>
        <w:tc>
          <w:tcPr>
            <w:tcW w:w="41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6EEA934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社会效益</w:t>
            </w:r>
          </w:p>
        </w:tc>
        <w:tc>
          <w:tcPr>
            <w:tcW w:w="5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795E">
            <w:pPr>
              <w:keepNext w:val="0"/>
              <w:keepLines w:val="0"/>
              <w:widowControl/>
              <w:suppressLineNumbers w:val="0"/>
              <w:jc w:val="left"/>
              <w:textAlignment w:val="center"/>
              <w:rPr>
                <w:rFonts w:hint="default"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 xml:space="preserve"> 社会公众满意度</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FE7B">
            <w:pPr>
              <w:keepNext w:val="0"/>
              <w:keepLines w:val="0"/>
              <w:widowControl/>
              <w:suppressLineNumbers w:val="0"/>
              <w:jc w:val="center"/>
              <w:textAlignment w:val="center"/>
              <w:rPr>
                <w:rFonts w:hint="default" w:ascii="仿宋_GB2312" w:hAnsi="宋体" w:eastAsia="仿宋_GB2312" w:cs="仿宋_GB2312"/>
                <w:i w:val="0"/>
                <w:color w:val="000000"/>
                <w:kern w:val="0"/>
                <w:sz w:val="18"/>
                <w:szCs w:val="18"/>
                <w:u w:val="none"/>
                <w:lang w:val="en-US" w:eastAsia="zh-CN" w:bidi="ar"/>
              </w:rPr>
            </w:pPr>
            <w:r>
              <w:rPr>
                <w:rFonts w:hint="default" w:ascii="仿宋_GB2312" w:hAnsi="宋体" w:eastAsia="仿宋_GB2312" w:cs="仿宋_GB2312"/>
                <w:i w:val="0"/>
                <w:color w:val="000000"/>
                <w:kern w:val="0"/>
                <w:sz w:val="18"/>
                <w:szCs w:val="18"/>
                <w:u w:val="none"/>
                <w:lang w:val="en-US" w:eastAsia="zh-CN" w:bidi="ar"/>
              </w:rPr>
              <w:t>≥</w:t>
            </w:r>
            <w:r>
              <w:rPr>
                <w:rFonts w:hint="eastAsia" w:ascii="仿宋_GB2312" w:hAnsi="宋体" w:eastAsia="仿宋_GB2312" w:cs="仿宋_GB2312"/>
                <w:i w:val="0"/>
                <w:color w:val="000000"/>
                <w:kern w:val="0"/>
                <w:sz w:val="18"/>
                <w:szCs w:val="18"/>
                <w:u w:val="none"/>
                <w:lang w:val="en-US" w:eastAsia="zh-CN" w:bidi="ar"/>
              </w:rPr>
              <w:t>95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1381">
            <w:pPr>
              <w:keepNext w:val="0"/>
              <w:keepLines w:val="0"/>
              <w:widowControl/>
              <w:suppressLineNumbers w:val="0"/>
              <w:jc w:val="center"/>
              <w:textAlignment w:val="center"/>
              <w:rPr>
                <w:rFonts w:hint="default"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0CE1">
            <w:pPr>
              <w:keepNext w:val="0"/>
              <w:keepLines w:val="0"/>
              <w:widowControl/>
              <w:suppressLineNumbers w:val="0"/>
              <w:jc w:val="center"/>
              <w:textAlignment w:val="center"/>
              <w:rPr>
                <w:rFonts w:hint="default"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14FC">
            <w:pPr>
              <w:keepNext w:val="0"/>
              <w:keepLines w:val="0"/>
              <w:widowControl/>
              <w:suppressLineNumbers w:val="0"/>
              <w:jc w:val="center"/>
              <w:textAlignment w:val="center"/>
              <w:rPr>
                <w:rFonts w:hint="default"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BA97">
            <w:pPr>
              <w:jc w:val="left"/>
              <w:rPr>
                <w:rFonts w:hint="eastAsia" w:ascii="宋体" w:hAnsi="宋体" w:eastAsia="宋体" w:cs="宋体"/>
                <w:i w:val="0"/>
                <w:iCs w:val="0"/>
                <w:color w:val="000000"/>
                <w:sz w:val="20"/>
                <w:szCs w:val="20"/>
                <w:u w:val="none"/>
              </w:rPr>
            </w:pPr>
          </w:p>
        </w:tc>
      </w:tr>
      <w:tr w14:paraId="1E9CA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E263">
            <w:pPr>
              <w:jc w:val="center"/>
              <w:rPr>
                <w:rFonts w:hint="eastAsia" w:ascii="宋体" w:hAnsi="宋体" w:eastAsia="宋体" w:cs="宋体"/>
                <w:i w:val="0"/>
                <w:iCs w:val="0"/>
                <w:color w:val="000000"/>
                <w:sz w:val="20"/>
                <w:szCs w:val="20"/>
                <w:u w:val="none"/>
              </w:rPr>
            </w:pPr>
          </w:p>
        </w:tc>
        <w:tc>
          <w:tcPr>
            <w:tcW w:w="616" w:type="dxa"/>
            <w:vMerge w:val="continue"/>
            <w:tcBorders>
              <w:left w:val="single" w:color="000000" w:sz="4" w:space="0"/>
              <w:right w:val="single" w:color="000000" w:sz="4" w:space="0"/>
            </w:tcBorders>
            <w:shd w:val="clear" w:color="auto" w:fill="auto"/>
            <w:vAlign w:val="center"/>
          </w:tcPr>
          <w:p w14:paraId="32A21DD6">
            <w:pPr>
              <w:jc w:val="left"/>
              <w:rPr>
                <w:rFonts w:hint="eastAsia" w:ascii="宋体" w:hAnsi="宋体" w:eastAsia="宋体" w:cs="宋体"/>
                <w:i w:val="0"/>
                <w:iCs w:val="0"/>
                <w:color w:val="000000"/>
                <w:sz w:val="20"/>
                <w:szCs w:val="20"/>
                <w:u w:val="none"/>
              </w:rPr>
            </w:pPr>
          </w:p>
        </w:tc>
        <w:tc>
          <w:tcPr>
            <w:tcW w:w="41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4D68CCF">
            <w:pPr>
              <w:jc w:val="center"/>
              <w:rPr>
                <w:rFonts w:hint="eastAsia" w:ascii="宋体" w:hAnsi="宋体" w:eastAsia="宋体" w:cs="宋体"/>
                <w:i w:val="0"/>
                <w:iCs w:val="0"/>
                <w:color w:val="000000"/>
                <w:sz w:val="20"/>
                <w:szCs w:val="20"/>
                <w:u w:val="none"/>
              </w:rPr>
            </w:pPr>
          </w:p>
        </w:tc>
        <w:tc>
          <w:tcPr>
            <w:tcW w:w="5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597C">
            <w:pPr>
              <w:keepNext w:val="0"/>
              <w:keepLines w:val="0"/>
              <w:widowControl/>
              <w:suppressLineNumbers w:val="0"/>
              <w:jc w:val="left"/>
              <w:textAlignment w:val="center"/>
              <w:rPr>
                <w:rFonts w:hint="default" w:ascii="仿宋" w:hAnsi="仿宋" w:eastAsia="仿宋" w:cs="仿宋"/>
                <w:i w:val="0"/>
                <w:color w:val="000000"/>
                <w:kern w:val="0"/>
                <w:sz w:val="18"/>
                <w:szCs w:val="18"/>
                <w:u w:val="none"/>
                <w:lang w:val="en-US" w:eastAsia="zh-CN" w:bidi="ar"/>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E828">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B745">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0069">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D55F">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A8FD">
            <w:pPr>
              <w:jc w:val="left"/>
              <w:rPr>
                <w:rFonts w:hint="eastAsia" w:ascii="宋体" w:hAnsi="宋体" w:eastAsia="宋体" w:cs="宋体"/>
                <w:i w:val="0"/>
                <w:iCs w:val="0"/>
                <w:color w:val="000000"/>
                <w:sz w:val="20"/>
                <w:szCs w:val="20"/>
                <w:u w:val="none"/>
              </w:rPr>
            </w:pPr>
          </w:p>
        </w:tc>
      </w:tr>
      <w:tr w14:paraId="221C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9C18A">
            <w:pPr>
              <w:jc w:val="center"/>
              <w:rPr>
                <w:rFonts w:hint="eastAsia" w:ascii="宋体" w:hAnsi="宋体" w:eastAsia="宋体" w:cs="宋体"/>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41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满意度</w:t>
            </w:r>
          </w:p>
          <w:p w14:paraId="5BFDF0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指标</w:t>
            </w:r>
          </w:p>
          <w:p w14:paraId="6148B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416" w:type="dxa"/>
            <w:tcBorders>
              <w:top w:val="single" w:color="auto" w:sz="4" w:space="0"/>
              <w:left w:val="single" w:color="000000" w:sz="4" w:space="0"/>
              <w:bottom w:val="single" w:color="000000" w:sz="4" w:space="0"/>
              <w:right w:val="single" w:color="000000" w:sz="4" w:space="0"/>
            </w:tcBorders>
            <w:shd w:val="clear" w:color="auto" w:fill="auto"/>
            <w:vAlign w:val="center"/>
          </w:tcPr>
          <w:p w14:paraId="30080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5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C8576">
            <w:pPr>
              <w:keepNext w:val="0"/>
              <w:keepLines w:val="0"/>
              <w:widowControl/>
              <w:suppressLineNumbers w:val="0"/>
              <w:jc w:val="left"/>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监管企业职工满意度</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2787">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95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6125">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99</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3330">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F3FB">
            <w:pPr>
              <w:keepNext w:val="0"/>
              <w:keepLines w:val="0"/>
              <w:widowControl/>
              <w:suppressLineNumbers w:val="0"/>
              <w:jc w:val="center"/>
              <w:textAlignment w:val="center"/>
              <w:rPr>
                <w:rFonts w:hint="eastAsia" w:ascii="仿宋_GB2312" w:hAnsi="宋体" w:eastAsia="仿宋_GB2312" w:cs="仿宋_GB2312"/>
                <w:i w:val="0"/>
                <w:color w:val="000000"/>
                <w:kern w:val="0"/>
                <w:sz w:val="18"/>
                <w:szCs w:val="18"/>
                <w:u w:val="none"/>
                <w:lang w:val="en-US" w:eastAsia="zh-CN" w:bidi="ar"/>
              </w:rPr>
            </w:pPr>
            <w:r>
              <w:rPr>
                <w:rFonts w:hint="eastAsia" w:ascii="仿宋_GB2312" w:hAnsi="宋体" w:eastAsia="仿宋_GB2312" w:cs="仿宋_GB2312"/>
                <w:i w:val="0"/>
                <w:color w:val="000000"/>
                <w:kern w:val="0"/>
                <w:sz w:val="18"/>
                <w:szCs w:val="18"/>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6A73">
            <w:pPr>
              <w:jc w:val="left"/>
              <w:rPr>
                <w:rFonts w:hint="eastAsia" w:ascii="宋体" w:hAnsi="宋体" w:eastAsia="宋体" w:cs="宋体"/>
                <w:i w:val="0"/>
                <w:iCs w:val="0"/>
                <w:color w:val="000000"/>
                <w:sz w:val="20"/>
                <w:szCs w:val="20"/>
                <w:u w:val="none"/>
              </w:rPr>
            </w:pPr>
          </w:p>
        </w:tc>
      </w:tr>
      <w:tr w14:paraId="734B6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84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4FB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7D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371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99</w:t>
            </w:r>
            <w:r>
              <w:rPr>
                <w:rFonts w:hint="eastAsia" w:ascii="宋体" w:hAnsi="宋体" w:cs="宋体"/>
                <w:i w:val="0"/>
                <w:iCs w:val="0"/>
                <w:color w:val="000000"/>
                <w:kern w:val="0"/>
                <w:sz w:val="20"/>
                <w:szCs w:val="20"/>
                <w:u w:val="none"/>
                <w:lang w:val="en-US" w:eastAsia="zh-CN" w:bidi="ar"/>
              </w:rPr>
              <w:t>.5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57A5">
            <w:pPr>
              <w:jc w:val="left"/>
              <w:rPr>
                <w:rFonts w:hint="eastAsia" w:ascii="宋体" w:hAnsi="宋体" w:eastAsia="宋体" w:cs="宋体"/>
                <w:i w:val="0"/>
                <w:iCs w:val="0"/>
                <w:color w:val="000000"/>
                <w:sz w:val="20"/>
                <w:szCs w:val="20"/>
                <w:u w:val="none"/>
              </w:rPr>
            </w:pPr>
          </w:p>
        </w:tc>
      </w:tr>
      <w:tr w14:paraId="0BA5C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 w:hRule="atLeast"/>
        </w:trPr>
        <w:tc>
          <w:tcPr>
            <w:tcW w:w="10590" w:type="dxa"/>
            <w:gridSpan w:val="9"/>
            <w:tcBorders>
              <w:top w:val="nil"/>
              <w:left w:val="nil"/>
              <w:bottom w:val="nil"/>
              <w:right w:val="nil"/>
            </w:tcBorders>
            <w:shd w:val="clear" w:color="auto" w:fill="auto"/>
            <w:noWrap/>
            <w:vAlign w:val="center"/>
          </w:tcPr>
          <w:p w14:paraId="7989D3C0">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填表人：肖景文 填报日期：2026年3月23日  联系电话：18074673632  单位负责人签字：王名扬</w:t>
            </w:r>
          </w:p>
        </w:tc>
      </w:tr>
    </w:tbl>
    <w:p w14:paraId="0A9B4E36">
      <w:pPr>
        <w:jc w:val="left"/>
        <w:rPr>
          <w:rFonts w:hint="default" w:cs="黑体" w:asciiTheme="minorEastAsia" w:hAnsiTheme="minorEastAsia" w:eastAsiaTheme="minorEastAsia"/>
          <w:color w:val="000000"/>
          <w:kern w:val="0"/>
          <w:sz w:val="32"/>
          <w:szCs w:val="32"/>
          <w:lang w:val="en-US" w:eastAsia="zh-CN"/>
        </w:rPr>
      </w:pP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0"/>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altName w:val="CESI小标宋-GB2312"/>
    <w:panose1 w:val="03000509000000000000"/>
    <w:charset w:val="86"/>
    <w:family w:val="auto"/>
    <w:pitch w:val="default"/>
    <w:sig w:usb0="00000000" w:usb1="00000000" w:usb2="00000000" w:usb3="00000000" w:csb0="00040000" w:csb1="00000000"/>
  </w:font>
  <w:font w:name="CESI小标宋-GB2312">
    <w:panose1 w:val="02000500000000000000"/>
    <w:charset w:val="86"/>
    <w:family w:val="auto"/>
    <w:pitch w:val="default"/>
    <w:sig w:usb0="800002AF" w:usb1="084F6CF8" w:usb2="00000010" w:usb3="00000000" w:csb0="0004000F" w:csb1="00000000"/>
  </w:font>
  <w:font w:name="方正小标宋_GBK">
    <w:altName w:val="CESI小标宋-GB2312"/>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Inherit">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9C89C"/>
    <w:multiLevelType w:val="singleLevel"/>
    <w:tmpl w:val="DA99C89C"/>
    <w:lvl w:ilvl="0" w:tentative="0">
      <w:start w:val="2"/>
      <w:numFmt w:val="chineseCounting"/>
      <w:suff w:val="nothing"/>
      <w:lvlText w:val="（%1）"/>
      <w:lvlJc w:val="left"/>
      <w:rPr>
        <w:rFonts w:hint="eastAsia"/>
      </w:rPr>
    </w:lvl>
  </w:abstractNum>
  <w:abstractNum w:abstractNumId="1">
    <w:nsid w:val="E6453E27"/>
    <w:multiLevelType w:val="singleLevel"/>
    <w:tmpl w:val="E6453E27"/>
    <w:lvl w:ilvl="0" w:tentative="0">
      <w:start w:val="1"/>
      <w:numFmt w:val="decimal"/>
      <w:suff w:val="nothing"/>
      <w:lvlText w:val="%1、"/>
      <w:lvlJc w:val="left"/>
      <w:pPr>
        <w:ind w:left="840" w:leftChars="0" w:firstLine="0" w:firstLineChars="0"/>
      </w:pPr>
      <w:rPr>
        <w:rFonts w:hint="default" w:ascii="仿宋_GB2312" w:hAnsi="仿宋_GB2312" w:eastAsia="仿宋_GB2312" w:cs="仿宋_GB2312"/>
        <w:sz w:val="32"/>
        <w:szCs w:val="32"/>
      </w:rPr>
    </w:lvl>
  </w:abstractNum>
  <w:abstractNum w:abstractNumId="2">
    <w:nsid w:val="0E51710D"/>
    <w:multiLevelType w:val="singleLevel"/>
    <w:tmpl w:val="0E51710D"/>
    <w:lvl w:ilvl="0" w:tentative="0">
      <w:start w:val="2"/>
      <w:numFmt w:val="chineseCounting"/>
      <w:suff w:val="nothing"/>
      <w:lvlText w:val="（%1）"/>
      <w:lvlJc w:val="left"/>
      <w:rPr>
        <w:rFonts w:hint="eastAsia"/>
      </w:rPr>
    </w:lvl>
  </w:abstractNum>
  <w:abstractNum w:abstractNumId="3">
    <w:nsid w:val="2D74E5F6"/>
    <w:multiLevelType w:val="multilevel"/>
    <w:tmpl w:val="2D74E5F6"/>
    <w:lvl w:ilvl="0" w:tentative="0">
      <w:start w:val="2"/>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
    <w:nsid w:val="43F0269E"/>
    <w:multiLevelType w:val="singleLevel"/>
    <w:tmpl w:val="43F0269E"/>
    <w:lvl w:ilvl="0" w:tentative="0">
      <w:start w:val="2"/>
      <w:numFmt w:val="decimal"/>
      <w:suff w:val="nothing"/>
      <w:lvlText w:val="%1、"/>
      <w:lvlJc w:val="left"/>
    </w:lvl>
  </w:abstractNum>
  <w:abstractNum w:abstractNumId="5">
    <w:nsid w:val="67D35AFE"/>
    <w:multiLevelType w:val="singleLevel"/>
    <w:tmpl w:val="67D35AFE"/>
    <w:lvl w:ilvl="0" w:tentative="0">
      <w:start w:val="10"/>
      <w:numFmt w:val="chineseCounting"/>
      <w:suff w:val="nothing"/>
      <w:lvlText w:val="%1、"/>
      <w:lvlJc w:val="left"/>
      <w:pPr>
        <w:ind w:left="630" w:leftChars="0" w:firstLine="0" w:firstLineChars="0"/>
      </w:pPr>
      <w:rPr>
        <w:rFonts w:hint="eastAsia"/>
      </w:r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hMGUyOGM0NWJiODA1NTlmNzA1NGFmYjA2ODk4MG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18C9"/>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A65C8A"/>
    <w:rsid w:val="03C17B39"/>
    <w:rsid w:val="03CE2756"/>
    <w:rsid w:val="04392785"/>
    <w:rsid w:val="04C837E3"/>
    <w:rsid w:val="069F7F76"/>
    <w:rsid w:val="074573FA"/>
    <w:rsid w:val="07BB6140"/>
    <w:rsid w:val="08C53D4E"/>
    <w:rsid w:val="099D294F"/>
    <w:rsid w:val="09AF6B75"/>
    <w:rsid w:val="09C05DCE"/>
    <w:rsid w:val="09D533D3"/>
    <w:rsid w:val="0B217029"/>
    <w:rsid w:val="0CBF3487"/>
    <w:rsid w:val="0D3A0435"/>
    <w:rsid w:val="0D8301BA"/>
    <w:rsid w:val="0DF70178"/>
    <w:rsid w:val="0E2B7EDC"/>
    <w:rsid w:val="0F27086A"/>
    <w:rsid w:val="0F616AA4"/>
    <w:rsid w:val="109777C7"/>
    <w:rsid w:val="10B13A73"/>
    <w:rsid w:val="117607E2"/>
    <w:rsid w:val="11766E35"/>
    <w:rsid w:val="11B83122"/>
    <w:rsid w:val="13366D21"/>
    <w:rsid w:val="1430702E"/>
    <w:rsid w:val="14FC1BFA"/>
    <w:rsid w:val="154E02AD"/>
    <w:rsid w:val="156E0F20"/>
    <w:rsid w:val="15932D4E"/>
    <w:rsid w:val="159575D9"/>
    <w:rsid w:val="161A39EA"/>
    <w:rsid w:val="161C7190"/>
    <w:rsid w:val="16866450"/>
    <w:rsid w:val="17742355"/>
    <w:rsid w:val="17A65C50"/>
    <w:rsid w:val="17B2471F"/>
    <w:rsid w:val="17E10BD4"/>
    <w:rsid w:val="18240C92"/>
    <w:rsid w:val="1833509C"/>
    <w:rsid w:val="18B6584B"/>
    <w:rsid w:val="191E3943"/>
    <w:rsid w:val="19D10AE6"/>
    <w:rsid w:val="1A436175"/>
    <w:rsid w:val="1A82313D"/>
    <w:rsid w:val="1AFA719E"/>
    <w:rsid w:val="1BDB2B53"/>
    <w:rsid w:val="1BE22336"/>
    <w:rsid w:val="1C401235"/>
    <w:rsid w:val="1CD4055C"/>
    <w:rsid w:val="1CD840FB"/>
    <w:rsid w:val="1D06399A"/>
    <w:rsid w:val="1D735ECC"/>
    <w:rsid w:val="1D97DEFF"/>
    <w:rsid w:val="1DFF72E5"/>
    <w:rsid w:val="1E024400"/>
    <w:rsid w:val="1E403AD7"/>
    <w:rsid w:val="1E5C26CC"/>
    <w:rsid w:val="1EFC6F07"/>
    <w:rsid w:val="1F266DE9"/>
    <w:rsid w:val="1F305611"/>
    <w:rsid w:val="1FB75D16"/>
    <w:rsid w:val="212A56BC"/>
    <w:rsid w:val="22255134"/>
    <w:rsid w:val="224C6FD4"/>
    <w:rsid w:val="22874540"/>
    <w:rsid w:val="22D35427"/>
    <w:rsid w:val="239C32D1"/>
    <w:rsid w:val="23D845AA"/>
    <w:rsid w:val="24175B10"/>
    <w:rsid w:val="24245783"/>
    <w:rsid w:val="24C73E65"/>
    <w:rsid w:val="24D97F9D"/>
    <w:rsid w:val="25CE6F61"/>
    <w:rsid w:val="26A74843"/>
    <w:rsid w:val="26D1773D"/>
    <w:rsid w:val="278952A5"/>
    <w:rsid w:val="27A6171B"/>
    <w:rsid w:val="27C32548"/>
    <w:rsid w:val="283F3197"/>
    <w:rsid w:val="28772982"/>
    <w:rsid w:val="287845F5"/>
    <w:rsid w:val="28A95751"/>
    <w:rsid w:val="293A2897"/>
    <w:rsid w:val="29BD5B86"/>
    <w:rsid w:val="2AB761FA"/>
    <w:rsid w:val="2AF140EC"/>
    <w:rsid w:val="2B7E631F"/>
    <w:rsid w:val="2C9B5967"/>
    <w:rsid w:val="2CD35D68"/>
    <w:rsid w:val="2D5B22C8"/>
    <w:rsid w:val="2D5B3E67"/>
    <w:rsid w:val="2D613652"/>
    <w:rsid w:val="2D8C6086"/>
    <w:rsid w:val="2DDB748E"/>
    <w:rsid w:val="2E6D6F35"/>
    <w:rsid w:val="2EA714DD"/>
    <w:rsid w:val="2F0218A5"/>
    <w:rsid w:val="2F2E2B05"/>
    <w:rsid w:val="2F812CF4"/>
    <w:rsid w:val="2FDF85B8"/>
    <w:rsid w:val="2FFFEE04"/>
    <w:rsid w:val="308A2D31"/>
    <w:rsid w:val="31A203EF"/>
    <w:rsid w:val="321C56C6"/>
    <w:rsid w:val="330F7364"/>
    <w:rsid w:val="33174961"/>
    <w:rsid w:val="338A642D"/>
    <w:rsid w:val="33FB15E9"/>
    <w:rsid w:val="34DF85B0"/>
    <w:rsid w:val="3518289E"/>
    <w:rsid w:val="355248C1"/>
    <w:rsid w:val="35B03024"/>
    <w:rsid w:val="35EB87A8"/>
    <w:rsid w:val="36225AD4"/>
    <w:rsid w:val="365B0F3E"/>
    <w:rsid w:val="37235D40"/>
    <w:rsid w:val="37C76444"/>
    <w:rsid w:val="37DD3C56"/>
    <w:rsid w:val="38064BE4"/>
    <w:rsid w:val="38A36879"/>
    <w:rsid w:val="39314560"/>
    <w:rsid w:val="3B473A10"/>
    <w:rsid w:val="3B8C35D8"/>
    <w:rsid w:val="3B8F36BC"/>
    <w:rsid w:val="3BAB3AF2"/>
    <w:rsid w:val="3BB1679F"/>
    <w:rsid w:val="3C143F78"/>
    <w:rsid w:val="3C1926A8"/>
    <w:rsid w:val="3C195720"/>
    <w:rsid w:val="3CD156BC"/>
    <w:rsid w:val="3D28631C"/>
    <w:rsid w:val="3E246E58"/>
    <w:rsid w:val="3EAF6B94"/>
    <w:rsid w:val="3FCC6474"/>
    <w:rsid w:val="40093F05"/>
    <w:rsid w:val="40274201"/>
    <w:rsid w:val="405E29D2"/>
    <w:rsid w:val="408E7AEA"/>
    <w:rsid w:val="40915CFA"/>
    <w:rsid w:val="40986CA1"/>
    <w:rsid w:val="40B1035C"/>
    <w:rsid w:val="41624347"/>
    <w:rsid w:val="41717326"/>
    <w:rsid w:val="423231E6"/>
    <w:rsid w:val="42346E6C"/>
    <w:rsid w:val="424633F6"/>
    <w:rsid w:val="42A658E0"/>
    <w:rsid w:val="42BC0455"/>
    <w:rsid w:val="42D95EBD"/>
    <w:rsid w:val="433E21C3"/>
    <w:rsid w:val="43FB2335"/>
    <w:rsid w:val="44782E0C"/>
    <w:rsid w:val="44DD2B14"/>
    <w:rsid w:val="453B7E1E"/>
    <w:rsid w:val="456C063B"/>
    <w:rsid w:val="46995BCC"/>
    <w:rsid w:val="471B7481"/>
    <w:rsid w:val="4726291B"/>
    <w:rsid w:val="47506AD5"/>
    <w:rsid w:val="47B75AD1"/>
    <w:rsid w:val="47BE78DB"/>
    <w:rsid w:val="48227999"/>
    <w:rsid w:val="489A6AD7"/>
    <w:rsid w:val="491FF225"/>
    <w:rsid w:val="492D5CF9"/>
    <w:rsid w:val="49974F5D"/>
    <w:rsid w:val="4A35453B"/>
    <w:rsid w:val="4A723167"/>
    <w:rsid w:val="4A923B05"/>
    <w:rsid w:val="4B764E99"/>
    <w:rsid w:val="4BCD46D1"/>
    <w:rsid w:val="4C26121A"/>
    <w:rsid w:val="4C984F4A"/>
    <w:rsid w:val="4DF22B2F"/>
    <w:rsid w:val="4E920EE8"/>
    <w:rsid w:val="4EBD12F1"/>
    <w:rsid w:val="4F2F3A32"/>
    <w:rsid w:val="4F604F02"/>
    <w:rsid w:val="4FFD214C"/>
    <w:rsid w:val="500E3D66"/>
    <w:rsid w:val="50120DEA"/>
    <w:rsid w:val="503819EA"/>
    <w:rsid w:val="504314B4"/>
    <w:rsid w:val="50514F57"/>
    <w:rsid w:val="51BD0E26"/>
    <w:rsid w:val="53100F83"/>
    <w:rsid w:val="53A66B32"/>
    <w:rsid w:val="53B536AF"/>
    <w:rsid w:val="54841EAF"/>
    <w:rsid w:val="55254496"/>
    <w:rsid w:val="557C414F"/>
    <w:rsid w:val="55813AAB"/>
    <w:rsid w:val="55E4608E"/>
    <w:rsid w:val="55FF5729"/>
    <w:rsid w:val="571A7AF9"/>
    <w:rsid w:val="572D3536"/>
    <w:rsid w:val="574669F4"/>
    <w:rsid w:val="575641B1"/>
    <w:rsid w:val="5758495A"/>
    <w:rsid w:val="57690B03"/>
    <w:rsid w:val="5777D4F5"/>
    <w:rsid w:val="58871F2C"/>
    <w:rsid w:val="58951DE3"/>
    <w:rsid w:val="58B04561"/>
    <w:rsid w:val="58FA1B08"/>
    <w:rsid w:val="59DD8326"/>
    <w:rsid w:val="5A1844DE"/>
    <w:rsid w:val="5BC30229"/>
    <w:rsid w:val="5C937DE9"/>
    <w:rsid w:val="5D861547"/>
    <w:rsid w:val="5DEF592A"/>
    <w:rsid w:val="5DF55733"/>
    <w:rsid w:val="5E33509A"/>
    <w:rsid w:val="5E4B7DFF"/>
    <w:rsid w:val="5F4A1A8C"/>
    <w:rsid w:val="5FC6BB1E"/>
    <w:rsid w:val="5FF720F1"/>
    <w:rsid w:val="614A092F"/>
    <w:rsid w:val="61807E6D"/>
    <w:rsid w:val="61CB329D"/>
    <w:rsid w:val="61F24921"/>
    <w:rsid w:val="62444AC8"/>
    <w:rsid w:val="62C52A98"/>
    <w:rsid w:val="62D1270C"/>
    <w:rsid w:val="632F46C6"/>
    <w:rsid w:val="641A61F1"/>
    <w:rsid w:val="64B47D45"/>
    <w:rsid w:val="653F572A"/>
    <w:rsid w:val="6603364C"/>
    <w:rsid w:val="66A94283"/>
    <w:rsid w:val="67063534"/>
    <w:rsid w:val="67475AFF"/>
    <w:rsid w:val="6787360E"/>
    <w:rsid w:val="67C9169E"/>
    <w:rsid w:val="67ED628D"/>
    <w:rsid w:val="67FF5C0B"/>
    <w:rsid w:val="689841A8"/>
    <w:rsid w:val="68FC21E0"/>
    <w:rsid w:val="69955344"/>
    <w:rsid w:val="69E32466"/>
    <w:rsid w:val="6A553C04"/>
    <w:rsid w:val="6B0D4F31"/>
    <w:rsid w:val="6D066E00"/>
    <w:rsid w:val="6DA97D78"/>
    <w:rsid w:val="6DAC0CFD"/>
    <w:rsid w:val="6DBC1159"/>
    <w:rsid w:val="6DEC29F2"/>
    <w:rsid w:val="6E8B72E1"/>
    <w:rsid w:val="6EFC0924"/>
    <w:rsid w:val="6F6906D4"/>
    <w:rsid w:val="6F6FF0EA"/>
    <w:rsid w:val="6FA952BF"/>
    <w:rsid w:val="6FB74722"/>
    <w:rsid w:val="6FEF8B7E"/>
    <w:rsid w:val="705047D3"/>
    <w:rsid w:val="70A20D5A"/>
    <w:rsid w:val="713E0BD9"/>
    <w:rsid w:val="71411257"/>
    <w:rsid w:val="719C1D81"/>
    <w:rsid w:val="71A6591B"/>
    <w:rsid w:val="728E691C"/>
    <w:rsid w:val="72D56A5E"/>
    <w:rsid w:val="72F50A45"/>
    <w:rsid w:val="730F451A"/>
    <w:rsid w:val="737D59BA"/>
    <w:rsid w:val="73A957CF"/>
    <w:rsid w:val="74D65E5E"/>
    <w:rsid w:val="756979AE"/>
    <w:rsid w:val="7588174D"/>
    <w:rsid w:val="75956274"/>
    <w:rsid w:val="779A5395"/>
    <w:rsid w:val="77C37683"/>
    <w:rsid w:val="77DB33DA"/>
    <w:rsid w:val="79032A98"/>
    <w:rsid w:val="79343267"/>
    <w:rsid w:val="79731E67"/>
    <w:rsid w:val="79FF515B"/>
    <w:rsid w:val="7A752449"/>
    <w:rsid w:val="7ABB57E7"/>
    <w:rsid w:val="7ACA3634"/>
    <w:rsid w:val="7B652D2E"/>
    <w:rsid w:val="7BD541D6"/>
    <w:rsid w:val="7C134A0A"/>
    <w:rsid w:val="7DC07AE3"/>
    <w:rsid w:val="7E5D57C7"/>
    <w:rsid w:val="7E9E1962"/>
    <w:rsid w:val="7E9F11B4"/>
    <w:rsid w:val="7EC92DB1"/>
    <w:rsid w:val="7F37EC1E"/>
    <w:rsid w:val="7F7DCD9D"/>
    <w:rsid w:val="7F970A6F"/>
    <w:rsid w:val="7FC1FFF3"/>
    <w:rsid w:val="7FC69637"/>
    <w:rsid w:val="7FDF8620"/>
    <w:rsid w:val="7FFB242F"/>
    <w:rsid w:val="7FFDB408"/>
    <w:rsid w:val="7FFE4EEB"/>
    <w:rsid w:val="95FB2B98"/>
    <w:rsid w:val="9A639BC2"/>
    <w:rsid w:val="9FF7D786"/>
    <w:rsid w:val="ABBFB23D"/>
    <w:rsid w:val="B0F64102"/>
    <w:rsid w:val="C3B4DA5A"/>
    <w:rsid w:val="CBFF70E0"/>
    <w:rsid w:val="CFF50B82"/>
    <w:rsid w:val="CFFFAD89"/>
    <w:rsid w:val="DEE72CE1"/>
    <w:rsid w:val="DFFE359E"/>
    <w:rsid w:val="DFFE4FFD"/>
    <w:rsid w:val="EEABED75"/>
    <w:rsid w:val="F56FDF51"/>
    <w:rsid w:val="F6B69F17"/>
    <w:rsid w:val="F77F1D61"/>
    <w:rsid w:val="F7FED3A9"/>
    <w:rsid w:val="F8C9DB26"/>
    <w:rsid w:val="F97E8EAE"/>
    <w:rsid w:val="FB36E1A6"/>
    <w:rsid w:val="FB3BE134"/>
    <w:rsid w:val="FCFF4275"/>
    <w:rsid w:val="FD7FEEEA"/>
    <w:rsid w:val="FDFDE5B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index 5"/>
    <w:basedOn w:val="1"/>
    <w:next w:val="1"/>
    <w:qFormat/>
    <w:uiPriority w:val="0"/>
    <w:pPr>
      <w:ind w:left="1680"/>
    </w:pPr>
    <w:rPr>
      <w:rFonts w:eastAsia="宋体"/>
      <w:sz w:val="24"/>
      <w:szCs w:val="24"/>
      <w:lang w:val="en-US" w:eastAsia="en-US" w:bidi="ar-SA"/>
    </w:rPr>
  </w:style>
  <w:style w:type="paragraph" w:styleId="4">
    <w:name w:val="Body Text"/>
    <w:basedOn w:val="1"/>
    <w:next w:val="3"/>
    <w:unhideWhenUsed/>
    <w:qFormat/>
    <w:uiPriority w:val="0"/>
    <w:pPr>
      <w:spacing w:after="120"/>
    </w:pPr>
    <w:rPr>
      <w:szCs w:val="24"/>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ody Text Indent 2"/>
    <w:basedOn w:val="1"/>
    <w:next w:val="8"/>
    <w:qFormat/>
    <w:uiPriority w:val="0"/>
    <w:pPr>
      <w:spacing w:line="360" w:lineRule="auto"/>
      <w:ind w:firstLine="224"/>
    </w:pPr>
  </w:style>
  <w:style w:type="paragraph" w:customStyle="1" w:styleId="8">
    <w:name w:val="目录 71"/>
    <w:basedOn w:val="1"/>
    <w:next w:val="1"/>
    <w:qFormat/>
    <w:uiPriority w:val="0"/>
    <w:pPr>
      <w:ind w:left="2520"/>
    </w:pPr>
    <w:rPr>
      <w:rFonts w:hAnsi="宋体" w:cs="宋体"/>
      <w:kern w:val="0"/>
      <w:szCs w:val="20"/>
    </w:rPr>
  </w:style>
  <w:style w:type="paragraph" w:styleId="9">
    <w:name w:val="Balloon Text"/>
    <w:basedOn w:val="1"/>
    <w:link w:val="21"/>
    <w:semiHidden/>
    <w:unhideWhenUsed/>
    <w:qFormat/>
    <w:uiPriority w:val="99"/>
    <w:rPr>
      <w:sz w:val="18"/>
      <w:szCs w:val="18"/>
    </w:rPr>
  </w:style>
  <w:style w:type="paragraph" w:styleId="10">
    <w:name w:val="footer"/>
    <w:basedOn w:val="1"/>
    <w:link w:val="18"/>
    <w:unhideWhenUsed/>
    <w:qFormat/>
    <w:uiPriority w:val="99"/>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next w:val="6"/>
    <w:semiHidden/>
    <w:qFormat/>
    <w:uiPriority w:val="0"/>
    <w:pPr>
      <w:snapToGrid w:val="0"/>
      <w:jc w:val="left"/>
    </w:pPr>
    <w:rPr>
      <w:sz w:val="18"/>
      <w:szCs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6">
    <w:name w:val="样式1"/>
    <w:basedOn w:val="1"/>
    <w:qFormat/>
    <w:uiPriority w:val="0"/>
    <w:rPr>
      <w:b/>
      <w:color w:val="538135"/>
      <w:sz w:val="28"/>
    </w:rPr>
  </w:style>
  <w:style w:type="character" w:customStyle="1" w:styleId="17">
    <w:name w:val="页眉 Char"/>
    <w:basedOn w:val="15"/>
    <w:link w:val="11"/>
    <w:qFormat/>
    <w:uiPriority w:val="99"/>
    <w:rPr>
      <w:sz w:val="18"/>
      <w:szCs w:val="18"/>
    </w:rPr>
  </w:style>
  <w:style w:type="character" w:customStyle="1" w:styleId="18">
    <w:name w:val="页脚 Char"/>
    <w:basedOn w:val="15"/>
    <w:link w:val="10"/>
    <w:qFormat/>
    <w:uiPriority w:val="99"/>
    <w:rPr>
      <w:sz w:val="18"/>
      <w:szCs w:val="18"/>
    </w:rPr>
  </w:style>
  <w:style w:type="paragraph" w:customStyle="1" w:styleId="1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20">
    <w:name w:val="List Paragraph"/>
    <w:basedOn w:val="1"/>
    <w:qFormat/>
    <w:uiPriority w:val="34"/>
    <w:pPr>
      <w:ind w:firstLine="420" w:firstLineChars="200"/>
    </w:pPr>
  </w:style>
  <w:style w:type="character" w:customStyle="1" w:styleId="21">
    <w:name w:val="批注框文本 Char"/>
    <w:basedOn w:val="15"/>
    <w:link w:val="9"/>
    <w:semiHidden/>
    <w:qFormat/>
    <w:uiPriority w:val="99"/>
    <w:rPr>
      <w:sz w:val="18"/>
      <w:szCs w:val="18"/>
    </w:rPr>
  </w:style>
  <w:style w:type="character" w:customStyle="1" w:styleId="22">
    <w:name w:val="font01"/>
    <w:basedOn w:val="15"/>
    <w:qFormat/>
    <w:uiPriority w:val="0"/>
    <w:rPr>
      <w:rFonts w:hint="eastAsia" w:ascii="宋体" w:hAnsi="宋体" w:eastAsia="宋体" w:cs="宋体"/>
      <w:color w:val="000000"/>
      <w:sz w:val="22"/>
      <w:szCs w:val="22"/>
      <w:u w:val="none"/>
    </w:rPr>
  </w:style>
  <w:style w:type="character" w:customStyle="1" w:styleId="23">
    <w:name w:val="font21"/>
    <w:basedOn w:val="15"/>
    <w:qFormat/>
    <w:uiPriority w:val="0"/>
    <w:rPr>
      <w:rFonts w:hint="eastAsia" w:ascii="宋体" w:hAnsi="宋体" w:eastAsia="宋体" w:cs="宋体"/>
      <w:color w:val="000000"/>
      <w:sz w:val="24"/>
      <w:szCs w:val="24"/>
      <w:u w:val="none"/>
    </w:rPr>
  </w:style>
  <w:style w:type="character" w:customStyle="1" w:styleId="24">
    <w:name w:val="font11"/>
    <w:basedOn w:val="15"/>
    <w:qFormat/>
    <w:uiPriority w:val="0"/>
    <w:rPr>
      <w:rFonts w:hint="eastAsia" w:ascii="宋体" w:hAnsi="宋体" w:eastAsia="宋体" w:cs="宋体"/>
      <w:color w:val="000000"/>
      <w:sz w:val="24"/>
      <w:szCs w:val="24"/>
      <w:u w:val="none"/>
    </w:rPr>
  </w:style>
  <w:style w:type="paragraph" w:customStyle="1" w:styleId="25">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customStyle="1" w:styleId="26">
    <w:name w:val="样式2"/>
    <w:basedOn w:val="1"/>
    <w:qFormat/>
    <w:uiPriority w:val="0"/>
    <w:pPr>
      <w:widowControl/>
      <w:shd w:val="clear" w:color="auto" w:fill="FFFFFF"/>
      <w:spacing w:before="100" w:beforeAutospacing="1" w:after="100" w:afterAutospacing="1"/>
      <w:ind w:left="562"/>
      <w:jc w:val="center"/>
    </w:pPr>
    <w:rPr>
      <w:rFonts w:ascii="宋体" w:hAnsi="宋体"/>
      <w:b/>
      <w:bCs/>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14921</Words>
  <Characters>16195</Characters>
  <Lines>63</Lines>
  <Paragraphs>18</Paragraphs>
  <TotalTime>102</TotalTime>
  <ScaleCrop>false</ScaleCrop>
  <LinksUpToDate>false</LinksUpToDate>
  <CharactersWithSpaces>16276</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2020-07-09T18:32:00Z</dcterms:created>
  <dc:creator>李航 null</dc:creator>
  <cp:lastModifiedBy>kylin</cp:lastModifiedBy>
  <cp:lastPrinted>2026-09-23T18:54:00Z</cp:lastPrinted>
  <dcterms:modified xsi:type="dcterms:W3CDTF">2026-09-24T16:52:10Z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865DEBA5068A40D5AB77D6A570850AEB_13</vt:lpwstr>
  </property>
  <property fmtid="{D5CDD505-2E9C-101B-9397-08002B2CF9AE}" pid="4" name="KSOTemplateDocerSaveRecord">
    <vt:lpwstr>eyJoZGlkIjoiOWJhMGUyOGM0NWJiODA1NTlmNzA1NGFmYjA2ODk4MGEiLCJ1c2VySWQiOiIzNDM2MjQ2NDAifQ==</vt:lpwstr>
  </property>
</Properties>
</file>