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711F46">
      <w:pPr>
        <w:pStyle w:val="12"/>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2DA56A47">
      <w:pPr>
        <w:pStyle w:val="12"/>
        <w:jc w:val="center"/>
        <w:rPr>
          <w:rFonts w:ascii="Times New Roman" w:hAnsi="Times New Roman" w:cs="Times New Roman"/>
          <w:sz w:val="56"/>
          <w:szCs w:val="56"/>
        </w:rPr>
      </w:pPr>
    </w:p>
    <w:p w14:paraId="44CEE821">
      <w:pPr>
        <w:pStyle w:val="12"/>
        <w:jc w:val="center"/>
        <w:rPr>
          <w:rFonts w:ascii="Times New Roman" w:hAnsi="Times New Roman" w:cs="Times New Roman"/>
          <w:sz w:val="84"/>
          <w:szCs w:val="84"/>
        </w:rPr>
      </w:pPr>
    </w:p>
    <w:p w14:paraId="18C2F527">
      <w:pPr>
        <w:pStyle w:val="12"/>
        <w:jc w:val="center"/>
        <w:rPr>
          <w:rFonts w:ascii="Times New Roman" w:hAnsi="Times New Roman" w:cs="Times New Roman"/>
          <w:sz w:val="84"/>
          <w:szCs w:val="84"/>
        </w:rPr>
      </w:pPr>
    </w:p>
    <w:p w14:paraId="603BCF8A">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4F797394">
      <w:pPr>
        <w:pStyle w:val="12"/>
        <w:jc w:val="center"/>
        <w:rPr>
          <w:rFonts w:hint="eastAsia" w:ascii="Times New Roman" w:hAnsi="Times New Roman" w:eastAsia="方正小标宋简体" w:cs="Times New Roman"/>
          <w:sz w:val="72"/>
          <w:szCs w:val="72"/>
          <w:lang w:eastAsia="zh-CN"/>
        </w:rPr>
      </w:pPr>
      <w:r>
        <w:rPr>
          <w:rFonts w:hint="eastAsia" w:ascii="Times New Roman" w:hAnsi="Times New Roman" w:eastAsia="方正小标宋简体" w:cs="Times New Roman"/>
          <w:sz w:val="72"/>
          <w:szCs w:val="72"/>
          <w:lang w:eastAsia="zh-CN"/>
        </w:rPr>
        <w:t>永州市公安干部中等专业</w:t>
      </w:r>
    </w:p>
    <w:p w14:paraId="05F2B10C">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14:paraId="6EDA50C0">
      <w:pPr>
        <w:pStyle w:val="12"/>
        <w:jc w:val="center"/>
        <w:rPr>
          <w:rFonts w:ascii="Times New Roman" w:hAnsi="Times New Roman" w:eastAsia="方正小标宋_GBK" w:cs="Times New Roman"/>
          <w:sz w:val="56"/>
          <w:szCs w:val="56"/>
        </w:rPr>
      </w:pPr>
    </w:p>
    <w:p w14:paraId="035E8D8C">
      <w:pPr>
        <w:pStyle w:val="12"/>
        <w:jc w:val="center"/>
        <w:rPr>
          <w:rFonts w:ascii="Times New Roman" w:hAnsi="Times New Roman" w:cs="Times New Roman"/>
          <w:sz w:val="56"/>
          <w:szCs w:val="56"/>
        </w:rPr>
      </w:pPr>
    </w:p>
    <w:p w14:paraId="2AA1CA87">
      <w:pPr>
        <w:pStyle w:val="12"/>
        <w:rPr>
          <w:rFonts w:ascii="Times New Roman" w:hAnsi="Times New Roman" w:cs="Times New Roman"/>
          <w:sz w:val="56"/>
          <w:szCs w:val="56"/>
        </w:rPr>
      </w:pPr>
    </w:p>
    <w:p w14:paraId="4F898213">
      <w:pPr>
        <w:pStyle w:val="12"/>
        <w:jc w:val="center"/>
        <w:rPr>
          <w:rFonts w:ascii="Times New Roman" w:hAnsi="Times New Roman" w:cs="Times New Roman"/>
          <w:sz w:val="32"/>
          <w:szCs w:val="32"/>
        </w:rPr>
      </w:pPr>
    </w:p>
    <w:p w14:paraId="691499B5">
      <w:pPr>
        <w:pStyle w:val="12"/>
        <w:jc w:val="center"/>
        <w:rPr>
          <w:rFonts w:ascii="Times New Roman" w:hAnsi="Times New Roman" w:cs="Times New Roman"/>
          <w:sz w:val="32"/>
          <w:szCs w:val="32"/>
        </w:rPr>
      </w:pPr>
    </w:p>
    <w:p w14:paraId="5818188C">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286F87D8">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17D4F4FF">
      <w:pPr>
        <w:pStyle w:val="12"/>
        <w:spacing w:line="600" w:lineRule="exact"/>
        <w:jc w:val="center"/>
        <w:rPr>
          <w:rFonts w:ascii="Times New Roman" w:hAnsi="Times New Roman" w:cs="Times New Roman"/>
          <w:b/>
          <w:sz w:val="36"/>
          <w:szCs w:val="28"/>
        </w:rPr>
      </w:pPr>
    </w:p>
    <w:p w14:paraId="6E1007E3">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永州市公安干部中等专业学校</w:t>
      </w:r>
      <w:r>
        <w:rPr>
          <w:rFonts w:ascii="Times New Roman" w:hAnsi="Times New Roman" w:cs="Times New Roman"/>
          <w:bCs/>
          <w:sz w:val="32"/>
          <w:szCs w:val="32"/>
        </w:rPr>
        <w:t>概况</w:t>
      </w:r>
    </w:p>
    <w:p w14:paraId="31B5E3A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1747B775">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69006FDB">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44E77706">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7FF8F1ED">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560B9CFD">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317B51C6">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1DFB5E53">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122F68B4">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67CA19F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7F925646">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2C97E54D">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1E6156D8">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22AAB443">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641DD7D2">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051534C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09A7A59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1FDA4F5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0F3EEE73">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456F5F5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27004D6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59E6D2C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0C9D8B4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5E25BBA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38FC019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61F8A53D">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5EB3A52D">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5FFAA38B">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25E651D0">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5AB91BBC">
      <w:pPr>
        <w:pStyle w:val="12"/>
        <w:spacing w:line="600" w:lineRule="exact"/>
        <w:rPr>
          <w:rFonts w:ascii="Times New Roman" w:hAnsi="Times New Roman" w:cs="Times New Roman"/>
          <w:bCs/>
          <w:sz w:val="28"/>
          <w:szCs w:val="28"/>
        </w:rPr>
      </w:pPr>
    </w:p>
    <w:p w14:paraId="16535FDF">
      <w:pPr>
        <w:jc w:val="center"/>
        <w:rPr>
          <w:rFonts w:ascii="Times New Roman" w:hAnsi="Times New Roman" w:cs="Times New Roman"/>
          <w:sz w:val="72"/>
          <w:szCs w:val="72"/>
        </w:rPr>
      </w:pPr>
    </w:p>
    <w:p w14:paraId="11BD3888">
      <w:pPr>
        <w:jc w:val="center"/>
        <w:rPr>
          <w:rFonts w:ascii="Times New Roman" w:hAnsi="Times New Roman" w:cs="Times New Roman"/>
          <w:sz w:val="72"/>
          <w:szCs w:val="72"/>
        </w:rPr>
      </w:pPr>
    </w:p>
    <w:p w14:paraId="2BEDA897">
      <w:pPr>
        <w:jc w:val="center"/>
        <w:rPr>
          <w:rFonts w:ascii="Times New Roman" w:hAnsi="Times New Roman" w:cs="Times New Roman"/>
          <w:sz w:val="72"/>
          <w:szCs w:val="72"/>
        </w:rPr>
      </w:pPr>
    </w:p>
    <w:p w14:paraId="6DBB726D">
      <w:pPr>
        <w:pStyle w:val="7"/>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15B4F8B4">
      <w:pPr>
        <w:pStyle w:val="12"/>
        <w:spacing w:line="360" w:lineRule="auto"/>
        <w:jc w:val="center"/>
        <w:rPr>
          <w:rFonts w:ascii="Times New Roman" w:hAnsi="Times New Roman" w:eastAsia="方正小标宋_GBK" w:cs="Times New Roman"/>
          <w:sz w:val="52"/>
          <w:szCs w:val="52"/>
        </w:rPr>
      </w:pPr>
    </w:p>
    <w:p w14:paraId="7DBB803C">
      <w:pPr>
        <w:pStyle w:val="12"/>
        <w:spacing w:line="360" w:lineRule="auto"/>
        <w:jc w:val="center"/>
        <w:rPr>
          <w:rFonts w:ascii="Times New Roman" w:hAnsi="Times New Roman" w:eastAsia="方正小标宋_GBK" w:cs="Times New Roman"/>
          <w:sz w:val="52"/>
          <w:szCs w:val="52"/>
        </w:rPr>
      </w:pPr>
    </w:p>
    <w:p w14:paraId="472AEF3A">
      <w:pPr>
        <w:pStyle w:val="12"/>
        <w:spacing w:line="360" w:lineRule="auto"/>
        <w:jc w:val="center"/>
        <w:rPr>
          <w:rFonts w:ascii="Times New Roman" w:hAnsi="Times New Roman" w:eastAsia="方正小标宋_GBK" w:cs="Times New Roman"/>
          <w:sz w:val="52"/>
          <w:szCs w:val="52"/>
        </w:rPr>
      </w:pPr>
    </w:p>
    <w:p w14:paraId="7F178F4A">
      <w:pPr>
        <w:pStyle w:val="12"/>
        <w:spacing w:line="360" w:lineRule="auto"/>
        <w:jc w:val="center"/>
        <w:rPr>
          <w:rFonts w:ascii="Times New Roman" w:hAnsi="Times New Roman" w:eastAsia="方正小标宋_GBK" w:cs="Times New Roman"/>
          <w:sz w:val="52"/>
          <w:szCs w:val="52"/>
        </w:rPr>
      </w:pPr>
    </w:p>
    <w:p w14:paraId="1D300D71">
      <w:pPr>
        <w:pStyle w:val="12"/>
        <w:spacing w:line="360" w:lineRule="auto"/>
        <w:jc w:val="center"/>
        <w:rPr>
          <w:rFonts w:ascii="Times New Roman" w:hAnsi="Times New Roman" w:eastAsia="方正小标宋_GBK" w:cs="Times New Roman"/>
          <w:sz w:val="52"/>
          <w:szCs w:val="52"/>
        </w:rPr>
      </w:pPr>
    </w:p>
    <w:p w14:paraId="30419337">
      <w:pPr>
        <w:pStyle w:val="12"/>
        <w:spacing w:line="360" w:lineRule="auto"/>
        <w:jc w:val="center"/>
        <w:rPr>
          <w:rFonts w:ascii="Times New Roman" w:hAnsi="Times New Roman" w:eastAsia="方正小标宋_GBK" w:cs="Times New Roman"/>
          <w:sz w:val="52"/>
          <w:szCs w:val="52"/>
        </w:rPr>
      </w:pPr>
    </w:p>
    <w:p w14:paraId="670FE6E2">
      <w:pPr>
        <w:pStyle w:val="12"/>
        <w:spacing w:line="360" w:lineRule="auto"/>
        <w:jc w:val="center"/>
        <w:rPr>
          <w:rFonts w:ascii="Times New Roman" w:hAnsi="Times New Roman" w:eastAsia="方正小标宋_GBK" w:cs="Times New Roman"/>
          <w:sz w:val="52"/>
          <w:szCs w:val="52"/>
        </w:rPr>
      </w:pPr>
    </w:p>
    <w:p w14:paraId="6B0C4BE6">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70838FEE">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永州市公安干部中等专业学校</w:t>
      </w:r>
      <w:r>
        <w:rPr>
          <w:rFonts w:ascii="Times New Roman" w:hAnsi="Times New Roman" w:eastAsia="方正小标宋_GBK" w:cs="Times New Roman"/>
          <w:sz w:val="52"/>
          <w:szCs w:val="52"/>
        </w:rPr>
        <w:t>概况</w:t>
      </w:r>
    </w:p>
    <w:p w14:paraId="6C2A9D61">
      <w:pPr>
        <w:rPr>
          <w:rFonts w:ascii="Times New Roman" w:hAnsi="Times New Roman" w:eastAsia="方正小标宋_GBK" w:cs="Times New Roman"/>
          <w:sz w:val="52"/>
          <w:szCs w:val="52"/>
        </w:rPr>
      </w:pPr>
      <w:r>
        <w:rPr>
          <w:rFonts w:ascii="Times New Roman" w:hAnsi="Times New Roman" w:eastAsia="方正小标宋_GBK" w:cs="Times New Roman"/>
          <w:sz w:val="52"/>
          <w:szCs w:val="52"/>
        </w:rPr>
        <w:br w:type="page"/>
      </w:r>
    </w:p>
    <w:p w14:paraId="7776418F">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15C5C28F">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根据中共中央《关于加强公安工作的决定》的文件精神，公安干校的主要工作职责是提高公安干警的政治业务素质，加快公安队伍的正规化建设。部门职责主要包括以下几个方面：</w:t>
      </w:r>
    </w:p>
    <w:p w14:paraId="17701AF1">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（一）贯彻执行国家有关法律的方针、政策，大力开展国家有关法律，法规和政策规定的宣传。</w:t>
      </w:r>
    </w:p>
    <w:p w14:paraId="65E7AAEA">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（二）组织在职新公安干警的培训。提高新公安干警素质、能力和业务水平。</w:t>
      </w:r>
    </w:p>
    <w:p w14:paraId="77706564">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（三）组织公安干警短期培训。提高公安干警实用性的能力。</w:t>
      </w:r>
    </w:p>
    <w:p w14:paraId="12AD4EB8">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（四）主动配合市公安局做好全市安全保卫工作。</w:t>
      </w:r>
    </w:p>
    <w:p w14:paraId="077DA1DC">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（五）承办市委、市政府交办的其他事项。</w:t>
      </w:r>
    </w:p>
    <w:p w14:paraId="7931820A">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7655B117">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bCs/>
          <w:color w:val="auto"/>
          <w:kern w:val="0"/>
          <w:sz w:val="32"/>
          <w:szCs w:val="32"/>
          <w:lang w:eastAsia="zh-CN"/>
        </w:rPr>
      </w:pPr>
      <w:r>
        <w:rPr>
          <w:rFonts w:hint="eastAsia" w:ascii="仿宋_GB2312" w:hAnsi="仿宋_GB2312" w:eastAsia="仿宋_GB2312" w:cs="仿宋_GB2312"/>
          <w:bCs/>
          <w:kern w:val="0"/>
          <w:sz w:val="32"/>
          <w:szCs w:val="32"/>
        </w:rPr>
        <w:t>（一）内设机构设置。</w:t>
      </w:r>
      <w:r>
        <w:rPr>
          <w:rFonts w:hint="eastAsia" w:ascii="仿宋_GB2312" w:hAnsi="仿宋_GB2312" w:eastAsia="仿宋_GB2312" w:cs="仿宋_GB2312"/>
          <w:bCs/>
          <w:color w:val="auto"/>
          <w:kern w:val="0"/>
          <w:sz w:val="32"/>
          <w:szCs w:val="32"/>
          <w:lang w:eastAsia="zh-CN"/>
        </w:rPr>
        <w:t>永州市公安干部中等专业学校为正处级单位，内设机构</w:t>
      </w:r>
      <w:r>
        <w:rPr>
          <w:rFonts w:hint="eastAsia" w:ascii="仿宋_GB2312" w:hAnsi="仿宋_GB2312" w:eastAsia="仿宋_GB2312" w:cs="仿宋_GB2312"/>
          <w:bCs/>
          <w:color w:val="auto"/>
          <w:kern w:val="0"/>
          <w:sz w:val="32"/>
          <w:szCs w:val="32"/>
          <w:lang w:val="en-US" w:eastAsia="zh-CN"/>
        </w:rPr>
        <w:t>5个，分别是办公室、教务管理科、学员管理科、警务保障科、警务科研科</w:t>
      </w:r>
      <w:r>
        <w:rPr>
          <w:rFonts w:hint="eastAsia" w:ascii="仿宋_GB2312" w:hAnsi="仿宋_GB2312" w:eastAsia="仿宋_GB2312" w:cs="仿宋_GB2312"/>
          <w:bCs/>
          <w:color w:val="auto"/>
          <w:kern w:val="0"/>
          <w:sz w:val="32"/>
          <w:szCs w:val="32"/>
          <w:lang w:eastAsia="zh-CN"/>
        </w:rPr>
        <w:t>。年末</w:t>
      </w:r>
      <w:r>
        <w:rPr>
          <w:rFonts w:hint="eastAsia" w:ascii="Times New Roman" w:hAnsi="Times New Roman" w:eastAsia="仿宋_GB2312" w:cs="Times New Roman"/>
          <w:sz w:val="32"/>
          <w:szCs w:val="32"/>
          <w:lang w:val="en-US" w:eastAsia="zh-CN"/>
        </w:rPr>
        <w:t>在职人数</w:t>
      </w:r>
      <w:r>
        <w:rPr>
          <w:rFonts w:hint="eastAsia" w:ascii="仿宋_GB2312" w:hAnsi="仿宋_GB2312" w:eastAsia="仿宋_GB2312" w:cs="仿宋_GB2312"/>
          <w:bCs/>
          <w:color w:val="auto"/>
          <w:kern w:val="0"/>
          <w:sz w:val="32"/>
          <w:szCs w:val="32"/>
          <w:lang w:eastAsia="zh-CN"/>
        </w:rPr>
        <w:t>2</w:t>
      </w:r>
      <w:r>
        <w:rPr>
          <w:rFonts w:hint="eastAsia" w:ascii="仿宋_GB2312" w:hAnsi="仿宋_GB2312" w:eastAsia="仿宋_GB2312" w:cs="仿宋_GB2312"/>
          <w:bCs/>
          <w:color w:val="auto"/>
          <w:kern w:val="0"/>
          <w:sz w:val="32"/>
          <w:szCs w:val="32"/>
          <w:lang w:val="en-US" w:eastAsia="zh-CN"/>
        </w:rPr>
        <w:t>5</w:t>
      </w:r>
      <w:r>
        <w:rPr>
          <w:rFonts w:hint="eastAsia" w:ascii="仿宋_GB2312" w:hAnsi="仿宋_GB2312" w:eastAsia="仿宋_GB2312" w:cs="仿宋_GB2312"/>
          <w:bCs/>
          <w:color w:val="auto"/>
          <w:kern w:val="0"/>
          <w:sz w:val="32"/>
          <w:szCs w:val="32"/>
          <w:lang w:eastAsia="zh-CN"/>
        </w:rPr>
        <w:t>人，与上年度</w:t>
      </w:r>
      <w:r>
        <w:rPr>
          <w:rFonts w:hint="eastAsia" w:ascii="Times New Roman" w:hAnsi="Times New Roman" w:eastAsia="仿宋_GB2312" w:cs="Times New Roman"/>
          <w:sz w:val="32"/>
          <w:szCs w:val="32"/>
          <w:lang w:val="en-US" w:eastAsia="zh-CN"/>
        </w:rPr>
        <w:t>相比</w:t>
      </w:r>
      <w:r>
        <w:rPr>
          <w:rFonts w:hint="eastAsia" w:ascii="Times New Roman" w:hAnsi="Times New Roman" w:eastAsia="仿宋_GB2312" w:cs="Times New Roman"/>
          <w:sz w:val="32"/>
          <w:szCs w:val="32"/>
          <w:lang w:val="en-US" w:eastAsia="zh-CN"/>
        </w:rPr>
        <w:t>减少2人</w:t>
      </w:r>
      <w:r>
        <w:rPr>
          <w:rFonts w:hint="eastAsia" w:ascii="Times New Roman" w:hAnsi="Times New Roman" w:eastAsia="仿宋_GB2312" w:cs="Times New Roman"/>
          <w:sz w:val="32"/>
          <w:szCs w:val="32"/>
          <w:lang w:val="en-US" w:eastAsia="zh-CN"/>
        </w:rPr>
        <w:t>，原因为</w:t>
      </w:r>
      <w:r>
        <w:rPr>
          <w:rFonts w:hint="eastAsia" w:ascii="Times New Roman" w:hAnsi="Times New Roman" w:eastAsia="仿宋_GB2312" w:cs="Times New Roman"/>
          <w:sz w:val="32"/>
          <w:szCs w:val="32"/>
          <w:lang w:val="en-US" w:eastAsia="zh-CN"/>
        </w:rPr>
        <w:t>2人</w:t>
      </w:r>
      <w:r>
        <w:rPr>
          <w:rFonts w:hint="eastAsia" w:ascii="Times New Roman" w:hAnsi="Times New Roman" w:eastAsia="仿宋_GB2312" w:cs="Times New Roman"/>
          <w:sz w:val="32"/>
          <w:szCs w:val="32"/>
          <w:lang w:val="en-US" w:eastAsia="zh-CN"/>
        </w:rPr>
        <w:t>退休</w:t>
      </w:r>
      <w:r>
        <w:rPr>
          <w:rFonts w:hint="eastAsia" w:ascii="仿宋_GB2312" w:hAnsi="仿宋_GB2312" w:eastAsia="仿宋_GB2312" w:cs="仿宋_GB2312"/>
          <w:bCs/>
          <w:color w:val="auto"/>
          <w:kern w:val="0"/>
          <w:sz w:val="32"/>
          <w:szCs w:val="32"/>
          <w:lang w:eastAsia="zh-CN"/>
        </w:rPr>
        <w:t>。</w:t>
      </w:r>
    </w:p>
    <w:p w14:paraId="6B9BEA97">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（二）决算单位构成。</w:t>
      </w:r>
      <w:r>
        <w:rPr>
          <w:rFonts w:hint="eastAsia" w:ascii="仿宋_GB2312" w:hAnsi="仿宋_GB2312" w:eastAsia="仿宋_GB2312" w:cs="仿宋_GB2312"/>
          <w:bCs/>
          <w:color w:val="auto"/>
          <w:kern w:val="0"/>
          <w:sz w:val="32"/>
          <w:szCs w:val="32"/>
          <w:lang w:eastAsia="zh-CN"/>
        </w:rPr>
        <w:t>永州市公安干部中等专业学校</w:t>
      </w:r>
      <w:r>
        <w:rPr>
          <w:rFonts w:hint="eastAsia" w:ascii="仿宋_GB2312" w:hAnsi="仿宋_GB2312" w:eastAsia="仿宋_GB2312" w:cs="仿宋_GB2312"/>
          <w:bCs/>
          <w:kern w:val="0"/>
          <w:sz w:val="32"/>
          <w:szCs w:val="32"/>
        </w:rPr>
        <w:t>202</w:t>
      </w:r>
      <w:r>
        <w:rPr>
          <w:rFonts w:hint="eastAsia" w:ascii="仿宋_GB2312" w:hAnsi="仿宋_GB2312" w:eastAsia="仿宋_GB2312" w:cs="仿宋_GB2312"/>
          <w:bCs/>
          <w:kern w:val="0"/>
          <w:sz w:val="32"/>
          <w:szCs w:val="32"/>
          <w:lang w:val="en-US" w:eastAsia="zh-CN"/>
        </w:rPr>
        <w:t>5</w:t>
      </w:r>
      <w:r>
        <w:rPr>
          <w:rFonts w:hint="eastAsia" w:ascii="仿宋_GB2312" w:hAnsi="仿宋_GB2312" w:eastAsia="仿宋_GB2312" w:cs="仿宋_GB2312"/>
          <w:bCs/>
          <w:kern w:val="0"/>
          <w:sz w:val="32"/>
          <w:szCs w:val="32"/>
        </w:rPr>
        <w:t>年部门决算汇总公开单位构成包括：</w:t>
      </w:r>
      <w:r>
        <w:rPr>
          <w:rFonts w:hint="eastAsia" w:ascii="仿宋_GB2312" w:hAnsi="仿宋_GB2312" w:eastAsia="仿宋_GB2312" w:cs="仿宋_GB2312"/>
          <w:bCs/>
          <w:color w:val="auto"/>
          <w:kern w:val="0"/>
          <w:sz w:val="32"/>
          <w:szCs w:val="32"/>
          <w:lang w:eastAsia="zh-CN"/>
        </w:rPr>
        <w:t>永州市公安干部中等专业学校</w:t>
      </w:r>
      <w:r>
        <w:rPr>
          <w:rFonts w:hint="eastAsia" w:ascii="仿宋_GB2312" w:hAnsi="仿宋_GB2312" w:eastAsia="仿宋_GB2312" w:cs="仿宋_GB2312"/>
          <w:color w:val="auto"/>
          <w:kern w:val="0"/>
          <w:sz w:val="32"/>
          <w:szCs w:val="32"/>
          <w:lang w:val="en-US" w:eastAsia="zh-CN" w:bidi="ar-SA"/>
        </w:rPr>
        <w:t>本级。</w:t>
      </w:r>
    </w:p>
    <w:p w14:paraId="62BC6CC2">
      <w:pPr>
        <w:jc w:val="left"/>
        <w:rPr>
          <w:rFonts w:ascii="Times New Roman" w:hAnsi="Times New Roman" w:eastAsia="仿宋_GB2312" w:cs="Times New Roman"/>
          <w:sz w:val="28"/>
          <w:szCs w:val="32"/>
        </w:rPr>
      </w:pPr>
    </w:p>
    <w:p w14:paraId="6FF99301">
      <w:pPr>
        <w:jc w:val="center"/>
        <w:rPr>
          <w:rFonts w:ascii="Times New Roman" w:hAnsi="Times New Roman" w:eastAsia="黑体" w:cs="Times New Roman"/>
          <w:sz w:val="28"/>
          <w:szCs w:val="28"/>
        </w:rPr>
      </w:pPr>
    </w:p>
    <w:p w14:paraId="1DAC4669">
      <w:pPr>
        <w:jc w:val="center"/>
        <w:rPr>
          <w:rFonts w:ascii="Times New Roman" w:hAnsi="Times New Roman" w:eastAsia="黑体" w:cs="Times New Roman"/>
          <w:sz w:val="28"/>
          <w:szCs w:val="28"/>
        </w:rPr>
      </w:pPr>
    </w:p>
    <w:p w14:paraId="77563CA7">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bookmarkStart w:id="3" w:name="_GoBack"/>
      <w:bookmarkEnd w:id="3"/>
    </w:p>
    <w:p w14:paraId="4D7A36FA">
      <w:pPr>
        <w:pStyle w:val="12"/>
        <w:jc w:val="center"/>
        <w:rPr>
          <w:rFonts w:ascii="Times New Roman" w:hAnsi="Times New Roman" w:eastAsia="方正小标宋_GBK" w:cs="Times New Roman"/>
          <w:sz w:val="52"/>
          <w:szCs w:val="52"/>
        </w:rPr>
      </w:pPr>
    </w:p>
    <w:p w14:paraId="0D35E0AE">
      <w:pPr>
        <w:pStyle w:val="12"/>
        <w:jc w:val="center"/>
        <w:rPr>
          <w:rFonts w:ascii="Times New Roman" w:hAnsi="Times New Roman" w:eastAsia="方正小标宋_GBK" w:cs="Times New Roman"/>
          <w:sz w:val="52"/>
          <w:szCs w:val="52"/>
        </w:rPr>
      </w:pPr>
    </w:p>
    <w:p w14:paraId="4F2715BE">
      <w:pPr>
        <w:pStyle w:val="12"/>
        <w:jc w:val="center"/>
        <w:rPr>
          <w:rFonts w:ascii="Times New Roman" w:hAnsi="Times New Roman" w:eastAsia="方正小标宋_GBK" w:cs="Times New Roman"/>
          <w:sz w:val="52"/>
          <w:szCs w:val="52"/>
        </w:rPr>
      </w:pPr>
    </w:p>
    <w:p w14:paraId="65395E8F">
      <w:pPr>
        <w:pStyle w:val="12"/>
        <w:jc w:val="center"/>
        <w:rPr>
          <w:rFonts w:ascii="Times New Roman" w:hAnsi="Times New Roman" w:eastAsia="方正小标宋_GBK" w:cs="Times New Roman"/>
          <w:sz w:val="52"/>
          <w:szCs w:val="52"/>
        </w:rPr>
      </w:pPr>
    </w:p>
    <w:p w14:paraId="11A99594">
      <w:pPr>
        <w:pStyle w:val="12"/>
        <w:jc w:val="center"/>
        <w:rPr>
          <w:rFonts w:ascii="Times New Roman" w:hAnsi="Times New Roman" w:eastAsia="方正小标宋_GBK" w:cs="Times New Roman"/>
          <w:sz w:val="52"/>
          <w:szCs w:val="52"/>
        </w:rPr>
      </w:pPr>
    </w:p>
    <w:p w14:paraId="4815C437">
      <w:pPr>
        <w:pStyle w:val="12"/>
        <w:jc w:val="center"/>
        <w:rPr>
          <w:rFonts w:ascii="Times New Roman" w:hAnsi="Times New Roman" w:eastAsia="方正小标宋_GBK" w:cs="Times New Roman"/>
          <w:sz w:val="52"/>
          <w:szCs w:val="52"/>
        </w:rPr>
      </w:pPr>
    </w:p>
    <w:p w14:paraId="4B11F8DC">
      <w:pPr>
        <w:pStyle w:val="12"/>
        <w:jc w:val="center"/>
        <w:rPr>
          <w:rFonts w:ascii="Times New Roman" w:hAnsi="Times New Roman" w:eastAsia="方正小标宋_GBK" w:cs="Times New Roman"/>
          <w:sz w:val="52"/>
          <w:szCs w:val="52"/>
        </w:rPr>
      </w:pPr>
    </w:p>
    <w:p w14:paraId="53C8A3A3">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1E7FCBD7">
      <w:pPr>
        <w:rPr>
          <w:rFonts w:ascii="Times New Roman" w:hAnsi="Times New Roman" w:eastAsia="方正小标宋_GBK" w:cs="Times New Roman"/>
          <w:sz w:val="52"/>
          <w:szCs w:val="52"/>
        </w:rPr>
      </w:pPr>
      <w:r>
        <w:rPr>
          <w:rFonts w:ascii="Times New Roman" w:hAnsi="Times New Roman" w:eastAsia="方正小标宋_GBK" w:cs="Times New Roman"/>
          <w:sz w:val="52"/>
          <w:szCs w:val="52"/>
        </w:rPr>
        <w:br w:type="page"/>
      </w:r>
    </w:p>
    <w:p w14:paraId="28975741">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122C5117">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7270DB34">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永州市公安干部中等专业学校</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56BC7402">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EFCE9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FD255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67836C6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42DB2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302F30">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6A3FA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E7093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A72A3C">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4970B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51913FF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B700E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9E203F">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B96B3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8FB2F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7E043C">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58472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4BB2209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1ACF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2EA45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99FBE">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661.92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E5087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47A88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0A6A7">
            <w:pPr>
              <w:jc w:val="right"/>
              <w:rPr>
                <w:rFonts w:ascii="Times New Roman" w:hAnsi="Times New Roman" w:eastAsia="仿宋_GB2312" w:cs="Times New Roman"/>
                <w:color w:val="000000"/>
                <w:sz w:val="22"/>
              </w:rPr>
            </w:pPr>
          </w:p>
        </w:tc>
      </w:tr>
      <w:tr w14:paraId="0D1EC4D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CDFDB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DE9D6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01F69">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B4816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8EF87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89135">
            <w:pPr>
              <w:jc w:val="right"/>
              <w:rPr>
                <w:rFonts w:ascii="Times New Roman" w:hAnsi="Times New Roman" w:eastAsia="仿宋_GB2312" w:cs="Times New Roman"/>
                <w:color w:val="000000"/>
                <w:sz w:val="22"/>
              </w:rPr>
            </w:pPr>
          </w:p>
        </w:tc>
      </w:tr>
      <w:tr w14:paraId="6ECBCFB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1C83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9E64E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CCF50">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F85FE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45772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57E0C">
            <w:pPr>
              <w:jc w:val="right"/>
              <w:rPr>
                <w:rFonts w:ascii="Times New Roman" w:hAnsi="Times New Roman" w:eastAsia="仿宋_GB2312" w:cs="Times New Roman"/>
                <w:color w:val="000000"/>
                <w:sz w:val="22"/>
              </w:rPr>
            </w:pPr>
          </w:p>
        </w:tc>
      </w:tr>
      <w:tr w14:paraId="32D984A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F59AA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80ECB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EDCBC">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02D29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FD248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9C5FE">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667.27</w:t>
            </w:r>
          </w:p>
        </w:tc>
      </w:tr>
      <w:tr w14:paraId="05C8DF6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1F498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49539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304A5">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154.09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DD2A2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E2F86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42206">
            <w:pPr>
              <w:jc w:val="right"/>
              <w:rPr>
                <w:rFonts w:ascii="Times New Roman" w:hAnsi="Times New Roman" w:eastAsia="仿宋_GB2312" w:cs="Times New Roman"/>
                <w:color w:val="000000"/>
                <w:sz w:val="22"/>
              </w:rPr>
            </w:pPr>
          </w:p>
        </w:tc>
      </w:tr>
      <w:tr w14:paraId="2A17447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D21DC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5DDDE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1C635">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79C7E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E00FF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B503E">
            <w:pPr>
              <w:jc w:val="right"/>
              <w:rPr>
                <w:rFonts w:ascii="Times New Roman" w:hAnsi="Times New Roman" w:eastAsia="仿宋_GB2312" w:cs="Times New Roman"/>
                <w:color w:val="000000"/>
                <w:sz w:val="22"/>
              </w:rPr>
            </w:pPr>
          </w:p>
        </w:tc>
      </w:tr>
      <w:tr w14:paraId="7D12BD6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9B7ED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D7655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56EE9">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9BC77">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DFAB12">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7A192">
            <w:pPr>
              <w:widowControl/>
              <w:jc w:val="righ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84.89</w:t>
            </w:r>
          </w:p>
        </w:tc>
      </w:tr>
      <w:tr w14:paraId="0E254E6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33B85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BE200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C7B62">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584B1">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9DFA28">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D2E7B">
            <w:pPr>
              <w:widowControl/>
              <w:jc w:val="righ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bidi="ar"/>
              </w:rPr>
              <w:t>23.1</w:t>
            </w:r>
            <w:r>
              <w:rPr>
                <w:rFonts w:hint="eastAsia" w:ascii="Times New Roman" w:hAnsi="Times New Roman" w:eastAsia="仿宋_GB2312" w:cs="Times New Roman"/>
                <w:color w:val="000000"/>
                <w:kern w:val="0"/>
                <w:sz w:val="22"/>
                <w:lang w:val="en-US" w:eastAsia="zh-CN" w:bidi="ar"/>
              </w:rPr>
              <w:t>0</w:t>
            </w:r>
          </w:p>
        </w:tc>
      </w:tr>
      <w:tr w14:paraId="3970262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EF6C8">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93C63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ACC2F">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6DA5D">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十九、住房保障支出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AC6974">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C0077">
            <w:pPr>
              <w:widowControl/>
              <w:jc w:val="righ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40.75</w:t>
            </w:r>
          </w:p>
        </w:tc>
      </w:tr>
      <w:tr w14:paraId="0CCE4B7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47710">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5DDBE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BB61D">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816.01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3A3D9">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BEEB8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FB217">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816.01</w:t>
            </w:r>
          </w:p>
        </w:tc>
      </w:tr>
      <w:tr w14:paraId="50341E0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E2C2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F425A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C10D7">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49AD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02D8C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C988E">
            <w:pPr>
              <w:jc w:val="right"/>
              <w:rPr>
                <w:rFonts w:ascii="Times New Roman" w:hAnsi="Times New Roman" w:eastAsia="仿宋_GB2312" w:cs="Times New Roman"/>
                <w:color w:val="000000"/>
                <w:sz w:val="22"/>
              </w:rPr>
            </w:pPr>
          </w:p>
        </w:tc>
      </w:tr>
      <w:tr w14:paraId="6933AB2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DC6D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B366E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03712">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D814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9B143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9A101">
            <w:pPr>
              <w:jc w:val="right"/>
              <w:rPr>
                <w:rFonts w:ascii="Times New Roman" w:hAnsi="Times New Roman" w:eastAsia="仿宋_GB2312" w:cs="Times New Roman"/>
                <w:color w:val="000000"/>
                <w:sz w:val="22"/>
              </w:rPr>
            </w:pPr>
          </w:p>
        </w:tc>
      </w:tr>
      <w:tr w14:paraId="2CAB644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CB8EC4">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52CF5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3288E">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816.01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B7E458">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ABA7C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5029D">
            <w:pPr>
              <w:jc w:val="right"/>
              <w:rPr>
                <w:rFonts w:ascii="Times New Roman" w:hAnsi="Times New Roman" w:eastAsia="仿宋_GB2312" w:cs="Times New Roman"/>
                <w:b/>
                <w:color w:val="000000"/>
                <w:sz w:val="22"/>
              </w:rPr>
            </w:pPr>
            <w:r>
              <w:rPr>
                <w:rFonts w:hint="eastAsia" w:ascii="Times New Roman" w:hAnsi="Times New Roman" w:eastAsia="仿宋_GB2312" w:cs="Times New Roman"/>
                <w:b/>
                <w:color w:val="000000"/>
                <w:sz w:val="22"/>
              </w:rPr>
              <w:t>816.01</w:t>
            </w:r>
          </w:p>
        </w:tc>
      </w:tr>
    </w:tbl>
    <w:p w14:paraId="538415E4">
      <w:pPr>
        <w:widowControl/>
        <w:jc w:val="left"/>
        <w:textAlignment w:val="center"/>
        <w:rPr>
          <w:rFonts w:ascii="Times New Roman" w:hAnsi="Times New Roman" w:eastAsia="宋体" w:cs="Times New Roman"/>
          <w:color w:val="000000"/>
          <w:kern w:val="0"/>
          <w:sz w:val="24"/>
          <w:szCs w:val="24"/>
          <w:lang w:bidi="ar"/>
        </w:rPr>
      </w:pPr>
    </w:p>
    <w:p w14:paraId="15277222">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2D44266D">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6958BA37">
      <w:pPr>
        <w:widowControl/>
        <w:spacing w:line="400" w:lineRule="exact"/>
        <w:jc w:val="center"/>
        <w:textAlignment w:val="center"/>
        <w:rPr>
          <w:rFonts w:ascii="Times New Roman" w:hAnsi="Times New Roman" w:eastAsia="黑体" w:cs="Times New Roman"/>
          <w:color w:val="000000"/>
          <w:kern w:val="0"/>
          <w:sz w:val="32"/>
          <w:szCs w:val="32"/>
          <w:lang w:bidi="ar"/>
        </w:rPr>
      </w:pPr>
    </w:p>
    <w:p w14:paraId="092521DF">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5DDF5925">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23BC163C">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kern w:val="0"/>
          <w:sz w:val="20"/>
          <w:szCs w:val="20"/>
          <w:lang w:bidi="ar"/>
        </w:rPr>
        <w:t>永州市公安干部中等专业学校</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14:paraId="77F550CD">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B117D9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6A5E35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F49484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73BFF3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761492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20E319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8EFDFD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6B1214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4F40C67C">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14BDFC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36429B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2ED7EB2">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5A5BA6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FBBD43C">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90788CA">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A9F628F">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7C14F7F3">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454EF4DD">
            <w:pPr>
              <w:rPr>
                <w:rFonts w:ascii="Times New Roman" w:hAnsi="Times New Roman" w:eastAsia="仿宋_GB2312" w:cs="Times New Roman"/>
                <w:sz w:val="24"/>
                <w:szCs w:val="24"/>
              </w:rPr>
            </w:pPr>
          </w:p>
        </w:tc>
      </w:tr>
      <w:tr w14:paraId="1E29224D">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14675FBD">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18696086">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1F8A9B5">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71ECC0D">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2D39E28">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21EA02C">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87F3533">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0798C91B">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0F28F1CA">
            <w:pPr>
              <w:rPr>
                <w:rFonts w:ascii="Times New Roman" w:hAnsi="Times New Roman" w:eastAsia="仿宋_GB2312" w:cs="Times New Roman"/>
                <w:sz w:val="24"/>
                <w:szCs w:val="24"/>
              </w:rPr>
            </w:pPr>
          </w:p>
        </w:tc>
      </w:tr>
      <w:tr w14:paraId="3251D329">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2EF4490">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3F761FA">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BD68935">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41C92E0">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E23FEC4">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C2AF295">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2754F52">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026F24A">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7F1C996A">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E81B64A">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FEBAB5">
            <w:pPr>
              <w:jc w:val="right"/>
              <w:rPr>
                <w:rFonts w:ascii="Times New Roman" w:hAnsi="Times New Roman" w:eastAsia="仿宋_GB2312" w:cs="Times New Roman"/>
                <w:sz w:val="24"/>
                <w:szCs w:val="24"/>
              </w:rPr>
            </w:pPr>
            <w:r>
              <w:rPr>
                <w:rFonts w:hint="eastAsia" w:ascii="Times New Roman" w:hAnsi="Times New Roman" w:eastAsia="仿宋_GB2312" w:cs="Times New Roman"/>
              </w:rPr>
              <w:t>816.01</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DC79A1">
            <w:pPr>
              <w:jc w:val="right"/>
              <w:rPr>
                <w:rFonts w:ascii="Times New Roman" w:hAnsi="Times New Roman" w:eastAsia="仿宋_GB2312" w:cs="Times New Roman"/>
                <w:sz w:val="24"/>
                <w:szCs w:val="24"/>
              </w:rPr>
            </w:pPr>
            <w:r>
              <w:rPr>
                <w:rFonts w:hint="eastAsia" w:ascii="Times New Roman" w:hAnsi="Times New Roman" w:eastAsia="仿宋_GB2312" w:cs="Times New Roman"/>
              </w:rPr>
              <w:t>661.92</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8420E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8C645B">
            <w:pPr>
              <w:jc w:val="right"/>
              <w:rPr>
                <w:rFonts w:ascii="Times New Roman" w:hAnsi="Times New Roman" w:eastAsia="仿宋_GB2312" w:cs="Times New Roman"/>
                <w:sz w:val="24"/>
                <w:szCs w:val="24"/>
              </w:rPr>
            </w:pPr>
            <w:r>
              <w:rPr>
                <w:rFonts w:hint="eastAsia" w:ascii="Times New Roman" w:hAnsi="Times New Roman" w:eastAsia="仿宋_GB2312" w:cs="Times New Roman"/>
              </w:rPr>
              <w:t>154.09</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8C86B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08AB2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66BACA">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1D929E2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8F0A15A">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2040250</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B0A53E2">
            <w:pPr>
              <w:rPr>
                <w:rFonts w:ascii="Times New Roman" w:hAnsi="Times New Roman" w:eastAsia="仿宋_GB2312" w:cs="Times New Roman"/>
                <w:sz w:val="24"/>
                <w:szCs w:val="24"/>
              </w:rPr>
            </w:pPr>
            <w:r>
              <w:rPr>
                <w:rFonts w:hint="eastAsia" w:ascii="Times New Roman" w:hAnsi="Times New Roman" w:eastAsia="仿宋_GB2312" w:cs="Times New Roman"/>
              </w:rPr>
              <w:t>事业运行</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2538E0">
            <w:pPr>
              <w:jc w:val="right"/>
              <w:rPr>
                <w:rFonts w:ascii="Times New Roman" w:hAnsi="Times New Roman" w:eastAsia="仿宋_GB2312" w:cs="Times New Roman"/>
                <w:sz w:val="24"/>
                <w:szCs w:val="24"/>
              </w:rPr>
            </w:pPr>
            <w:r>
              <w:rPr>
                <w:rFonts w:hint="eastAsia" w:ascii="Times New Roman" w:hAnsi="Times New Roman" w:eastAsia="仿宋_GB2312" w:cs="Times New Roman"/>
              </w:rPr>
              <w:t>513.17</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3B8C14">
            <w:pPr>
              <w:jc w:val="right"/>
              <w:rPr>
                <w:rFonts w:ascii="Times New Roman" w:hAnsi="Times New Roman" w:eastAsia="仿宋_GB2312" w:cs="Times New Roman"/>
                <w:sz w:val="24"/>
                <w:szCs w:val="24"/>
              </w:rPr>
            </w:pPr>
            <w:r>
              <w:rPr>
                <w:rFonts w:hint="eastAsia" w:ascii="Times New Roman" w:hAnsi="Times New Roman" w:eastAsia="仿宋_GB2312" w:cs="Times New Roman"/>
              </w:rPr>
              <w:t>513.17</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9E53C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D3D95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BA343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34BDF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67429B">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6235CEAE">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12A3420">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2040299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E3B8945">
            <w:pPr>
              <w:rPr>
                <w:rFonts w:ascii="Times New Roman" w:hAnsi="Times New Roman" w:eastAsia="仿宋_GB2312" w:cs="Times New Roman"/>
                <w:sz w:val="24"/>
                <w:szCs w:val="24"/>
              </w:rPr>
            </w:pPr>
            <w:r>
              <w:rPr>
                <w:rFonts w:hint="eastAsia" w:ascii="Times New Roman" w:hAnsi="Times New Roman" w:eastAsia="仿宋_GB2312" w:cs="Times New Roman"/>
              </w:rPr>
              <w:t>其他公安支出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0E2BC7">
            <w:pPr>
              <w:jc w:val="right"/>
              <w:rPr>
                <w:rFonts w:ascii="Times New Roman" w:hAnsi="Times New Roman" w:eastAsia="仿宋_GB2312" w:cs="Times New Roman"/>
                <w:sz w:val="24"/>
                <w:szCs w:val="24"/>
              </w:rPr>
            </w:pPr>
            <w:r>
              <w:rPr>
                <w:rFonts w:hint="eastAsia" w:ascii="Times New Roman" w:hAnsi="Times New Roman" w:eastAsia="仿宋_GB2312" w:cs="Times New Roman"/>
              </w:rPr>
              <w:t>154.09</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9F7D8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3D095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4E7C9D">
            <w:pPr>
              <w:jc w:val="right"/>
              <w:rPr>
                <w:rFonts w:ascii="Times New Roman" w:hAnsi="Times New Roman" w:eastAsia="仿宋_GB2312" w:cs="Times New Roman"/>
                <w:sz w:val="24"/>
                <w:szCs w:val="24"/>
              </w:rPr>
            </w:pPr>
            <w:r>
              <w:rPr>
                <w:rFonts w:hint="eastAsia" w:ascii="Times New Roman" w:hAnsi="Times New Roman" w:eastAsia="仿宋_GB2312" w:cs="Times New Roman"/>
              </w:rPr>
              <w:t>154.09</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6E83E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E9C64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13836A">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60E34FE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EF1B86C">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2080505</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5C09BC3">
            <w:pPr>
              <w:rPr>
                <w:rFonts w:ascii="Times New Roman" w:hAnsi="Times New Roman" w:eastAsia="仿宋_GB2312" w:cs="Times New Roman"/>
                <w:sz w:val="24"/>
                <w:szCs w:val="24"/>
              </w:rPr>
            </w:pPr>
            <w:r>
              <w:rPr>
                <w:rFonts w:hint="eastAsia" w:ascii="Times New Roman" w:hAnsi="Times New Roman" w:eastAsia="仿宋_GB2312" w:cs="Times New Roman"/>
              </w:rPr>
              <w:t>机关事业单位基本养老保险缴费支出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37F607">
            <w:pPr>
              <w:jc w:val="right"/>
              <w:rPr>
                <w:rFonts w:ascii="Times New Roman" w:hAnsi="Times New Roman" w:eastAsia="仿宋_GB2312" w:cs="Times New Roman"/>
                <w:sz w:val="24"/>
                <w:szCs w:val="24"/>
              </w:rPr>
            </w:pPr>
            <w:r>
              <w:rPr>
                <w:rFonts w:hint="eastAsia" w:ascii="Times New Roman" w:hAnsi="Times New Roman" w:eastAsia="仿宋_GB2312" w:cs="Times New Roman"/>
              </w:rPr>
              <w:t>49.15</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AA96B2">
            <w:pPr>
              <w:jc w:val="right"/>
              <w:rPr>
                <w:rFonts w:ascii="Times New Roman" w:hAnsi="Times New Roman" w:eastAsia="仿宋_GB2312" w:cs="Times New Roman"/>
                <w:sz w:val="24"/>
                <w:szCs w:val="24"/>
              </w:rPr>
            </w:pPr>
            <w:r>
              <w:rPr>
                <w:rFonts w:hint="eastAsia" w:ascii="Times New Roman" w:hAnsi="Times New Roman" w:eastAsia="仿宋_GB2312" w:cs="Times New Roman"/>
              </w:rPr>
              <w:t>49.15</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C114C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504F6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9B07D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35652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22D5E8">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904339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17669AB">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2080599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9C8D09F">
            <w:pPr>
              <w:rPr>
                <w:rFonts w:ascii="Times New Roman" w:hAnsi="Times New Roman" w:eastAsia="仿宋_GB2312" w:cs="Times New Roman"/>
                <w:sz w:val="24"/>
                <w:szCs w:val="24"/>
              </w:rPr>
            </w:pPr>
            <w:r>
              <w:rPr>
                <w:rFonts w:hint="eastAsia" w:ascii="Times New Roman" w:hAnsi="Times New Roman" w:eastAsia="仿宋_GB2312" w:cs="Times New Roman"/>
              </w:rPr>
              <w:t>其他行政事业单位养老支出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C78BF2">
            <w:pPr>
              <w:jc w:val="right"/>
              <w:rPr>
                <w:rFonts w:ascii="Times New Roman" w:hAnsi="Times New Roman" w:eastAsia="仿宋_GB2312" w:cs="Times New Roman"/>
                <w:sz w:val="24"/>
                <w:szCs w:val="24"/>
              </w:rPr>
            </w:pPr>
            <w:r>
              <w:rPr>
                <w:rFonts w:hint="eastAsia" w:ascii="Times New Roman" w:hAnsi="Times New Roman" w:eastAsia="仿宋_GB2312" w:cs="Times New Roman"/>
              </w:rPr>
              <w:t>35.74</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5747B3">
            <w:pPr>
              <w:jc w:val="right"/>
              <w:rPr>
                <w:rFonts w:ascii="Times New Roman" w:hAnsi="Times New Roman" w:eastAsia="仿宋_GB2312" w:cs="Times New Roman"/>
                <w:sz w:val="24"/>
                <w:szCs w:val="24"/>
              </w:rPr>
            </w:pPr>
            <w:r>
              <w:rPr>
                <w:rFonts w:hint="eastAsia" w:ascii="Times New Roman" w:hAnsi="Times New Roman" w:eastAsia="仿宋_GB2312" w:cs="Times New Roman"/>
              </w:rPr>
              <w:t>35.74</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3D898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04CD3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61513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D2018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715C68">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4F3B796C">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4912A44">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2101101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0712365">
            <w:pPr>
              <w:rPr>
                <w:rFonts w:ascii="Times New Roman" w:hAnsi="Times New Roman" w:eastAsia="仿宋_GB2312" w:cs="Times New Roman"/>
                <w:sz w:val="24"/>
                <w:szCs w:val="24"/>
              </w:rPr>
            </w:pPr>
            <w:r>
              <w:rPr>
                <w:rFonts w:hint="eastAsia" w:ascii="Times New Roman" w:hAnsi="Times New Roman" w:eastAsia="仿宋_GB2312" w:cs="Times New Roman"/>
              </w:rPr>
              <w:t>行政单位医疗</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EE8205">
            <w:pPr>
              <w:jc w:val="right"/>
              <w:rPr>
                <w:rFonts w:ascii="Times New Roman" w:hAnsi="Times New Roman" w:eastAsia="仿宋_GB2312" w:cs="Times New Roman"/>
                <w:sz w:val="24"/>
                <w:szCs w:val="24"/>
              </w:rPr>
            </w:pPr>
            <w:r>
              <w:rPr>
                <w:rFonts w:hint="eastAsia" w:ascii="Times New Roman" w:hAnsi="Times New Roman" w:eastAsia="仿宋_GB2312" w:cs="Times New Roman"/>
              </w:rPr>
              <w:t>21.24</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85FCBD">
            <w:pPr>
              <w:jc w:val="right"/>
              <w:rPr>
                <w:rFonts w:ascii="Times New Roman" w:hAnsi="Times New Roman" w:eastAsia="仿宋_GB2312" w:cs="Times New Roman"/>
                <w:sz w:val="24"/>
                <w:szCs w:val="24"/>
              </w:rPr>
            </w:pPr>
            <w:r>
              <w:rPr>
                <w:rFonts w:hint="eastAsia" w:ascii="Times New Roman" w:hAnsi="Times New Roman" w:eastAsia="仿宋_GB2312" w:cs="Times New Roman"/>
              </w:rPr>
              <w:t>21.24</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49252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4E51C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EDAFF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E5C44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FD40E5">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1D217D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9127A70">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2101103</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A55F913">
            <w:pPr>
              <w:rPr>
                <w:rFonts w:ascii="Times New Roman" w:hAnsi="Times New Roman" w:eastAsia="仿宋_GB2312" w:cs="Times New Roman"/>
                <w:sz w:val="24"/>
                <w:szCs w:val="24"/>
              </w:rPr>
            </w:pPr>
            <w:r>
              <w:rPr>
                <w:rFonts w:hint="eastAsia" w:ascii="Times New Roman" w:hAnsi="Times New Roman" w:eastAsia="仿宋_GB2312" w:cs="Times New Roman"/>
              </w:rPr>
              <w:t>公务员医疗补助</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98AD38">
            <w:pPr>
              <w:jc w:val="right"/>
              <w:rPr>
                <w:rFonts w:ascii="Times New Roman" w:hAnsi="Times New Roman" w:eastAsia="仿宋_GB2312" w:cs="Times New Roman"/>
                <w:sz w:val="24"/>
                <w:szCs w:val="24"/>
              </w:rPr>
            </w:pPr>
            <w:r>
              <w:rPr>
                <w:rFonts w:hint="eastAsia" w:ascii="Times New Roman" w:hAnsi="Times New Roman" w:eastAsia="仿宋_GB2312" w:cs="Times New Roman"/>
              </w:rPr>
              <w:t>1.86</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C6AB7A">
            <w:pPr>
              <w:jc w:val="right"/>
              <w:rPr>
                <w:rFonts w:ascii="Times New Roman" w:hAnsi="Times New Roman" w:eastAsia="仿宋_GB2312" w:cs="Times New Roman"/>
                <w:sz w:val="24"/>
                <w:szCs w:val="24"/>
              </w:rPr>
            </w:pPr>
            <w:r>
              <w:rPr>
                <w:rFonts w:hint="eastAsia" w:ascii="Times New Roman" w:hAnsi="Times New Roman" w:eastAsia="仿宋_GB2312" w:cs="Times New Roman"/>
              </w:rPr>
              <w:t>1.86</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00ED1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CC3C9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8FBB7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92148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8BC631">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3F6CBF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A2B8E6B">
            <w:pPr>
              <w:ind w:firstLine="210" w:firstLineChars="100"/>
              <w:rPr>
                <w:rFonts w:ascii="Times New Roman" w:hAnsi="Times New Roman" w:eastAsia="仿宋_GB2312" w:cs="Times New Roman"/>
              </w:rPr>
            </w:pPr>
            <w:r>
              <w:rPr>
                <w:rFonts w:hint="eastAsia" w:ascii="Times New Roman" w:hAnsi="Times New Roman" w:eastAsia="仿宋_GB2312" w:cs="Times New Roman"/>
              </w:rPr>
              <w:t>2210201</w:t>
            </w:r>
          </w:p>
        </w:tc>
        <w:tc>
          <w:tcPr>
            <w:tcW w:w="1300"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64B2297">
            <w:pPr>
              <w:rPr>
                <w:rFonts w:ascii="Times New Roman" w:hAnsi="Times New Roman" w:eastAsia="仿宋_GB2312" w:cs="Times New Roman"/>
              </w:rPr>
            </w:pPr>
            <w:r>
              <w:rPr>
                <w:rFonts w:hint="eastAsia" w:ascii="Times New Roman" w:hAnsi="Times New Roman" w:eastAsia="仿宋_GB2312" w:cs="Times New Roman"/>
              </w:rPr>
              <w:t>住房公积金</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A1E258">
            <w:pPr>
              <w:jc w:val="right"/>
              <w:rPr>
                <w:rFonts w:ascii="Times New Roman" w:hAnsi="Times New Roman" w:eastAsia="仿宋_GB2312" w:cs="Times New Roman"/>
              </w:rPr>
            </w:pPr>
            <w:r>
              <w:rPr>
                <w:rFonts w:hint="eastAsia" w:ascii="Times New Roman" w:hAnsi="Times New Roman" w:eastAsia="仿宋_GB2312" w:cs="Times New Roman"/>
              </w:rPr>
              <w:t>40.75</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7E1F97">
            <w:pPr>
              <w:jc w:val="right"/>
              <w:rPr>
                <w:rFonts w:ascii="Times New Roman" w:hAnsi="Times New Roman" w:eastAsia="仿宋_GB2312" w:cs="Times New Roman"/>
              </w:rPr>
            </w:pPr>
            <w:r>
              <w:rPr>
                <w:rFonts w:hint="eastAsia" w:ascii="Times New Roman" w:hAnsi="Times New Roman" w:eastAsia="仿宋_GB2312" w:cs="Times New Roman"/>
              </w:rPr>
              <w:t>40.75</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8F7F04">
            <w:pPr>
              <w:jc w:val="right"/>
              <w:rPr>
                <w:rFonts w:ascii="Times New Roman" w:hAnsi="Times New Roman" w:eastAsia="仿宋_GB2312" w:cs="Times New Roman"/>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9B509B">
            <w:pPr>
              <w:jc w:val="right"/>
              <w:rPr>
                <w:rFonts w:ascii="Times New Roman" w:hAnsi="Times New Roman" w:eastAsia="仿宋_GB2312" w:cs="Times New Roman"/>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219033">
            <w:pPr>
              <w:jc w:val="right"/>
              <w:rPr>
                <w:rFonts w:ascii="Times New Roman" w:hAnsi="Times New Roman" w:eastAsia="仿宋_GB2312" w:cs="Times New Roman"/>
              </w:rPr>
            </w:pPr>
          </w:p>
        </w:tc>
        <w:tc>
          <w:tcPr>
            <w:tcW w:w="189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843F87">
            <w:pPr>
              <w:jc w:val="right"/>
              <w:rPr>
                <w:rFonts w:ascii="Times New Roman" w:hAnsi="Times New Roman" w:eastAsia="仿宋_GB2312" w:cs="Times New Roman"/>
              </w:rPr>
            </w:pPr>
          </w:p>
        </w:tc>
        <w:tc>
          <w:tcPr>
            <w:tcW w:w="138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2AF0B6">
            <w:pPr>
              <w:jc w:val="right"/>
              <w:rPr>
                <w:rFonts w:ascii="Times New Roman" w:hAnsi="Times New Roman" w:eastAsia="仿宋_GB2312" w:cs="Times New Roman"/>
              </w:rPr>
            </w:pPr>
          </w:p>
        </w:tc>
      </w:tr>
    </w:tbl>
    <w:p w14:paraId="52A24ACB">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770FEE58">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3398D7E8">
      <w:pPr>
        <w:widowControl/>
        <w:jc w:val="center"/>
        <w:textAlignment w:val="center"/>
        <w:rPr>
          <w:rFonts w:ascii="Times New Roman" w:hAnsi="Times New Roman" w:eastAsia="黑体" w:cs="Times New Roman"/>
          <w:color w:val="000000"/>
          <w:kern w:val="0"/>
          <w:sz w:val="32"/>
          <w:szCs w:val="32"/>
          <w:lang w:bidi="ar"/>
        </w:rPr>
      </w:pPr>
    </w:p>
    <w:p w14:paraId="08F2FBA2">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4556893F">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77505E08">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bidi="ar"/>
        </w:rPr>
        <w:t>永州市公安干部中等专业学校</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4998" w:type="pct"/>
        <w:jc w:val="center"/>
        <w:tblLayout w:type="autofit"/>
        <w:tblCellMar>
          <w:top w:w="0" w:type="dxa"/>
          <w:left w:w="108" w:type="dxa"/>
          <w:bottom w:w="0" w:type="dxa"/>
          <w:right w:w="108" w:type="dxa"/>
        </w:tblCellMar>
      </w:tblPr>
      <w:tblGrid>
        <w:gridCol w:w="2001"/>
        <w:gridCol w:w="4296"/>
        <w:gridCol w:w="1454"/>
        <w:gridCol w:w="911"/>
        <w:gridCol w:w="911"/>
        <w:gridCol w:w="1454"/>
        <w:gridCol w:w="912"/>
        <w:gridCol w:w="2275"/>
      </w:tblGrid>
      <w:tr w14:paraId="410CA5F2">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7AA11566">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E6BCE3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5D3071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E33B6A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14016C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E58BFC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CD45FE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0A8563BC">
        <w:tblPrEx>
          <w:tblCellMar>
            <w:top w:w="0" w:type="dxa"/>
            <w:left w:w="108" w:type="dxa"/>
            <w:bottom w:w="0" w:type="dxa"/>
            <w:right w:w="108" w:type="dxa"/>
          </w:tblCellMar>
        </w:tblPrEx>
        <w:trPr>
          <w:trHeight w:val="312" w:hRule="exact"/>
          <w:jc w:val="center"/>
        </w:trPr>
        <w:tc>
          <w:tcPr>
            <w:tcW w:w="8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13EDAD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469" w:type="pct"/>
            <w:vMerge w:val="restart"/>
            <w:tcBorders>
              <w:top w:val="nil"/>
              <w:left w:val="single" w:color="auto" w:sz="4" w:space="0"/>
              <w:bottom w:val="single" w:color="auto" w:sz="4" w:space="0"/>
              <w:right w:val="single" w:color="auto" w:sz="4" w:space="0"/>
            </w:tcBorders>
            <w:shd w:val="clear" w:color="000000" w:fill="FFFFFF"/>
            <w:vAlign w:val="center"/>
          </w:tcPr>
          <w:p w14:paraId="7C263B1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33D4B3AA">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2D00B200">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3D1546FE">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2939E863">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6346B59">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0D2C05E0">
            <w:pPr>
              <w:widowControl/>
              <w:jc w:val="left"/>
              <w:rPr>
                <w:rFonts w:ascii="Times New Roman" w:hAnsi="Times New Roman" w:eastAsia="仿宋_GB2312" w:cs="Times New Roman"/>
                <w:b/>
                <w:bCs/>
                <w:kern w:val="0"/>
                <w:sz w:val="24"/>
                <w:szCs w:val="24"/>
              </w:rPr>
            </w:pPr>
          </w:p>
        </w:tc>
      </w:tr>
      <w:tr w14:paraId="6AF3C4AA">
        <w:tblPrEx>
          <w:tblCellMar>
            <w:top w:w="0" w:type="dxa"/>
            <w:left w:w="108" w:type="dxa"/>
            <w:bottom w:w="0" w:type="dxa"/>
            <w:right w:w="108" w:type="dxa"/>
          </w:tblCellMar>
        </w:tblPrEx>
        <w:trPr>
          <w:trHeight w:val="595" w:hRule="atLeast"/>
          <w:jc w:val="center"/>
        </w:trPr>
        <w:tc>
          <w:tcPr>
            <w:tcW w:w="852" w:type="pct"/>
            <w:vMerge w:val="continue"/>
            <w:tcBorders>
              <w:top w:val="single" w:color="auto" w:sz="4" w:space="0"/>
              <w:left w:val="single" w:color="auto" w:sz="4" w:space="0"/>
              <w:bottom w:val="single" w:color="auto" w:sz="4" w:space="0"/>
              <w:right w:val="single" w:color="auto" w:sz="4" w:space="0"/>
            </w:tcBorders>
            <w:vAlign w:val="center"/>
          </w:tcPr>
          <w:p w14:paraId="29EE2E4C">
            <w:pPr>
              <w:widowControl/>
              <w:jc w:val="left"/>
              <w:rPr>
                <w:rFonts w:ascii="Times New Roman" w:hAnsi="Times New Roman" w:eastAsia="仿宋_GB2312" w:cs="Times New Roman"/>
                <w:kern w:val="0"/>
                <w:sz w:val="24"/>
                <w:szCs w:val="24"/>
              </w:rPr>
            </w:pPr>
          </w:p>
        </w:tc>
        <w:tc>
          <w:tcPr>
            <w:tcW w:w="469" w:type="pct"/>
            <w:vMerge w:val="continue"/>
            <w:tcBorders>
              <w:top w:val="nil"/>
              <w:left w:val="single" w:color="auto" w:sz="4" w:space="0"/>
              <w:bottom w:val="single" w:color="auto" w:sz="4" w:space="0"/>
              <w:right w:val="single" w:color="auto" w:sz="4" w:space="0"/>
            </w:tcBorders>
            <w:vAlign w:val="center"/>
          </w:tcPr>
          <w:p w14:paraId="06456EF8">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16985490">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7AE62BE0">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32904B43">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5BBA49F2">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41FFD27C">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21548A64">
            <w:pPr>
              <w:widowControl/>
              <w:jc w:val="left"/>
              <w:rPr>
                <w:rFonts w:ascii="Times New Roman" w:hAnsi="Times New Roman" w:eastAsia="仿宋_GB2312" w:cs="Times New Roman"/>
                <w:kern w:val="0"/>
                <w:sz w:val="24"/>
                <w:szCs w:val="24"/>
              </w:rPr>
            </w:pPr>
          </w:p>
        </w:tc>
      </w:tr>
      <w:tr w14:paraId="4F71F104">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9CCC47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14:paraId="69AFAAC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14:paraId="019BB7F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14:paraId="51090F7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14:paraId="5FC6727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14:paraId="0A49B49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14:paraId="3443928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31B4C8B8">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5C6597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60" w:type="pct"/>
            <w:tcBorders>
              <w:top w:val="nil"/>
              <w:left w:val="nil"/>
              <w:bottom w:val="single" w:color="auto" w:sz="4" w:space="0"/>
              <w:right w:val="single" w:color="auto" w:sz="4" w:space="0"/>
            </w:tcBorders>
            <w:shd w:val="clear" w:color="auto" w:fill="auto"/>
            <w:noWrap/>
            <w:vAlign w:val="center"/>
          </w:tcPr>
          <w:p w14:paraId="4A8A7D2C">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816.01</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7C327AF9">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661.92</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37011ED3">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154.09</w:t>
            </w: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2410941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5040EE1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04BBDB8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C92BF9D">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2583C35">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rPr>
              <w:t>2040250</w:t>
            </w:r>
          </w:p>
        </w:tc>
        <w:tc>
          <w:tcPr>
            <w:tcW w:w="469" w:type="pct"/>
            <w:tcBorders>
              <w:top w:val="nil"/>
              <w:left w:val="nil"/>
              <w:bottom w:val="single" w:color="auto" w:sz="4" w:space="0"/>
              <w:right w:val="single" w:color="auto" w:sz="4" w:space="0"/>
            </w:tcBorders>
            <w:shd w:val="clear" w:color="000000" w:fill="FFFFFF"/>
            <w:noWrap/>
            <w:vAlign w:val="center"/>
          </w:tcPr>
          <w:p w14:paraId="27A8CC58">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rPr>
              <w:t>事业运行</w:t>
            </w:r>
          </w:p>
        </w:tc>
        <w:tc>
          <w:tcPr>
            <w:tcW w:w="660" w:type="pct"/>
            <w:tcBorders>
              <w:top w:val="nil"/>
              <w:left w:val="nil"/>
              <w:bottom w:val="single" w:color="auto" w:sz="4" w:space="0"/>
              <w:right w:val="single" w:color="auto" w:sz="4" w:space="0"/>
            </w:tcBorders>
            <w:shd w:val="clear" w:color="auto" w:fill="auto"/>
            <w:noWrap/>
            <w:vAlign w:val="center"/>
          </w:tcPr>
          <w:p w14:paraId="19131B63">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513.17</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168D40D4">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513.17</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497E26F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1A87257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4E28D1F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4B90957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08EE62B">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ADF9DD9">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rPr>
              <w:t>2040299</w:t>
            </w:r>
          </w:p>
        </w:tc>
        <w:tc>
          <w:tcPr>
            <w:tcW w:w="469" w:type="pct"/>
            <w:tcBorders>
              <w:top w:val="nil"/>
              <w:left w:val="nil"/>
              <w:bottom w:val="single" w:color="auto" w:sz="4" w:space="0"/>
              <w:right w:val="single" w:color="auto" w:sz="4" w:space="0"/>
            </w:tcBorders>
            <w:shd w:val="clear" w:color="000000" w:fill="FFFFFF"/>
            <w:noWrap/>
            <w:vAlign w:val="center"/>
          </w:tcPr>
          <w:p w14:paraId="2358AD6A">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rPr>
              <w:t>其他公安支出</w:t>
            </w:r>
          </w:p>
        </w:tc>
        <w:tc>
          <w:tcPr>
            <w:tcW w:w="660" w:type="pct"/>
            <w:tcBorders>
              <w:top w:val="nil"/>
              <w:left w:val="nil"/>
              <w:bottom w:val="single" w:color="auto" w:sz="4" w:space="0"/>
              <w:right w:val="single" w:color="auto" w:sz="4" w:space="0"/>
            </w:tcBorders>
            <w:shd w:val="clear" w:color="auto" w:fill="auto"/>
            <w:noWrap/>
            <w:vAlign w:val="center"/>
          </w:tcPr>
          <w:p w14:paraId="267ABDC2">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154.09</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41B9441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EA2EC4D">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154.09</w:t>
            </w: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6004922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1944444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2D56FBA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80FD208">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7186E93">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rPr>
              <w:t>2080505</w:t>
            </w:r>
          </w:p>
        </w:tc>
        <w:tc>
          <w:tcPr>
            <w:tcW w:w="469" w:type="pct"/>
            <w:tcBorders>
              <w:top w:val="nil"/>
              <w:left w:val="nil"/>
              <w:bottom w:val="single" w:color="auto" w:sz="4" w:space="0"/>
              <w:right w:val="single" w:color="auto" w:sz="4" w:space="0"/>
            </w:tcBorders>
            <w:shd w:val="clear" w:color="000000" w:fill="FFFFFF"/>
            <w:noWrap/>
            <w:vAlign w:val="center"/>
          </w:tcPr>
          <w:p w14:paraId="259BAF3C">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rPr>
              <w:t>机关事业单位基本养老保险缴费支出</w:t>
            </w:r>
          </w:p>
        </w:tc>
        <w:tc>
          <w:tcPr>
            <w:tcW w:w="660" w:type="pct"/>
            <w:tcBorders>
              <w:top w:val="nil"/>
              <w:left w:val="nil"/>
              <w:bottom w:val="single" w:color="auto" w:sz="4" w:space="0"/>
              <w:right w:val="single" w:color="auto" w:sz="4" w:space="0"/>
            </w:tcBorders>
            <w:shd w:val="clear" w:color="auto" w:fill="auto"/>
            <w:noWrap/>
            <w:vAlign w:val="center"/>
          </w:tcPr>
          <w:p w14:paraId="1DE9932D">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49.15</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5C3DB4F">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49.15</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1529130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06132DD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7112E3C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61C8676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28023FA">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F6C3065">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rPr>
              <w:t>2080599</w:t>
            </w:r>
          </w:p>
        </w:tc>
        <w:tc>
          <w:tcPr>
            <w:tcW w:w="469" w:type="pct"/>
            <w:tcBorders>
              <w:top w:val="nil"/>
              <w:left w:val="nil"/>
              <w:bottom w:val="single" w:color="auto" w:sz="4" w:space="0"/>
              <w:right w:val="single" w:color="auto" w:sz="4" w:space="0"/>
            </w:tcBorders>
            <w:shd w:val="clear" w:color="000000" w:fill="FFFFFF"/>
            <w:noWrap/>
            <w:vAlign w:val="center"/>
          </w:tcPr>
          <w:p w14:paraId="5E3A1FF5">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rPr>
              <w:t>其他行政事业单位养老支出</w:t>
            </w:r>
          </w:p>
        </w:tc>
        <w:tc>
          <w:tcPr>
            <w:tcW w:w="660" w:type="pct"/>
            <w:tcBorders>
              <w:top w:val="nil"/>
              <w:left w:val="nil"/>
              <w:bottom w:val="single" w:color="auto" w:sz="4" w:space="0"/>
              <w:right w:val="single" w:color="auto" w:sz="4" w:space="0"/>
            </w:tcBorders>
            <w:shd w:val="clear" w:color="auto" w:fill="auto"/>
            <w:noWrap/>
            <w:vAlign w:val="center"/>
          </w:tcPr>
          <w:p w14:paraId="36712A34">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35.74</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4D3877D">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35.74</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39F9AA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14ED6ED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A3E760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5E374A9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0636553">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F5150DB">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rPr>
              <w:t>2101101</w:t>
            </w:r>
          </w:p>
        </w:tc>
        <w:tc>
          <w:tcPr>
            <w:tcW w:w="469" w:type="pct"/>
            <w:tcBorders>
              <w:top w:val="nil"/>
              <w:left w:val="nil"/>
              <w:bottom w:val="single" w:color="auto" w:sz="4" w:space="0"/>
              <w:right w:val="single" w:color="auto" w:sz="4" w:space="0"/>
            </w:tcBorders>
            <w:shd w:val="clear" w:color="000000" w:fill="FFFFFF"/>
            <w:noWrap/>
            <w:vAlign w:val="center"/>
          </w:tcPr>
          <w:p w14:paraId="708E3A35">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rPr>
              <w:t>行政单位医疗</w:t>
            </w:r>
          </w:p>
        </w:tc>
        <w:tc>
          <w:tcPr>
            <w:tcW w:w="660" w:type="pct"/>
            <w:tcBorders>
              <w:top w:val="nil"/>
              <w:left w:val="nil"/>
              <w:bottom w:val="single" w:color="auto" w:sz="4" w:space="0"/>
              <w:right w:val="single" w:color="auto" w:sz="4" w:space="0"/>
            </w:tcBorders>
            <w:shd w:val="clear" w:color="auto" w:fill="auto"/>
            <w:noWrap/>
            <w:vAlign w:val="center"/>
          </w:tcPr>
          <w:p w14:paraId="033CCD52">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21.24</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7D2A2FEC">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21.24</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58777DD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399A2C2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4CDC2A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3B4F61B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C16BB46">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EEFD88A">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rPr>
              <w:t>2101103</w:t>
            </w:r>
          </w:p>
        </w:tc>
        <w:tc>
          <w:tcPr>
            <w:tcW w:w="469" w:type="pct"/>
            <w:tcBorders>
              <w:top w:val="nil"/>
              <w:left w:val="nil"/>
              <w:bottom w:val="single" w:color="auto" w:sz="4" w:space="0"/>
              <w:right w:val="single" w:color="auto" w:sz="4" w:space="0"/>
            </w:tcBorders>
            <w:shd w:val="clear" w:color="000000" w:fill="FFFFFF"/>
            <w:noWrap/>
            <w:vAlign w:val="center"/>
          </w:tcPr>
          <w:p w14:paraId="57E0F1D7">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rPr>
              <w:t>公务员医疗补助</w:t>
            </w:r>
          </w:p>
        </w:tc>
        <w:tc>
          <w:tcPr>
            <w:tcW w:w="660" w:type="pct"/>
            <w:tcBorders>
              <w:top w:val="nil"/>
              <w:left w:val="nil"/>
              <w:bottom w:val="single" w:color="auto" w:sz="4" w:space="0"/>
              <w:right w:val="single" w:color="auto" w:sz="4" w:space="0"/>
            </w:tcBorders>
            <w:shd w:val="clear" w:color="auto" w:fill="auto"/>
            <w:noWrap/>
            <w:vAlign w:val="center"/>
          </w:tcPr>
          <w:p w14:paraId="00F4F669">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1.86</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9D33754">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1.86</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E597EB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0712ABD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7B88A90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17EDDEA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6BE8077">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5C3E7E0">
            <w:pPr>
              <w:widowControl/>
              <w:ind w:firstLine="240" w:firstLineChars="100"/>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2210201</w:t>
            </w:r>
          </w:p>
        </w:tc>
        <w:tc>
          <w:tcPr>
            <w:tcW w:w="469" w:type="pct"/>
            <w:tcBorders>
              <w:top w:val="single" w:color="auto" w:sz="4" w:space="0"/>
              <w:left w:val="nil"/>
              <w:bottom w:val="single" w:color="auto" w:sz="4" w:space="0"/>
              <w:right w:val="single" w:color="auto" w:sz="4" w:space="0"/>
            </w:tcBorders>
            <w:shd w:val="clear" w:color="000000" w:fill="FFFFFF"/>
            <w:noWrap/>
            <w:vAlign w:val="center"/>
          </w:tcPr>
          <w:p w14:paraId="5EFD53B8">
            <w:pPr>
              <w:widowControl/>
              <w:ind w:firstLine="240" w:firstLineChars="100"/>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住房公积金</w:t>
            </w:r>
          </w:p>
        </w:tc>
        <w:tc>
          <w:tcPr>
            <w:tcW w:w="660" w:type="pct"/>
            <w:tcBorders>
              <w:top w:val="single" w:color="auto" w:sz="4" w:space="0"/>
              <w:left w:val="nil"/>
              <w:bottom w:val="single" w:color="auto" w:sz="4" w:space="0"/>
              <w:right w:val="single" w:color="auto" w:sz="4" w:space="0"/>
            </w:tcBorders>
            <w:shd w:val="clear" w:color="auto" w:fill="auto"/>
            <w:noWrap/>
            <w:vAlign w:val="center"/>
          </w:tcPr>
          <w:p w14:paraId="36A90921">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40.75</w:t>
            </w:r>
          </w:p>
        </w:tc>
        <w:tc>
          <w:tcPr>
            <w:tcW w:w="469" w:type="pct"/>
            <w:tcBorders>
              <w:top w:val="single" w:color="auto" w:sz="4" w:space="0"/>
              <w:left w:val="nil"/>
              <w:bottom w:val="single" w:color="auto" w:sz="4" w:space="0"/>
              <w:right w:val="single" w:color="auto" w:sz="4" w:space="0"/>
            </w:tcBorders>
            <w:shd w:val="clear" w:color="auto" w:fill="auto"/>
            <w:noWrap/>
            <w:vAlign w:val="center"/>
          </w:tcPr>
          <w:p w14:paraId="511C22D5">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40.75</w:t>
            </w:r>
          </w:p>
        </w:tc>
        <w:tc>
          <w:tcPr>
            <w:tcW w:w="469" w:type="pct"/>
            <w:tcBorders>
              <w:top w:val="single" w:color="auto" w:sz="4" w:space="0"/>
              <w:left w:val="nil"/>
              <w:bottom w:val="single" w:color="auto" w:sz="4" w:space="0"/>
              <w:right w:val="single" w:color="auto" w:sz="4" w:space="0"/>
            </w:tcBorders>
            <w:shd w:val="clear" w:color="auto" w:fill="auto"/>
            <w:noWrap/>
            <w:vAlign w:val="center"/>
          </w:tcPr>
          <w:p w14:paraId="73493F4E">
            <w:pPr>
              <w:widowControl/>
              <w:jc w:val="right"/>
              <w:rPr>
                <w:rFonts w:ascii="Times New Roman" w:hAnsi="Times New Roman" w:eastAsia="仿宋_GB2312" w:cs="Times New Roman"/>
                <w:kern w:val="0"/>
                <w:sz w:val="24"/>
                <w:szCs w:val="24"/>
              </w:rPr>
            </w:pPr>
          </w:p>
        </w:tc>
        <w:tc>
          <w:tcPr>
            <w:tcW w:w="660" w:type="pct"/>
            <w:tcBorders>
              <w:top w:val="single" w:color="auto" w:sz="4" w:space="0"/>
              <w:left w:val="nil"/>
              <w:bottom w:val="single" w:color="auto" w:sz="4" w:space="0"/>
              <w:right w:val="single" w:color="auto" w:sz="4" w:space="0"/>
            </w:tcBorders>
            <w:shd w:val="clear" w:color="auto" w:fill="auto"/>
            <w:noWrap/>
            <w:vAlign w:val="center"/>
          </w:tcPr>
          <w:p w14:paraId="592574F0">
            <w:pPr>
              <w:widowControl/>
              <w:jc w:val="right"/>
              <w:rPr>
                <w:rFonts w:ascii="Times New Roman" w:hAnsi="Times New Roman" w:eastAsia="仿宋_GB2312" w:cs="Times New Roman"/>
                <w:kern w:val="0"/>
                <w:sz w:val="24"/>
                <w:szCs w:val="24"/>
              </w:rPr>
            </w:pPr>
          </w:p>
        </w:tc>
        <w:tc>
          <w:tcPr>
            <w:tcW w:w="469" w:type="pct"/>
            <w:tcBorders>
              <w:top w:val="single" w:color="auto" w:sz="4" w:space="0"/>
              <w:left w:val="nil"/>
              <w:bottom w:val="single" w:color="auto" w:sz="4" w:space="0"/>
              <w:right w:val="single" w:color="auto" w:sz="4" w:space="0"/>
            </w:tcBorders>
            <w:shd w:val="clear" w:color="auto" w:fill="auto"/>
            <w:noWrap/>
            <w:vAlign w:val="center"/>
          </w:tcPr>
          <w:p w14:paraId="0BD2306A">
            <w:pPr>
              <w:widowControl/>
              <w:jc w:val="right"/>
              <w:rPr>
                <w:rFonts w:ascii="Times New Roman" w:hAnsi="Times New Roman" w:eastAsia="仿宋_GB2312" w:cs="Times New Roman"/>
                <w:kern w:val="0"/>
                <w:sz w:val="24"/>
                <w:szCs w:val="24"/>
              </w:rPr>
            </w:pPr>
          </w:p>
        </w:tc>
        <w:tc>
          <w:tcPr>
            <w:tcW w:w="948" w:type="pct"/>
            <w:tcBorders>
              <w:top w:val="single" w:color="auto" w:sz="4" w:space="0"/>
              <w:left w:val="nil"/>
              <w:bottom w:val="single" w:color="auto" w:sz="4" w:space="0"/>
              <w:right w:val="single" w:color="auto" w:sz="4" w:space="0"/>
            </w:tcBorders>
            <w:shd w:val="clear" w:color="auto" w:fill="auto"/>
            <w:noWrap/>
            <w:vAlign w:val="center"/>
          </w:tcPr>
          <w:p w14:paraId="209D0B75">
            <w:pPr>
              <w:widowControl/>
              <w:jc w:val="right"/>
              <w:rPr>
                <w:rFonts w:ascii="Times New Roman" w:hAnsi="Times New Roman" w:eastAsia="仿宋_GB2312" w:cs="Times New Roman"/>
                <w:kern w:val="0"/>
                <w:sz w:val="24"/>
                <w:szCs w:val="24"/>
              </w:rPr>
            </w:pPr>
          </w:p>
        </w:tc>
      </w:tr>
    </w:tbl>
    <w:p w14:paraId="000962AE">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6D99903E">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3C945437">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3EAC4B32">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w:t>
      </w:r>
      <w:r>
        <w:rPr>
          <w:rFonts w:hint="eastAsia" w:ascii="Times New Roman" w:hAnsi="Times New Roman" w:eastAsia="仿宋_GB2312" w:cs="Times New Roman"/>
          <w:color w:val="000000"/>
          <w:kern w:val="0"/>
          <w:sz w:val="20"/>
          <w:szCs w:val="20"/>
          <w:lang w:val="en-US" w:eastAsia="zh-CN"/>
        </w:rPr>
        <w:t xml:space="preserve">              </w:t>
      </w:r>
      <w:r>
        <w:rPr>
          <w:rFonts w:ascii="Times New Roman" w:hAnsi="Times New Roman" w:eastAsia="仿宋_GB2312" w:cs="Times New Roman"/>
          <w:color w:val="000000"/>
          <w:kern w:val="0"/>
          <w:sz w:val="20"/>
          <w:szCs w:val="20"/>
        </w:rPr>
        <w:t xml:space="preserve">                                     公开04表</w:t>
      </w:r>
    </w:p>
    <w:p w14:paraId="44A1D31F">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bidi="ar"/>
        </w:rPr>
        <w:t>永州市公安干部中等专业学校</w:t>
      </w:r>
      <w:r>
        <w:rPr>
          <w:rFonts w:hint="eastAsia" w:ascii="Times New Roman" w:hAnsi="Times New Roman" w:eastAsia="仿宋_GB2312" w:cs="Times New Roman"/>
          <w:color w:val="000000"/>
          <w:kern w:val="0"/>
          <w:sz w:val="20"/>
          <w:szCs w:val="20"/>
          <w:lang w:val="en-US" w:eastAsia="zh-CN" w:bidi="ar"/>
        </w:rPr>
        <w:t xml:space="preserve">             </w:t>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14385" w:type="dxa"/>
        <w:jc w:val="center"/>
        <w:tblLayout w:type="autofit"/>
        <w:tblCellMar>
          <w:top w:w="0" w:type="dxa"/>
          <w:left w:w="108" w:type="dxa"/>
          <w:bottom w:w="0" w:type="dxa"/>
          <w:right w:w="108" w:type="dxa"/>
        </w:tblCellMar>
      </w:tblPr>
      <w:tblGrid>
        <w:gridCol w:w="3516"/>
        <w:gridCol w:w="616"/>
        <w:gridCol w:w="821"/>
        <w:gridCol w:w="2636"/>
        <w:gridCol w:w="616"/>
        <w:gridCol w:w="1041"/>
        <w:gridCol w:w="1672"/>
        <w:gridCol w:w="1683"/>
        <w:gridCol w:w="1784"/>
      </w:tblGrid>
      <w:tr w14:paraId="1B606117">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22366DA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432" w:type="dxa"/>
            <w:gridSpan w:val="6"/>
            <w:tcBorders>
              <w:top w:val="single" w:color="auto" w:sz="4" w:space="0"/>
              <w:left w:val="nil"/>
              <w:bottom w:val="single" w:color="auto" w:sz="4" w:space="0"/>
              <w:right w:val="single" w:color="auto" w:sz="4" w:space="0"/>
            </w:tcBorders>
            <w:shd w:val="clear" w:color="000000" w:fill="FFFFFF"/>
            <w:noWrap/>
            <w:vAlign w:val="center"/>
          </w:tcPr>
          <w:p w14:paraId="5FE1FA8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62F5DFB9">
        <w:tblPrEx>
          <w:tblCellMar>
            <w:top w:w="0" w:type="dxa"/>
            <w:left w:w="108" w:type="dxa"/>
            <w:bottom w:w="0" w:type="dxa"/>
            <w:right w:w="108" w:type="dxa"/>
          </w:tblCellMar>
        </w:tblPrEx>
        <w:trPr>
          <w:trHeight w:val="58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1F2081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6EEABDD6">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4A2ED9B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70928E1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1F58BE5C">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49D3D7A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2423FE8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683" w:type="dxa"/>
            <w:tcBorders>
              <w:top w:val="nil"/>
              <w:left w:val="nil"/>
              <w:bottom w:val="single" w:color="auto" w:sz="4" w:space="0"/>
              <w:right w:val="single" w:color="auto" w:sz="4" w:space="0"/>
            </w:tcBorders>
            <w:shd w:val="clear" w:color="auto" w:fill="auto"/>
            <w:vAlign w:val="center"/>
          </w:tcPr>
          <w:p w14:paraId="368F438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784" w:type="dxa"/>
            <w:tcBorders>
              <w:top w:val="nil"/>
              <w:left w:val="nil"/>
              <w:bottom w:val="single" w:color="auto" w:sz="4" w:space="0"/>
              <w:right w:val="single" w:color="auto" w:sz="4" w:space="0"/>
            </w:tcBorders>
            <w:shd w:val="clear" w:color="auto" w:fill="auto"/>
            <w:vAlign w:val="center"/>
          </w:tcPr>
          <w:p w14:paraId="432A705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55462AA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038C26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43ED51E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73924B7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19E47A6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1A8E401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04DB902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2E05877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683" w:type="dxa"/>
            <w:tcBorders>
              <w:top w:val="nil"/>
              <w:left w:val="nil"/>
              <w:bottom w:val="single" w:color="auto" w:sz="4" w:space="0"/>
              <w:right w:val="single" w:color="auto" w:sz="4" w:space="0"/>
            </w:tcBorders>
            <w:shd w:val="clear" w:color="auto" w:fill="auto"/>
            <w:noWrap/>
            <w:vAlign w:val="center"/>
          </w:tcPr>
          <w:p w14:paraId="4AEF08D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784" w:type="dxa"/>
            <w:tcBorders>
              <w:top w:val="nil"/>
              <w:left w:val="nil"/>
              <w:bottom w:val="single" w:color="auto" w:sz="4" w:space="0"/>
              <w:right w:val="single" w:color="auto" w:sz="4" w:space="0"/>
            </w:tcBorders>
            <w:shd w:val="clear" w:color="auto" w:fill="auto"/>
            <w:noWrap/>
            <w:vAlign w:val="center"/>
          </w:tcPr>
          <w:p w14:paraId="1765EAC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23139F6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274261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64DDC63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0058D68A">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661.92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4579FD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0983E4F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6DA087C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CA4ECF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3" w:type="dxa"/>
            <w:tcBorders>
              <w:top w:val="nil"/>
              <w:left w:val="nil"/>
              <w:bottom w:val="single" w:color="auto" w:sz="4" w:space="0"/>
              <w:right w:val="single" w:color="auto" w:sz="4" w:space="0"/>
            </w:tcBorders>
            <w:shd w:val="clear" w:color="auto" w:fill="auto"/>
            <w:noWrap/>
            <w:vAlign w:val="center"/>
          </w:tcPr>
          <w:p w14:paraId="7D33442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84" w:type="dxa"/>
            <w:tcBorders>
              <w:top w:val="nil"/>
              <w:left w:val="nil"/>
              <w:bottom w:val="single" w:color="auto" w:sz="4" w:space="0"/>
              <w:right w:val="single" w:color="auto" w:sz="4" w:space="0"/>
            </w:tcBorders>
            <w:shd w:val="clear" w:color="auto" w:fill="auto"/>
            <w:noWrap/>
            <w:vAlign w:val="center"/>
          </w:tcPr>
          <w:p w14:paraId="5CF4249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F26D1C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D2B800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72342D3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3C1E4E9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2DAF7B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2D7F281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5CA301F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E20CB4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3" w:type="dxa"/>
            <w:tcBorders>
              <w:top w:val="nil"/>
              <w:left w:val="nil"/>
              <w:bottom w:val="single" w:color="auto" w:sz="4" w:space="0"/>
              <w:right w:val="single" w:color="auto" w:sz="4" w:space="0"/>
            </w:tcBorders>
            <w:shd w:val="clear" w:color="auto" w:fill="auto"/>
            <w:noWrap/>
            <w:vAlign w:val="center"/>
          </w:tcPr>
          <w:p w14:paraId="27243E0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84" w:type="dxa"/>
            <w:tcBorders>
              <w:top w:val="nil"/>
              <w:left w:val="nil"/>
              <w:bottom w:val="single" w:color="auto" w:sz="4" w:space="0"/>
              <w:right w:val="single" w:color="auto" w:sz="4" w:space="0"/>
            </w:tcBorders>
            <w:shd w:val="clear" w:color="auto" w:fill="auto"/>
            <w:noWrap/>
            <w:vAlign w:val="center"/>
          </w:tcPr>
          <w:p w14:paraId="05F4F8E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B9A8DB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DFD738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32A1918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772AD2E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A9765B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7562C05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0F06D18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658544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3" w:type="dxa"/>
            <w:tcBorders>
              <w:top w:val="nil"/>
              <w:left w:val="nil"/>
              <w:bottom w:val="single" w:color="auto" w:sz="4" w:space="0"/>
              <w:right w:val="single" w:color="auto" w:sz="4" w:space="0"/>
            </w:tcBorders>
            <w:shd w:val="clear" w:color="auto" w:fill="auto"/>
            <w:noWrap/>
            <w:vAlign w:val="center"/>
          </w:tcPr>
          <w:p w14:paraId="389DC8D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84" w:type="dxa"/>
            <w:tcBorders>
              <w:top w:val="nil"/>
              <w:left w:val="nil"/>
              <w:bottom w:val="single" w:color="auto" w:sz="4" w:space="0"/>
              <w:right w:val="single" w:color="auto" w:sz="4" w:space="0"/>
            </w:tcBorders>
            <w:shd w:val="clear" w:color="auto" w:fill="auto"/>
            <w:noWrap/>
            <w:vAlign w:val="center"/>
          </w:tcPr>
          <w:p w14:paraId="3ECBE35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2E0586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E236F0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1CD795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4C85933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2AE1C3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69941E9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2886DA9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rPr>
              <w:t>513.17</w:t>
            </w:r>
          </w:p>
        </w:tc>
        <w:tc>
          <w:tcPr>
            <w:tcW w:w="0" w:type="auto"/>
            <w:tcBorders>
              <w:top w:val="nil"/>
              <w:left w:val="nil"/>
              <w:bottom w:val="single" w:color="auto" w:sz="4" w:space="0"/>
              <w:right w:val="single" w:color="auto" w:sz="4" w:space="0"/>
            </w:tcBorders>
            <w:shd w:val="clear" w:color="auto" w:fill="auto"/>
            <w:noWrap/>
            <w:vAlign w:val="center"/>
          </w:tcPr>
          <w:p w14:paraId="52E20A3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513.17</w:t>
            </w:r>
            <w:r>
              <w:rPr>
                <w:rFonts w:ascii="Times New Roman" w:hAnsi="Times New Roman" w:eastAsia="仿宋_GB2312" w:cs="Times New Roman"/>
                <w:kern w:val="0"/>
                <w:sz w:val="22"/>
              </w:rPr>
              <w:t>　</w:t>
            </w:r>
          </w:p>
        </w:tc>
        <w:tc>
          <w:tcPr>
            <w:tcW w:w="1683" w:type="dxa"/>
            <w:tcBorders>
              <w:top w:val="nil"/>
              <w:left w:val="nil"/>
              <w:bottom w:val="single" w:color="auto" w:sz="4" w:space="0"/>
              <w:right w:val="single" w:color="auto" w:sz="4" w:space="0"/>
            </w:tcBorders>
            <w:shd w:val="clear" w:color="auto" w:fill="auto"/>
            <w:noWrap/>
            <w:vAlign w:val="center"/>
          </w:tcPr>
          <w:p w14:paraId="213027F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84" w:type="dxa"/>
            <w:tcBorders>
              <w:top w:val="nil"/>
              <w:left w:val="nil"/>
              <w:bottom w:val="single" w:color="auto" w:sz="4" w:space="0"/>
              <w:right w:val="single" w:color="auto" w:sz="4" w:space="0"/>
            </w:tcBorders>
            <w:shd w:val="clear" w:color="auto" w:fill="auto"/>
            <w:noWrap/>
            <w:vAlign w:val="center"/>
          </w:tcPr>
          <w:p w14:paraId="293CCA3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1CE6F6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04EA5F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4157F9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73046BF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C92FB9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3C0A8C3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48825BD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D7A0DB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3" w:type="dxa"/>
            <w:tcBorders>
              <w:top w:val="nil"/>
              <w:left w:val="nil"/>
              <w:bottom w:val="single" w:color="auto" w:sz="4" w:space="0"/>
              <w:right w:val="single" w:color="auto" w:sz="4" w:space="0"/>
            </w:tcBorders>
            <w:shd w:val="clear" w:color="auto" w:fill="auto"/>
            <w:noWrap/>
            <w:vAlign w:val="center"/>
          </w:tcPr>
          <w:p w14:paraId="4399E01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84" w:type="dxa"/>
            <w:tcBorders>
              <w:top w:val="nil"/>
              <w:left w:val="nil"/>
              <w:bottom w:val="single" w:color="auto" w:sz="4" w:space="0"/>
              <w:right w:val="single" w:color="auto" w:sz="4" w:space="0"/>
            </w:tcBorders>
            <w:shd w:val="clear" w:color="auto" w:fill="auto"/>
            <w:noWrap/>
            <w:vAlign w:val="center"/>
          </w:tcPr>
          <w:p w14:paraId="76C317D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B1CDFF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08143C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30A701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2583F48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428783A">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八、社会保障和就业支出</w:t>
            </w:r>
          </w:p>
        </w:tc>
        <w:tc>
          <w:tcPr>
            <w:tcW w:w="0" w:type="auto"/>
            <w:tcBorders>
              <w:top w:val="nil"/>
              <w:left w:val="nil"/>
              <w:bottom w:val="single" w:color="auto" w:sz="4" w:space="0"/>
              <w:right w:val="single" w:color="auto" w:sz="4" w:space="0"/>
            </w:tcBorders>
            <w:shd w:val="clear" w:color="auto" w:fill="auto"/>
            <w:noWrap/>
            <w:vAlign w:val="center"/>
          </w:tcPr>
          <w:p w14:paraId="0F3ED0A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0EC9841C">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84.89</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D443D9F">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84.89</w:t>
            </w:r>
            <w:r>
              <w:rPr>
                <w:rFonts w:ascii="Times New Roman" w:hAnsi="Times New Roman" w:eastAsia="仿宋_GB2312" w:cs="Times New Roman"/>
                <w:kern w:val="0"/>
                <w:sz w:val="22"/>
              </w:rPr>
              <w:t>　</w:t>
            </w:r>
          </w:p>
        </w:tc>
        <w:tc>
          <w:tcPr>
            <w:tcW w:w="1683" w:type="dxa"/>
            <w:tcBorders>
              <w:top w:val="nil"/>
              <w:left w:val="nil"/>
              <w:bottom w:val="single" w:color="auto" w:sz="4" w:space="0"/>
              <w:right w:val="single" w:color="auto" w:sz="4" w:space="0"/>
            </w:tcBorders>
            <w:shd w:val="clear" w:color="auto" w:fill="auto"/>
            <w:noWrap/>
            <w:vAlign w:val="center"/>
          </w:tcPr>
          <w:p w14:paraId="263FC37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84" w:type="dxa"/>
            <w:tcBorders>
              <w:top w:val="nil"/>
              <w:left w:val="nil"/>
              <w:bottom w:val="single" w:color="auto" w:sz="4" w:space="0"/>
              <w:right w:val="single" w:color="auto" w:sz="4" w:space="0"/>
            </w:tcBorders>
            <w:shd w:val="clear" w:color="auto" w:fill="auto"/>
            <w:noWrap/>
            <w:vAlign w:val="center"/>
          </w:tcPr>
          <w:p w14:paraId="2F7279F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639B33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5F0459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189A1E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24169D1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A10C2C6">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九、卫生健康支出</w:t>
            </w:r>
          </w:p>
        </w:tc>
        <w:tc>
          <w:tcPr>
            <w:tcW w:w="0" w:type="auto"/>
            <w:tcBorders>
              <w:top w:val="nil"/>
              <w:left w:val="nil"/>
              <w:bottom w:val="single" w:color="auto" w:sz="4" w:space="0"/>
              <w:right w:val="single" w:color="auto" w:sz="4" w:space="0"/>
            </w:tcBorders>
            <w:shd w:val="clear" w:color="auto" w:fill="auto"/>
            <w:noWrap/>
            <w:vAlign w:val="center"/>
          </w:tcPr>
          <w:p w14:paraId="7C9F751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14:paraId="53A8C6E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23.1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5FF01C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23.1</w:t>
            </w:r>
            <w:r>
              <w:rPr>
                <w:rFonts w:ascii="Times New Roman" w:hAnsi="Times New Roman" w:eastAsia="仿宋_GB2312" w:cs="Times New Roman"/>
                <w:kern w:val="0"/>
                <w:sz w:val="22"/>
              </w:rPr>
              <w:t>　</w:t>
            </w:r>
          </w:p>
        </w:tc>
        <w:tc>
          <w:tcPr>
            <w:tcW w:w="1683" w:type="dxa"/>
            <w:tcBorders>
              <w:top w:val="nil"/>
              <w:left w:val="nil"/>
              <w:bottom w:val="single" w:color="auto" w:sz="4" w:space="0"/>
              <w:right w:val="single" w:color="auto" w:sz="4" w:space="0"/>
            </w:tcBorders>
            <w:shd w:val="clear" w:color="auto" w:fill="auto"/>
            <w:noWrap/>
            <w:vAlign w:val="center"/>
          </w:tcPr>
          <w:p w14:paraId="1FAEA9A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84" w:type="dxa"/>
            <w:tcBorders>
              <w:top w:val="nil"/>
              <w:left w:val="nil"/>
              <w:bottom w:val="single" w:color="auto" w:sz="4" w:space="0"/>
              <w:right w:val="single" w:color="auto" w:sz="4" w:space="0"/>
            </w:tcBorders>
            <w:shd w:val="clear" w:color="auto" w:fill="auto"/>
            <w:noWrap/>
            <w:vAlign w:val="center"/>
          </w:tcPr>
          <w:p w14:paraId="25D3DA3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BD0323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604F3D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707344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5F1A7DF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375E86F">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十九、住房保障支出</w:t>
            </w:r>
          </w:p>
        </w:tc>
        <w:tc>
          <w:tcPr>
            <w:tcW w:w="0" w:type="auto"/>
            <w:tcBorders>
              <w:top w:val="nil"/>
              <w:left w:val="nil"/>
              <w:bottom w:val="single" w:color="auto" w:sz="4" w:space="0"/>
              <w:right w:val="single" w:color="auto" w:sz="4" w:space="0"/>
            </w:tcBorders>
            <w:shd w:val="clear" w:color="auto" w:fill="auto"/>
            <w:noWrap/>
            <w:vAlign w:val="center"/>
          </w:tcPr>
          <w:p w14:paraId="1D461AE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14:paraId="3BA43C0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rPr>
              <w:t>40.75</w:t>
            </w:r>
          </w:p>
        </w:tc>
        <w:tc>
          <w:tcPr>
            <w:tcW w:w="0" w:type="auto"/>
            <w:tcBorders>
              <w:top w:val="nil"/>
              <w:left w:val="nil"/>
              <w:bottom w:val="single" w:color="auto" w:sz="4" w:space="0"/>
              <w:right w:val="single" w:color="auto" w:sz="4" w:space="0"/>
            </w:tcBorders>
            <w:shd w:val="clear" w:color="auto" w:fill="auto"/>
            <w:noWrap/>
            <w:vAlign w:val="center"/>
          </w:tcPr>
          <w:p w14:paraId="2945C18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40.75</w:t>
            </w:r>
            <w:r>
              <w:rPr>
                <w:rFonts w:ascii="Times New Roman" w:hAnsi="Times New Roman" w:eastAsia="仿宋_GB2312" w:cs="Times New Roman"/>
                <w:kern w:val="0"/>
                <w:sz w:val="22"/>
              </w:rPr>
              <w:t>　</w:t>
            </w:r>
          </w:p>
        </w:tc>
        <w:tc>
          <w:tcPr>
            <w:tcW w:w="1683" w:type="dxa"/>
            <w:tcBorders>
              <w:top w:val="nil"/>
              <w:left w:val="nil"/>
              <w:bottom w:val="single" w:color="auto" w:sz="4" w:space="0"/>
              <w:right w:val="single" w:color="auto" w:sz="4" w:space="0"/>
            </w:tcBorders>
            <w:shd w:val="clear" w:color="auto" w:fill="auto"/>
            <w:noWrap/>
            <w:vAlign w:val="center"/>
          </w:tcPr>
          <w:p w14:paraId="7D6AB34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84" w:type="dxa"/>
            <w:tcBorders>
              <w:top w:val="nil"/>
              <w:left w:val="nil"/>
              <w:bottom w:val="single" w:color="auto" w:sz="4" w:space="0"/>
              <w:right w:val="single" w:color="auto" w:sz="4" w:space="0"/>
            </w:tcBorders>
            <w:shd w:val="clear" w:color="auto" w:fill="auto"/>
            <w:noWrap/>
            <w:vAlign w:val="center"/>
          </w:tcPr>
          <w:p w14:paraId="1286F6E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D4E8CE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D2E7EFA">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05BF18F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02F45A4A">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661.92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1C3DF85">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033483A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6B23868E">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661.92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2222985">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661.92</w:t>
            </w:r>
            <w:r>
              <w:rPr>
                <w:rFonts w:ascii="Times New Roman" w:hAnsi="Times New Roman" w:eastAsia="仿宋_GB2312" w:cs="Times New Roman"/>
                <w:kern w:val="0"/>
                <w:sz w:val="22"/>
              </w:rPr>
              <w:t>　</w:t>
            </w:r>
          </w:p>
        </w:tc>
        <w:tc>
          <w:tcPr>
            <w:tcW w:w="1683" w:type="dxa"/>
            <w:tcBorders>
              <w:top w:val="nil"/>
              <w:left w:val="nil"/>
              <w:bottom w:val="single" w:color="auto" w:sz="4" w:space="0"/>
              <w:right w:val="single" w:color="auto" w:sz="4" w:space="0"/>
            </w:tcBorders>
            <w:shd w:val="clear" w:color="auto" w:fill="auto"/>
            <w:noWrap/>
            <w:vAlign w:val="center"/>
          </w:tcPr>
          <w:p w14:paraId="38A507B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84" w:type="dxa"/>
            <w:tcBorders>
              <w:top w:val="nil"/>
              <w:left w:val="nil"/>
              <w:bottom w:val="single" w:color="auto" w:sz="4" w:space="0"/>
              <w:right w:val="single" w:color="auto" w:sz="4" w:space="0"/>
            </w:tcBorders>
            <w:shd w:val="clear" w:color="auto" w:fill="auto"/>
            <w:noWrap/>
            <w:vAlign w:val="center"/>
          </w:tcPr>
          <w:p w14:paraId="307039C1">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1474569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B0694D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71C681C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32F6D1F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88274C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2CFB5E8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0C32FD7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643A6A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3" w:type="dxa"/>
            <w:tcBorders>
              <w:top w:val="nil"/>
              <w:left w:val="nil"/>
              <w:bottom w:val="single" w:color="auto" w:sz="4" w:space="0"/>
              <w:right w:val="single" w:color="auto" w:sz="4" w:space="0"/>
            </w:tcBorders>
            <w:shd w:val="clear" w:color="auto" w:fill="auto"/>
            <w:noWrap/>
            <w:vAlign w:val="center"/>
          </w:tcPr>
          <w:p w14:paraId="435AAB2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84" w:type="dxa"/>
            <w:tcBorders>
              <w:top w:val="nil"/>
              <w:left w:val="nil"/>
              <w:bottom w:val="single" w:color="auto" w:sz="4" w:space="0"/>
              <w:right w:val="single" w:color="auto" w:sz="4" w:space="0"/>
            </w:tcBorders>
            <w:shd w:val="clear" w:color="auto" w:fill="auto"/>
            <w:noWrap/>
            <w:vAlign w:val="center"/>
          </w:tcPr>
          <w:p w14:paraId="1CF8C2C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B0BA0D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26BF81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659839D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565D59F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6FAA3D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9B9D0E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163B0E5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49D837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3" w:type="dxa"/>
            <w:tcBorders>
              <w:top w:val="nil"/>
              <w:left w:val="nil"/>
              <w:bottom w:val="single" w:color="auto" w:sz="4" w:space="0"/>
              <w:right w:val="single" w:color="auto" w:sz="4" w:space="0"/>
            </w:tcBorders>
            <w:shd w:val="clear" w:color="auto" w:fill="auto"/>
            <w:noWrap/>
            <w:vAlign w:val="center"/>
          </w:tcPr>
          <w:p w14:paraId="3A063CB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84" w:type="dxa"/>
            <w:tcBorders>
              <w:top w:val="nil"/>
              <w:left w:val="nil"/>
              <w:bottom w:val="single" w:color="auto" w:sz="4" w:space="0"/>
              <w:right w:val="single" w:color="auto" w:sz="4" w:space="0"/>
            </w:tcBorders>
            <w:shd w:val="clear" w:color="auto" w:fill="auto"/>
            <w:noWrap/>
            <w:vAlign w:val="center"/>
          </w:tcPr>
          <w:p w14:paraId="67C1BCB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37F280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2A8839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6419B45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3402CFB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CF2C2E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38CA9E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019708E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D72D34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3" w:type="dxa"/>
            <w:tcBorders>
              <w:top w:val="nil"/>
              <w:left w:val="nil"/>
              <w:bottom w:val="single" w:color="auto" w:sz="4" w:space="0"/>
              <w:right w:val="single" w:color="auto" w:sz="4" w:space="0"/>
            </w:tcBorders>
            <w:shd w:val="clear" w:color="auto" w:fill="auto"/>
            <w:noWrap/>
            <w:vAlign w:val="center"/>
          </w:tcPr>
          <w:p w14:paraId="2719B6D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84" w:type="dxa"/>
            <w:tcBorders>
              <w:top w:val="nil"/>
              <w:left w:val="nil"/>
              <w:bottom w:val="single" w:color="auto" w:sz="4" w:space="0"/>
              <w:right w:val="single" w:color="auto" w:sz="4" w:space="0"/>
            </w:tcBorders>
            <w:shd w:val="clear" w:color="auto" w:fill="auto"/>
            <w:noWrap/>
            <w:vAlign w:val="center"/>
          </w:tcPr>
          <w:p w14:paraId="64FF3AE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1C22A8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76E50C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7468F59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6AD2F5C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5BC130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062155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6BBD27C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7245B9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3" w:type="dxa"/>
            <w:tcBorders>
              <w:top w:val="nil"/>
              <w:left w:val="nil"/>
              <w:bottom w:val="single" w:color="auto" w:sz="4" w:space="0"/>
              <w:right w:val="single" w:color="auto" w:sz="4" w:space="0"/>
            </w:tcBorders>
            <w:shd w:val="clear" w:color="auto" w:fill="auto"/>
            <w:noWrap/>
            <w:vAlign w:val="center"/>
          </w:tcPr>
          <w:p w14:paraId="622A627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84" w:type="dxa"/>
            <w:tcBorders>
              <w:top w:val="nil"/>
              <w:left w:val="nil"/>
              <w:bottom w:val="single" w:color="auto" w:sz="4" w:space="0"/>
              <w:right w:val="single" w:color="auto" w:sz="4" w:space="0"/>
            </w:tcBorders>
            <w:shd w:val="clear" w:color="auto" w:fill="auto"/>
            <w:noWrap/>
            <w:vAlign w:val="center"/>
          </w:tcPr>
          <w:p w14:paraId="5EEF782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D061A9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3F209DF1">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2A58C9E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182E27ED">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661.92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1736CD4C">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28EC934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14:paraId="61D1F98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661.92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0A2125B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661.92</w:t>
            </w:r>
            <w:r>
              <w:rPr>
                <w:rFonts w:ascii="Times New Roman" w:hAnsi="Times New Roman" w:eastAsia="仿宋_GB2312" w:cs="Times New Roman"/>
                <w:kern w:val="0"/>
                <w:sz w:val="22"/>
              </w:rPr>
              <w:t>　</w:t>
            </w:r>
          </w:p>
        </w:tc>
        <w:tc>
          <w:tcPr>
            <w:tcW w:w="1683" w:type="dxa"/>
            <w:tcBorders>
              <w:top w:val="nil"/>
              <w:left w:val="nil"/>
              <w:bottom w:val="single" w:color="auto" w:sz="4" w:space="0"/>
              <w:right w:val="single" w:color="auto" w:sz="4" w:space="0"/>
            </w:tcBorders>
            <w:shd w:val="clear" w:color="auto" w:fill="auto"/>
            <w:noWrap/>
            <w:vAlign w:val="center"/>
          </w:tcPr>
          <w:p w14:paraId="1615817E">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1784" w:type="dxa"/>
            <w:tcBorders>
              <w:top w:val="nil"/>
              <w:left w:val="nil"/>
              <w:bottom w:val="single" w:color="auto" w:sz="4" w:space="0"/>
              <w:right w:val="single" w:color="auto" w:sz="4" w:space="0"/>
            </w:tcBorders>
            <w:shd w:val="clear" w:color="auto" w:fill="auto"/>
            <w:noWrap/>
            <w:vAlign w:val="center"/>
          </w:tcPr>
          <w:p w14:paraId="54C74F7A">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23B1B73A">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71C0D13E">
      <w:pPr>
        <w:widowControl/>
        <w:jc w:val="center"/>
        <w:rPr>
          <w:rFonts w:ascii="Times New Roman" w:hAnsi="Times New Roman" w:eastAsia="方正小标宋_GBK" w:cs="Times New Roman"/>
          <w:kern w:val="0"/>
          <w:sz w:val="36"/>
          <w:szCs w:val="36"/>
        </w:rPr>
      </w:pPr>
    </w:p>
    <w:p w14:paraId="486C4A68">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05CED09B">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bidi="ar"/>
        </w:rPr>
        <w:t>永州市公安干部中等专业学校</w:t>
      </w:r>
      <w:r>
        <w:rPr>
          <w:rFonts w:ascii="Times New Roman" w:hAnsi="Times New Roman" w:eastAsia="仿宋_GB2312" w:cs="Times New Roman"/>
          <w:color w:val="000000"/>
          <w:kern w:val="0"/>
          <w:szCs w:val="21"/>
        </w:rPr>
        <w:t xml:space="preserve">                                                                                        公开05表</w:t>
      </w:r>
    </w:p>
    <w:p w14:paraId="7828B787">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1101"/>
        <w:gridCol w:w="3626"/>
        <w:gridCol w:w="3000"/>
        <w:gridCol w:w="3492"/>
        <w:gridCol w:w="3000"/>
      </w:tblGrid>
      <w:tr w14:paraId="3BEF1F76">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4F3E948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28DCC3B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511EE850">
        <w:tblPrEx>
          <w:tblCellMar>
            <w:top w:w="0" w:type="dxa"/>
            <w:left w:w="108" w:type="dxa"/>
            <w:bottom w:w="0" w:type="dxa"/>
            <w:right w:w="108" w:type="dxa"/>
          </w:tblCellMar>
        </w:tblPrEx>
        <w:trPr>
          <w:trHeight w:val="312" w:hRule="exact"/>
          <w:jc w:val="center"/>
        </w:trPr>
        <w:tc>
          <w:tcPr>
            <w:tcW w:w="1101"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5CE6CC9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626" w:type="dxa"/>
            <w:vMerge w:val="restart"/>
            <w:tcBorders>
              <w:top w:val="nil"/>
              <w:left w:val="single" w:color="auto" w:sz="4" w:space="0"/>
              <w:bottom w:val="single" w:color="auto" w:sz="4" w:space="0"/>
              <w:right w:val="single" w:color="auto" w:sz="4" w:space="0"/>
            </w:tcBorders>
            <w:shd w:val="clear" w:color="auto" w:fill="auto"/>
            <w:vAlign w:val="center"/>
          </w:tcPr>
          <w:p w14:paraId="75E9BC6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5A8F36B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47FE91E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0FA8EE4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0F266CC5">
        <w:tblPrEx>
          <w:tblCellMar>
            <w:top w:w="0" w:type="dxa"/>
            <w:left w:w="108" w:type="dxa"/>
            <w:bottom w:w="0" w:type="dxa"/>
            <w:right w:w="108" w:type="dxa"/>
          </w:tblCellMar>
        </w:tblPrEx>
        <w:trPr>
          <w:trHeight w:val="360" w:hRule="atLeast"/>
          <w:jc w:val="center"/>
        </w:trPr>
        <w:tc>
          <w:tcPr>
            <w:tcW w:w="1101" w:type="dxa"/>
            <w:vMerge w:val="continue"/>
            <w:tcBorders>
              <w:top w:val="single" w:color="auto" w:sz="4" w:space="0"/>
              <w:left w:val="single" w:color="auto" w:sz="8" w:space="0"/>
              <w:bottom w:val="single" w:color="auto" w:sz="4" w:space="0"/>
              <w:right w:val="single" w:color="auto" w:sz="4" w:space="0"/>
            </w:tcBorders>
            <w:vAlign w:val="center"/>
          </w:tcPr>
          <w:p w14:paraId="19207261">
            <w:pPr>
              <w:widowControl/>
              <w:jc w:val="left"/>
              <w:rPr>
                <w:rFonts w:ascii="Times New Roman" w:hAnsi="Times New Roman" w:eastAsia="仿宋_GB2312" w:cs="Times New Roman"/>
                <w:kern w:val="0"/>
                <w:szCs w:val="21"/>
              </w:rPr>
            </w:pPr>
          </w:p>
        </w:tc>
        <w:tc>
          <w:tcPr>
            <w:tcW w:w="3626" w:type="dxa"/>
            <w:vMerge w:val="continue"/>
            <w:tcBorders>
              <w:top w:val="nil"/>
              <w:left w:val="single" w:color="auto" w:sz="4" w:space="0"/>
              <w:bottom w:val="single" w:color="auto" w:sz="4" w:space="0"/>
              <w:right w:val="single" w:color="auto" w:sz="4" w:space="0"/>
            </w:tcBorders>
            <w:vAlign w:val="center"/>
          </w:tcPr>
          <w:p w14:paraId="230E2E7C">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6EBD8F79">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2EE80A33">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1D800707">
            <w:pPr>
              <w:widowControl/>
              <w:jc w:val="left"/>
              <w:rPr>
                <w:rFonts w:ascii="Times New Roman" w:hAnsi="Times New Roman" w:eastAsia="仿宋_GB2312" w:cs="Times New Roman"/>
                <w:kern w:val="0"/>
                <w:szCs w:val="21"/>
              </w:rPr>
            </w:pPr>
          </w:p>
        </w:tc>
      </w:tr>
      <w:tr w14:paraId="364F452C">
        <w:tblPrEx>
          <w:tblCellMar>
            <w:top w:w="0" w:type="dxa"/>
            <w:left w:w="108" w:type="dxa"/>
            <w:bottom w:w="0" w:type="dxa"/>
            <w:right w:w="108" w:type="dxa"/>
          </w:tblCellMar>
        </w:tblPrEx>
        <w:trPr>
          <w:trHeight w:val="312" w:hRule="atLeast"/>
          <w:jc w:val="center"/>
        </w:trPr>
        <w:tc>
          <w:tcPr>
            <w:tcW w:w="1101" w:type="dxa"/>
            <w:vMerge w:val="continue"/>
            <w:tcBorders>
              <w:top w:val="single" w:color="auto" w:sz="4" w:space="0"/>
              <w:left w:val="single" w:color="auto" w:sz="8" w:space="0"/>
              <w:bottom w:val="single" w:color="auto" w:sz="4" w:space="0"/>
              <w:right w:val="single" w:color="auto" w:sz="4" w:space="0"/>
            </w:tcBorders>
            <w:vAlign w:val="center"/>
          </w:tcPr>
          <w:p w14:paraId="577C555D">
            <w:pPr>
              <w:widowControl/>
              <w:jc w:val="left"/>
              <w:rPr>
                <w:rFonts w:ascii="Times New Roman" w:hAnsi="Times New Roman" w:eastAsia="仿宋_GB2312" w:cs="Times New Roman"/>
                <w:kern w:val="0"/>
                <w:szCs w:val="21"/>
              </w:rPr>
            </w:pPr>
          </w:p>
        </w:tc>
        <w:tc>
          <w:tcPr>
            <w:tcW w:w="3626" w:type="dxa"/>
            <w:vMerge w:val="continue"/>
            <w:tcBorders>
              <w:top w:val="nil"/>
              <w:left w:val="single" w:color="auto" w:sz="4" w:space="0"/>
              <w:bottom w:val="single" w:color="auto" w:sz="4" w:space="0"/>
              <w:right w:val="single" w:color="auto" w:sz="4" w:space="0"/>
            </w:tcBorders>
            <w:vAlign w:val="center"/>
          </w:tcPr>
          <w:p w14:paraId="3084708D">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599BC172">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52332DF7">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67713BFD">
            <w:pPr>
              <w:widowControl/>
              <w:jc w:val="left"/>
              <w:rPr>
                <w:rFonts w:ascii="Times New Roman" w:hAnsi="Times New Roman" w:eastAsia="仿宋_GB2312" w:cs="Times New Roman"/>
                <w:kern w:val="0"/>
                <w:szCs w:val="21"/>
              </w:rPr>
            </w:pPr>
          </w:p>
        </w:tc>
      </w:tr>
      <w:tr w14:paraId="15317B93">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563B0F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445365A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3F7E55D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78805EC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42FB31DE">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692BD8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098D3209">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661.92</w:t>
            </w:r>
          </w:p>
        </w:tc>
        <w:tc>
          <w:tcPr>
            <w:tcW w:w="3492" w:type="dxa"/>
            <w:tcBorders>
              <w:top w:val="nil"/>
              <w:left w:val="nil"/>
              <w:bottom w:val="single" w:color="auto" w:sz="4" w:space="0"/>
              <w:right w:val="single" w:color="auto" w:sz="4" w:space="0"/>
            </w:tcBorders>
            <w:shd w:val="clear" w:color="auto" w:fill="auto"/>
            <w:vAlign w:val="center"/>
          </w:tcPr>
          <w:p w14:paraId="662C9648">
            <w:pPr>
              <w:widowControl/>
              <w:tabs>
                <w:tab w:val="left" w:pos="277"/>
                <w:tab w:val="center" w:pos="1803"/>
              </w:tabs>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eastAsia="zh-CN"/>
              </w:rPr>
              <w:t>661.92</w:t>
            </w:r>
          </w:p>
        </w:tc>
        <w:tc>
          <w:tcPr>
            <w:tcW w:w="3000" w:type="dxa"/>
            <w:tcBorders>
              <w:top w:val="nil"/>
              <w:left w:val="nil"/>
              <w:bottom w:val="single" w:color="auto" w:sz="4" w:space="0"/>
              <w:right w:val="single" w:color="auto" w:sz="8" w:space="0"/>
            </w:tcBorders>
            <w:shd w:val="clear" w:color="auto" w:fill="auto"/>
            <w:vAlign w:val="center"/>
          </w:tcPr>
          <w:p w14:paraId="6B5D515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18EC0627">
        <w:tblPrEx>
          <w:tblCellMar>
            <w:top w:w="0" w:type="dxa"/>
            <w:left w:w="108" w:type="dxa"/>
            <w:bottom w:w="0" w:type="dxa"/>
            <w:right w:w="108" w:type="dxa"/>
          </w:tblCellMar>
        </w:tblPrEx>
        <w:trPr>
          <w:trHeight w:val="450" w:hRule="atLeast"/>
          <w:jc w:val="center"/>
        </w:trPr>
        <w:tc>
          <w:tcPr>
            <w:tcW w:w="1101" w:type="dxa"/>
            <w:tcBorders>
              <w:top w:val="single" w:color="auto" w:sz="4" w:space="0"/>
              <w:left w:val="single" w:color="auto" w:sz="8" w:space="0"/>
              <w:bottom w:val="single" w:color="auto" w:sz="4" w:space="0"/>
              <w:right w:val="single" w:color="auto" w:sz="4" w:space="0"/>
            </w:tcBorders>
            <w:shd w:val="clear" w:color="auto" w:fill="auto"/>
            <w:vAlign w:val="center"/>
          </w:tcPr>
          <w:p w14:paraId="09D71082">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2040250</w:t>
            </w:r>
            <w:r>
              <w:rPr>
                <w:rFonts w:ascii="Times New Roman" w:hAnsi="Times New Roman" w:eastAsia="仿宋_GB2312" w:cs="Times New Roman"/>
                <w:kern w:val="0"/>
                <w:szCs w:val="21"/>
              </w:rPr>
              <w:t>　</w:t>
            </w:r>
          </w:p>
        </w:tc>
        <w:tc>
          <w:tcPr>
            <w:tcW w:w="3626" w:type="dxa"/>
            <w:tcBorders>
              <w:top w:val="nil"/>
              <w:left w:val="nil"/>
              <w:bottom w:val="single" w:color="auto" w:sz="4" w:space="0"/>
              <w:right w:val="single" w:color="auto" w:sz="4" w:space="0"/>
            </w:tcBorders>
            <w:shd w:val="clear" w:color="auto" w:fill="auto"/>
            <w:vAlign w:val="center"/>
          </w:tcPr>
          <w:p w14:paraId="3633D2F9">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事业运行</w:t>
            </w:r>
          </w:p>
        </w:tc>
        <w:tc>
          <w:tcPr>
            <w:tcW w:w="3000" w:type="dxa"/>
            <w:tcBorders>
              <w:top w:val="nil"/>
              <w:left w:val="nil"/>
              <w:bottom w:val="single" w:color="auto" w:sz="4" w:space="0"/>
              <w:right w:val="single" w:color="auto" w:sz="4" w:space="0"/>
            </w:tcBorders>
            <w:shd w:val="clear" w:color="auto" w:fill="auto"/>
            <w:vAlign w:val="center"/>
          </w:tcPr>
          <w:p w14:paraId="1CF31B61">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513.17</w:t>
            </w:r>
          </w:p>
        </w:tc>
        <w:tc>
          <w:tcPr>
            <w:tcW w:w="3492" w:type="dxa"/>
            <w:tcBorders>
              <w:top w:val="nil"/>
              <w:left w:val="nil"/>
              <w:bottom w:val="single" w:color="auto" w:sz="4" w:space="0"/>
              <w:right w:val="single" w:color="auto" w:sz="4" w:space="0"/>
            </w:tcBorders>
            <w:shd w:val="clear" w:color="auto" w:fill="auto"/>
            <w:vAlign w:val="center"/>
          </w:tcPr>
          <w:p w14:paraId="7E062380">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513.17</w:t>
            </w:r>
          </w:p>
        </w:tc>
        <w:tc>
          <w:tcPr>
            <w:tcW w:w="3000" w:type="dxa"/>
            <w:tcBorders>
              <w:top w:val="nil"/>
              <w:left w:val="nil"/>
              <w:bottom w:val="single" w:color="auto" w:sz="4" w:space="0"/>
              <w:right w:val="single" w:color="auto" w:sz="8" w:space="0"/>
            </w:tcBorders>
            <w:shd w:val="clear" w:color="auto" w:fill="auto"/>
            <w:vAlign w:val="center"/>
          </w:tcPr>
          <w:p w14:paraId="7612349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39AC8EB9">
        <w:tblPrEx>
          <w:tblCellMar>
            <w:top w:w="0" w:type="dxa"/>
            <w:left w:w="108" w:type="dxa"/>
            <w:bottom w:w="0" w:type="dxa"/>
            <w:right w:w="108" w:type="dxa"/>
          </w:tblCellMar>
        </w:tblPrEx>
        <w:trPr>
          <w:trHeight w:val="450" w:hRule="atLeast"/>
          <w:jc w:val="center"/>
        </w:trPr>
        <w:tc>
          <w:tcPr>
            <w:tcW w:w="1101" w:type="dxa"/>
            <w:tcBorders>
              <w:top w:val="single" w:color="auto" w:sz="4" w:space="0"/>
              <w:left w:val="single" w:color="auto" w:sz="8" w:space="0"/>
              <w:bottom w:val="single" w:color="auto" w:sz="4" w:space="0"/>
              <w:right w:val="single" w:color="auto" w:sz="4" w:space="0"/>
            </w:tcBorders>
            <w:shd w:val="clear" w:color="auto" w:fill="auto"/>
            <w:vAlign w:val="center"/>
          </w:tcPr>
          <w:p w14:paraId="3A737802">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2080505</w:t>
            </w:r>
            <w:r>
              <w:rPr>
                <w:rFonts w:ascii="Times New Roman" w:hAnsi="Times New Roman" w:eastAsia="仿宋_GB2312" w:cs="Times New Roman"/>
                <w:kern w:val="0"/>
                <w:szCs w:val="21"/>
              </w:rPr>
              <w:t>　</w:t>
            </w:r>
          </w:p>
        </w:tc>
        <w:tc>
          <w:tcPr>
            <w:tcW w:w="3626" w:type="dxa"/>
            <w:tcBorders>
              <w:top w:val="nil"/>
              <w:left w:val="nil"/>
              <w:bottom w:val="single" w:color="auto" w:sz="4" w:space="0"/>
              <w:right w:val="single" w:color="auto" w:sz="4" w:space="0"/>
            </w:tcBorders>
            <w:shd w:val="clear" w:color="auto" w:fill="auto"/>
            <w:vAlign w:val="center"/>
          </w:tcPr>
          <w:p w14:paraId="07CC2EBD">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14:paraId="0D053709">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49.15</w:t>
            </w:r>
          </w:p>
        </w:tc>
        <w:tc>
          <w:tcPr>
            <w:tcW w:w="3492" w:type="dxa"/>
            <w:tcBorders>
              <w:top w:val="nil"/>
              <w:left w:val="nil"/>
              <w:bottom w:val="single" w:color="auto" w:sz="4" w:space="0"/>
              <w:right w:val="single" w:color="auto" w:sz="4" w:space="0"/>
            </w:tcBorders>
            <w:shd w:val="clear" w:color="auto" w:fill="auto"/>
            <w:vAlign w:val="center"/>
          </w:tcPr>
          <w:p w14:paraId="7BE3D4F4">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49.15</w:t>
            </w:r>
          </w:p>
        </w:tc>
        <w:tc>
          <w:tcPr>
            <w:tcW w:w="3000" w:type="dxa"/>
            <w:tcBorders>
              <w:top w:val="nil"/>
              <w:left w:val="nil"/>
              <w:bottom w:val="single" w:color="auto" w:sz="4" w:space="0"/>
              <w:right w:val="single" w:color="auto" w:sz="8" w:space="0"/>
            </w:tcBorders>
            <w:shd w:val="clear" w:color="auto" w:fill="auto"/>
            <w:vAlign w:val="center"/>
          </w:tcPr>
          <w:p w14:paraId="1E13043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13107EB0">
        <w:tblPrEx>
          <w:tblCellMar>
            <w:top w:w="0" w:type="dxa"/>
            <w:left w:w="108" w:type="dxa"/>
            <w:bottom w:w="0" w:type="dxa"/>
            <w:right w:w="108" w:type="dxa"/>
          </w:tblCellMar>
        </w:tblPrEx>
        <w:trPr>
          <w:trHeight w:val="450" w:hRule="atLeast"/>
          <w:jc w:val="center"/>
        </w:trPr>
        <w:tc>
          <w:tcPr>
            <w:tcW w:w="1101" w:type="dxa"/>
            <w:tcBorders>
              <w:top w:val="single" w:color="auto" w:sz="4" w:space="0"/>
              <w:left w:val="single" w:color="auto" w:sz="8" w:space="0"/>
              <w:bottom w:val="single" w:color="auto" w:sz="4" w:space="0"/>
              <w:right w:val="single" w:color="auto" w:sz="4" w:space="0"/>
            </w:tcBorders>
            <w:shd w:val="clear" w:color="auto" w:fill="auto"/>
            <w:vAlign w:val="center"/>
          </w:tcPr>
          <w:p w14:paraId="6241279E">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2080599</w:t>
            </w:r>
            <w:r>
              <w:rPr>
                <w:rFonts w:ascii="Times New Roman" w:hAnsi="Times New Roman" w:eastAsia="仿宋_GB2312" w:cs="Times New Roman"/>
                <w:kern w:val="0"/>
                <w:szCs w:val="21"/>
              </w:rPr>
              <w:t>　</w:t>
            </w:r>
          </w:p>
        </w:tc>
        <w:tc>
          <w:tcPr>
            <w:tcW w:w="3626" w:type="dxa"/>
            <w:tcBorders>
              <w:top w:val="nil"/>
              <w:left w:val="nil"/>
              <w:bottom w:val="single" w:color="auto" w:sz="4" w:space="0"/>
              <w:right w:val="single" w:color="auto" w:sz="4" w:space="0"/>
            </w:tcBorders>
            <w:shd w:val="clear" w:color="auto" w:fill="auto"/>
            <w:vAlign w:val="center"/>
          </w:tcPr>
          <w:p w14:paraId="27739F6B">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其他行政事业单位养老支出</w:t>
            </w:r>
          </w:p>
        </w:tc>
        <w:tc>
          <w:tcPr>
            <w:tcW w:w="3000" w:type="dxa"/>
            <w:tcBorders>
              <w:top w:val="nil"/>
              <w:left w:val="nil"/>
              <w:bottom w:val="single" w:color="auto" w:sz="4" w:space="0"/>
              <w:right w:val="single" w:color="auto" w:sz="4" w:space="0"/>
            </w:tcBorders>
            <w:shd w:val="clear" w:color="auto" w:fill="auto"/>
            <w:vAlign w:val="center"/>
          </w:tcPr>
          <w:p w14:paraId="329D844B">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35.74</w:t>
            </w:r>
          </w:p>
        </w:tc>
        <w:tc>
          <w:tcPr>
            <w:tcW w:w="3492" w:type="dxa"/>
            <w:tcBorders>
              <w:top w:val="nil"/>
              <w:left w:val="nil"/>
              <w:bottom w:val="single" w:color="auto" w:sz="4" w:space="0"/>
              <w:right w:val="single" w:color="auto" w:sz="4" w:space="0"/>
            </w:tcBorders>
            <w:shd w:val="clear" w:color="auto" w:fill="auto"/>
            <w:vAlign w:val="center"/>
          </w:tcPr>
          <w:p w14:paraId="28FB57ED">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35.74</w:t>
            </w:r>
          </w:p>
        </w:tc>
        <w:tc>
          <w:tcPr>
            <w:tcW w:w="3000" w:type="dxa"/>
            <w:tcBorders>
              <w:top w:val="nil"/>
              <w:left w:val="nil"/>
              <w:bottom w:val="single" w:color="auto" w:sz="4" w:space="0"/>
              <w:right w:val="single" w:color="auto" w:sz="8" w:space="0"/>
            </w:tcBorders>
            <w:shd w:val="clear" w:color="auto" w:fill="auto"/>
            <w:vAlign w:val="center"/>
          </w:tcPr>
          <w:p w14:paraId="256F5E0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63693B4C">
        <w:tblPrEx>
          <w:tblCellMar>
            <w:top w:w="0" w:type="dxa"/>
            <w:left w:w="108" w:type="dxa"/>
            <w:bottom w:w="0" w:type="dxa"/>
            <w:right w:w="108" w:type="dxa"/>
          </w:tblCellMar>
        </w:tblPrEx>
        <w:trPr>
          <w:trHeight w:val="450" w:hRule="atLeast"/>
          <w:jc w:val="center"/>
        </w:trPr>
        <w:tc>
          <w:tcPr>
            <w:tcW w:w="1101" w:type="dxa"/>
            <w:tcBorders>
              <w:top w:val="single" w:color="auto" w:sz="4" w:space="0"/>
              <w:left w:val="single" w:color="auto" w:sz="8" w:space="0"/>
              <w:bottom w:val="single" w:color="auto" w:sz="4" w:space="0"/>
              <w:right w:val="single" w:color="auto" w:sz="4" w:space="0"/>
            </w:tcBorders>
            <w:shd w:val="clear" w:color="auto" w:fill="auto"/>
            <w:vAlign w:val="center"/>
          </w:tcPr>
          <w:p w14:paraId="71DC3405">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2101101</w:t>
            </w:r>
          </w:p>
        </w:tc>
        <w:tc>
          <w:tcPr>
            <w:tcW w:w="3626" w:type="dxa"/>
            <w:tcBorders>
              <w:top w:val="nil"/>
              <w:left w:val="nil"/>
              <w:bottom w:val="single" w:color="auto" w:sz="4" w:space="0"/>
              <w:right w:val="single" w:color="auto" w:sz="4" w:space="0"/>
            </w:tcBorders>
            <w:shd w:val="clear" w:color="auto" w:fill="auto"/>
            <w:vAlign w:val="center"/>
          </w:tcPr>
          <w:p w14:paraId="71BEF210">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行政单位医疗</w:t>
            </w:r>
          </w:p>
        </w:tc>
        <w:tc>
          <w:tcPr>
            <w:tcW w:w="3000" w:type="dxa"/>
            <w:tcBorders>
              <w:top w:val="nil"/>
              <w:left w:val="nil"/>
              <w:bottom w:val="single" w:color="auto" w:sz="4" w:space="0"/>
              <w:right w:val="single" w:color="auto" w:sz="4" w:space="0"/>
            </w:tcBorders>
            <w:shd w:val="clear" w:color="auto" w:fill="auto"/>
            <w:vAlign w:val="center"/>
          </w:tcPr>
          <w:p w14:paraId="3BD24516">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21.24</w:t>
            </w:r>
          </w:p>
        </w:tc>
        <w:tc>
          <w:tcPr>
            <w:tcW w:w="3492" w:type="dxa"/>
            <w:tcBorders>
              <w:top w:val="nil"/>
              <w:left w:val="nil"/>
              <w:bottom w:val="single" w:color="auto" w:sz="4" w:space="0"/>
              <w:right w:val="single" w:color="auto" w:sz="4" w:space="0"/>
            </w:tcBorders>
            <w:shd w:val="clear" w:color="auto" w:fill="auto"/>
            <w:vAlign w:val="center"/>
          </w:tcPr>
          <w:p w14:paraId="0EA45285">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21.24</w:t>
            </w:r>
          </w:p>
        </w:tc>
        <w:tc>
          <w:tcPr>
            <w:tcW w:w="3000" w:type="dxa"/>
            <w:tcBorders>
              <w:top w:val="nil"/>
              <w:left w:val="nil"/>
              <w:bottom w:val="single" w:color="auto" w:sz="4" w:space="0"/>
              <w:right w:val="single" w:color="auto" w:sz="8" w:space="0"/>
            </w:tcBorders>
            <w:shd w:val="clear" w:color="auto" w:fill="auto"/>
            <w:vAlign w:val="center"/>
          </w:tcPr>
          <w:p w14:paraId="7D0AD850">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54B3A290">
        <w:tblPrEx>
          <w:tblCellMar>
            <w:top w:w="0" w:type="dxa"/>
            <w:left w:w="108" w:type="dxa"/>
            <w:bottom w:w="0" w:type="dxa"/>
            <w:right w:w="108" w:type="dxa"/>
          </w:tblCellMar>
        </w:tblPrEx>
        <w:trPr>
          <w:trHeight w:val="450" w:hRule="atLeast"/>
          <w:jc w:val="center"/>
        </w:trPr>
        <w:tc>
          <w:tcPr>
            <w:tcW w:w="1101" w:type="dxa"/>
            <w:tcBorders>
              <w:top w:val="single" w:color="auto" w:sz="4" w:space="0"/>
              <w:left w:val="single" w:color="auto" w:sz="8" w:space="0"/>
              <w:bottom w:val="single" w:color="auto" w:sz="4" w:space="0"/>
              <w:right w:val="single" w:color="auto" w:sz="4" w:space="0"/>
            </w:tcBorders>
            <w:shd w:val="clear" w:color="auto" w:fill="auto"/>
            <w:vAlign w:val="center"/>
          </w:tcPr>
          <w:p w14:paraId="6FD0E736">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2101103</w:t>
            </w:r>
          </w:p>
        </w:tc>
        <w:tc>
          <w:tcPr>
            <w:tcW w:w="3626" w:type="dxa"/>
            <w:tcBorders>
              <w:top w:val="nil"/>
              <w:left w:val="nil"/>
              <w:bottom w:val="single" w:color="auto" w:sz="4" w:space="0"/>
              <w:right w:val="single" w:color="auto" w:sz="4" w:space="0"/>
            </w:tcBorders>
            <w:shd w:val="clear" w:color="auto" w:fill="auto"/>
            <w:vAlign w:val="center"/>
          </w:tcPr>
          <w:p w14:paraId="28A38AA0">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公务员医疗补助</w:t>
            </w:r>
          </w:p>
        </w:tc>
        <w:tc>
          <w:tcPr>
            <w:tcW w:w="3000" w:type="dxa"/>
            <w:tcBorders>
              <w:top w:val="nil"/>
              <w:left w:val="nil"/>
              <w:bottom w:val="single" w:color="auto" w:sz="4" w:space="0"/>
              <w:right w:val="single" w:color="auto" w:sz="4" w:space="0"/>
            </w:tcBorders>
            <w:shd w:val="clear" w:color="auto" w:fill="auto"/>
            <w:vAlign w:val="center"/>
          </w:tcPr>
          <w:p w14:paraId="3BAC44C4">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1.86</w:t>
            </w:r>
          </w:p>
        </w:tc>
        <w:tc>
          <w:tcPr>
            <w:tcW w:w="3492" w:type="dxa"/>
            <w:tcBorders>
              <w:top w:val="nil"/>
              <w:left w:val="nil"/>
              <w:bottom w:val="single" w:color="auto" w:sz="4" w:space="0"/>
              <w:right w:val="single" w:color="auto" w:sz="4" w:space="0"/>
            </w:tcBorders>
            <w:shd w:val="clear" w:color="auto" w:fill="auto"/>
            <w:vAlign w:val="center"/>
          </w:tcPr>
          <w:p w14:paraId="68ADCD0E">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1.86</w:t>
            </w:r>
          </w:p>
        </w:tc>
        <w:tc>
          <w:tcPr>
            <w:tcW w:w="3000" w:type="dxa"/>
            <w:tcBorders>
              <w:top w:val="nil"/>
              <w:left w:val="nil"/>
              <w:bottom w:val="single" w:color="auto" w:sz="4" w:space="0"/>
              <w:right w:val="single" w:color="auto" w:sz="8" w:space="0"/>
            </w:tcBorders>
            <w:shd w:val="clear" w:color="auto" w:fill="auto"/>
            <w:vAlign w:val="center"/>
          </w:tcPr>
          <w:p w14:paraId="7816413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03B145BF">
        <w:tblPrEx>
          <w:tblCellMar>
            <w:top w:w="0" w:type="dxa"/>
            <w:left w:w="108" w:type="dxa"/>
            <w:bottom w:w="0" w:type="dxa"/>
            <w:right w:w="108" w:type="dxa"/>
          </w:tblCellMar>
        </w:tblPrEx>
        <w:trPr>
          <w:trHeight w:val="450" w:hRule="atLeast"/>
          <w:jc w:val="center"/>
        </w:trPr>
        <w:tc>
          <w:tcPr>
            <w:tcW w:w="1101" w:type="dxa"/>
            <w:tcBorders>
              <w:top w:val="single" w:color="auto" w:sz="4" w:space="0"/>
              <w:left w:val="single" w:color="auto" w:sz="8" w:space="0"/>
              <w:bottom w:val="single" w:color="auto" w:sz="8" w:space="0"/>
              <w:right w:val="single" w:color="auto" w:sz="4" w:space="0"/>
            </w:tcBorders>
            <w:shd w:val="clear" w:color="auto" w:fill="auto"/>
            <w:vAlign w:val="center"/>
          </w:tcPr>
          <w:p w14:paraId="41518454">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2210201</w:t>
            </w:r>
            <w:r>
              <w:rPr>
                <w:rFonts w:ascii="Times New Roman" w:hAnsi="Times New Roman" w:eastAsia="仿宋_GB2312" w:cs="Times New Roman"/>
                <w:kern w:val="0"/>
                <w:szCs w:val="21"/>
              </w:rPr>
              <w:t>　</w:t>
            </w:r>
          </w:p>
        </w:tc>
        <w:tc>
          <w:tcPr>
            <w:tcW w:w="3626" w:type="dxa"/>
            <w:tcBorders>
              <w:top w:val="nil"/>
              <w:left w:val="nil"/>
              <w:bottom w:val="single" w:color="auto" w:sz="8" w:space="0"/>
              <w:right w:val="single" w:color="auto" w:sz="4" w:space="0"/>
            </w:tcBorders>
            <w:shd w:val="clear" w:color="auto" w:fill="auto"/>
            <w:vAlign w:val="center"/>
          </w:tcPr>
          <w:p w14:paraId="2C7AFC66">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住房公积金</w:t>
            </w:r>
          </w:p>
        </w:tc>
        <w:tc>
          <w:tcPr>
            <w:tcW w:w="3000" w:type="dxa"/>
            <w:tcBorders>
              <w:top w:val="nil"/>
              <w:left w:val="nil"/>
              <w:bottom w:val="single" w:color="auto" w:sz="8" w:space="0"/>
              <w:right w:val="single" w:color="auto" w:sz="4" w:space="0"/>
            </w:tcBorders>
            <w:shd w:val="clear" w:color="auto" w:fill="auto"/>
            <w:vAlign w:val="center"/>
          </w:tcPr>
          <w:p w14:paraId="61A3FF15">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40.75</w:t>
            </w:r>
          </w:p>
        </w:tc>
        <w:tc>
          <w:tcPr>
            <w:tcW w:w="3492" w:type="dxa"/>
            <w:tcBorders>
              <w:top w:val="nil"/>
              <w:left w:val="nil"/>
              <w:bottom w:val="single" w:color="auto" w:sz="8" w:space="0"/>
              <w:right w:val="single" w:color="auto" w:sz="4" w:space="0"/>
            </w:tcBorders>
            <w:shd w:val="clear" w:color="auto" w:fill="auto"/>
            <w:vAlign w:val="center"/>
          </w:tcPr>
          <w:p w14:paraId="5C6EA493">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40.75</w:t>
            </w:r>
          </w:p>
        </w:tc>
        <w:tc>
          <w:tcPr>
            <w:tcW w:w="3000" w:type="dxa"/>
            <w:tcBorders>
              <w:top w:val="nil"/>
              <w:left w:val="nil"/>
              <w:bottom w:val="single" w:color="auto" w:sz="8" w:space="0"/>
              <w:right w:val="single" w:color="auto" w:sz="8" w:space="0"/>
            </w:tcBorders>
            <w:shd w:val="clear" w:color="auto" w:fill="auto"/>
            <w:vAlign w:val="center"/>
          </w:tcPr>
          <w:p w14:paraId="3F5D023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14:paraId="6DCB4E0D">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2AC4CA02">
      <w:pPr>
        <w:widowControl/>
        <w:jc w:val="left"/>
        <w:rPr>
          <w:rFonts w:ascii="Times New Roman" w:hAnsi="Times New Roman" w:eastAsia="仿宋_GB2312" w:cs="Times New Roman"/>
          <w:bCs/>
          <w:kern w:val="0"/>
          <w:szCs w:val="21"/>
        </w:rPr>
      </w:pPr>
    </w:p>
    <w:p w14:paraId="203C301E">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3F6A23E8">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7F7FA7F2">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bidi="ar"/>
        </w:rPr>
        <w:t>永州市公安干部中等专业学校</w:t>
      </w:r>
      <w:r>
        <w:rPr>
          <w:rFonts w:ascii="Times New Roman" w:hAnsi="Times New Roman" w:eastAsia="仿宋_GB2312" w:cs="Times New Roman"/>
          <w:color w:val="000000"/>
          <w:kern w:val="0"/>
          <w:szCs w:val="21"/>
        </w:rPr>
        <w:t xml:space="preserve">                                                                                           公开06表</w:t>
      </w:r>
    </w:p>
    <w:p w14:paraId="63F32F10">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501596F6">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2F8F62E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27C04CF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678A92E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46B7134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49DBE5D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1B0A6D5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7B25AE5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3CC0071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039F4AF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0D6AF8B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40838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7EE589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2C532EA7">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519.56</w:t>
            </w:r>
          </w:p>
        </w:tc>
        <w:tc>
          <w:tcPr>
            <w:tcW w:w="1116" w:type="dxa"/>
            <w:tcBorders>
              <w:top w:val="nil"/>
              <w:left w:val="nil"/>
              <w:bottom w:val="single" w:color="auto" w:sz="4" w:space="0"/>
              <w:right w:val="single" w:color="auto" w:sz="4" w:space="0"/>
            </w:tcBorders>
            <w:shd w:val="clear" w:color="auto" w:fill="auto"/>
            <w:noWrap/>
            <w:vAlign w:val="center"/>
          </w:tcPr>
          <w:p w14:paraId="0FE11B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425778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4F5C809C">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106.62</w:t>
            </w:r>
          </w:p>
        </w:tc>
        <w:tc>
          <w:tcPr>
            <w:tcW w:w="1217" w:type="dxa"/>
            <w:tcBorders>
              <w:top w:val="nil"/>
              <w:left w:val="nil"/>
              <w:bottom w:val="single" w:color="auto" w:sz="4" w:space="0"/>
              <w:right w:val="single" w:color="auto" w:sz="4" w:space="0"/>
            </w:tcBorders>
            <w:shd w:val="clear" w:color="auto" w:fill="auto"/>
            <w:noWrap/>
            <w:vAlign w:val="center"/>
          </w:tcPr>
          <w:p w14:paraId="64C925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1D2F6A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0A79F9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92FEBD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EC005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7F7136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48C42257">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151.81</w:t>
            </w:r>
          </w:p>
        </w:tc>
        <w:tc>
          <w:tcPr>
            <w:tcW w:w="1116" w:type="dxa"/>
            <w:tcBorders>
              <w:top w:val="nil"/>
              <w:left w:val="nil"/>
              <w:bottom w:val="single" w:color="auto" w:sz="4" w:space="0"/>
              <w:right w:val="single" w:color="auto" w:sz="4" w:space="0"/>
            </w:tcBorders>
            <w:shd w:val="clear" w:color="auto" w:fill="auto"/>
            <w:noWrap/>
            <w:vAlign w:val="center"/>
          </w:tcPr>
          <w:p w14:paraId="50D30A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5ED783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64DEE0BA">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2.00</w:t>
            </w:r>
          </w:p>
        </w:tc>
        <w:tc>
          <w:tcPr>
            <w:tcW w:w="1217" w:type="dxa"/>
            <w:tcBorders>
              <w:top w:val="nil"/>
              <w:left w:val="nil"/>
              <w:bottom w:val="single" w:color="auto" w:sz="4" w:space="0"/>
              <w:right w:val="single" w:color="auto" w:sz="4" w:space="0"/>
            </w:tcBorders>
            <w:shd w:val="clear" w:color="auto" w:fill="auto"/>
            <w:noWrap/>
            <w:vAlign w:val="center"/>
          </w:tcPr>
          <w:p w14:paraId="4EE24F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1FA399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6ED760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9C0092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4527E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3235C4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754664E9">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146.7</w:t>
            </w:r>
          </w:p>
        </w:tc>
        <w:tc>
          <w:tcPr>
            <w:tcW w:w="1116" w:type="dxa"/>
            <w:tcBorders>
              <w:top w:val="nil"/>
              <w:left w:val="nil"/>
              <w:bottom w:val="single" w:color="auto" w:sz="4" w:space="0"/>
              <w:right w:val="single" w:color="auto" w:sz="4" w:space="0"/>
            </w:tcBorders>
            <w:shd w:val="clear" w:color="auto" w:fill="auto"/>
            <w:noWrap/>
            <w:vAlign w:val="center"/>
          </w:tcPr>
          <w:p w14:paraId="58430A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4DCD2E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76551FDE">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2.00</w:t>
            </w:r>
          </w:p>
        </w:tc>
        <w:tc>
          <w:tcPr>
            <w:tcW w:w="1217" w:type="dxa"/>
            <w:tcBorders>
              <w:top w:val="nil"/>
              <w:left w:val="nil"/>
              <w:bottom w:val="single" w:color="auto" w:sz="4" w:space="0"/>
              <w:right w:val="single" w:color="auto" w:sz="4" w:space="0"/>
            </w:tcBorders>
            <w:shd w:val="clear" w:color="auto" w:fill="auto"/>
            <w:noWrap/>
            <w:vAlign w:val="center"/>
          </w:tcPr>
          <w:p w14:paraId="734263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0A1B16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093039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9D68B7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AA9E1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529164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3B42AFD6">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106.55</w:t>
            </w:r>
          </w:p>
        </w:tc>
        <w:tc>
          <w:tcPr>
            <w:tcW w:w="1116" w:type="dxa"/>
            <w:tcBorders>
              <w:top w:val="nil"/>
              <w:left w:val="nil"/>
              <w:bottom w:val="single" w:color="auto" w:sz="4" w:space="0"/>
              <w:right w:val="single" w:color="auto" w:sz="4" w:space="0"/>
            </w:tcBorders>
            <w:shd w:val="clear" w:color="auto" w:fill="auto"/>
            <w:noWrap/>
            <w:vAlign w:val="center"/>
          </w:tcPr>
          <w:p w14:paraId="39E965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4E9238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3F43C891">
            <w:pPr>
              <w:widowControl/>
              <w:jc w:val="lef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5355C8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738738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452CD7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7B9435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A3D5A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5F6017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48AB0DB1">
            <w:pPr>
              <w:widowControl/>
              <w:jc w:val="lef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0DDDD2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7E7627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402B8379">
            <w:pPr>
              <w:widowControl/>
              <w:jc w:val="lef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6B1F47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5679AD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640A6D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F915BA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FD430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5010CB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0650AF00">
            <w:pPr>
              <w:widowControl/>
              <w:jc w:val="lef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3B2998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463073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28FD356A">
            <w:pPr>
              <w:widowControl/>
              <w:jc w:val="lef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6FC7EA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3F3309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56EDE6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34919E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614AD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699D31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4A7987B6">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49.15</w:t>
            </w:r>
          </w:p>
        </w:tc>
        <w:tc>
          <w:tcPr>
            <w:tcW w:w="1116" w:type="dxa"/>
            <w:tcBorders>
              <w:top w:val="nil"/>
              <w:left w:val="nil"/>
              <w:bottom w:val="single" w:color="auto" w:sz="4" w:space="0"/>
              <w:right w:val="single" w:color="auto" w:sz="4" w:space="0"/>
            </w:tcBorders>
            <w:shd w:val="clear" w:color="auto" w:fill="auto"/>
            <w:noWrap/>
            <w:vAlign w:val="center"/>
          </w:tcPr>
          <w:p w14:paraId="62E45E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1BB9C7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5AC4E1B5">
            <w:pPr>
              <w:widowControl/>
              <w:jc w:val="lef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73A1F5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0A638D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094529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5EBAE8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BEDBC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4E1358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4BCB49E4">
            <w:pPr>
              <w:widowControl/>
              <w:jc w:val="lef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07C1B2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582B2B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235F85E8">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0.36</w:t>
            </w:r>
          </w:p>
        </w:tc>
        <w:tc>
          <w:tcPr>
            <w:tcW w:w="1217" w:type="dxa"/>
            <w:tcBorders>
              <w:top w:val="nil"/>
              <w:left w:val="nil"/>
              <w:bottom w:val="single" w:color="auto" w:sz="4" w:space="0"/>
              <w:right w:val="single" w:color="auto" w:sz="4" w:space="0"/>
            </w:tcBorders>
            <w:shd w:val="clear" w:color="auto" w:fill="auto"/>
            <w:noWrap/>
            <w:vAlign w:val="center"/>
          </w:tcPr>
          <w:p w14:paraId="38273B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69026A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496806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D6CD5B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40193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3B4E75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4BA6E36B">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21.24</w:t>
            </w:r>
          </w:p>
        </w:tc>
        <w:tc>
          <w:tcPr>
            <w:tcW w:w="1116" w:type="dxa"/>
            <w:tcBorders>
              <w:top w:val="nil"/>
              <w:left w:val="nil"/>
              <w:bottom w:val="single" w:color="auto" w:sz="4" w:space="0"/>
              <w:right w:val="single" w:color="auto" w:sz="4" w:space="0"/>
            </w:tcBorders>
            <w:shd w:val="clear" w:color="auto" w:fill="auto"/>
            <w:noWrap/>
            <w:vAlign w:val="center"/>
          </w:tcPr>
          <w:p w14:paraId="4B8414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5572ED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64D7F787">
            <w:pPr>
              <w:widowControl/>
              <w:jc w:val="lef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427F39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7B0D9C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70329C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D79E71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38C63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1279AF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6CA25838">
            <w:pPr>
              <w:widowControl/>
              <w:jc w:val="lef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5A2E4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534824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7DAE3955">
            <w:pPr>
              <w:widowControl/>
              <w:jc w:val="lef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32512A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26E941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507A3F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F3652A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1A3EA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2631F2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5669AD22">
            <w:pPr>
              <w:widowControl/>
              <w:jc w:val="lef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035629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0A8A29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1AB46E92">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5.88</w:t>
            </w:r>
          </w:p>
        </w:tc>
        <w:tc>
          <w:tcPr>
            <w:tcW w:w="1217" w:type="dxa"/>
            <w:tcBorders>
              <w:top w:val="nil"/>
              <w:left w:val="nil"/>
              <w:bottom w:val="single" w:color="auto" w:sz="4" w:space="0"/>
              <w:right w:val="single" w:color="auto" w:sz="4" w:space="0"/>
            </w:tcBorders>
            <w:shd w:val="clear" w:color="auto" w:fill="auto"/>
            <w:noWrap/>
            <w:vAlign w:val="center"/>
          </w:tcPr>
          <w:p w14:paraId="6026EA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35D529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388416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1D977B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10FEE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4B245C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20171D40">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42.25</w:t>
            </w:r>
          </w:p>
        </w:tc>
        <w:tc>
          <w:tcPr>
            <w:tcW w:w="1116" w:type="dxa"/>
            <w:tcBorders>
              <w:top w:val="nil"/>
              <w:left w:val="nil"/>
              <w:bottom w:val="single" w:color="auto" w:sz="4" w:space="0"/>
              <w:right w:val="single" w:color="auto" w:sz="4" w:space="0"/>
            </w:tcBorders>
            <w:shd w:val="clear" w:color="auto" w:fill="auto"/>
            <w:noWrap/>
            <w:vAlign w:val="center"/>
          </w:tcPr>
          <w:p w14:paraId="42662C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6DFFFE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11501E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5B464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339C13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58CB3F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4A83B1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B93F5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34C81C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7D5030F1">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1.86</w:t>
            </w:r>
          </w:p>
        </w:tc>
        <w:tc>
          <w:tcPr>
            <w:tcW w:w="1116" w:type="dxa"/>
            <w:tcBorders>
              <w:top w:val="nil"/>
              <w:left w:val="nil"/>
              <w:bottom w:val="single" w:color="auto" w:sz="4" w:space="0"/>
              <w:right w:val="single" w:color="auto" w:sz="4" w:space="0"/>
            </w:tcBorders>
            <w:shd w:val="clear" w:color="auto" w:fill="auto"/>
            <w:noWrap/>
            <w:vAlign w:val="center"/>
          </w:tcPr>
          <w:p w14:paraId="0D54CA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381960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1531EBC2">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2.00</w:t>
            </w:r>
          </w:p>
        </w:tc>
        <w:tc>
          <w:tcPr>
            <w:tcW w:w="1217" w:type="dxa"/>
            <w:tcBorders>
              <w:top w:val="nil"/>
              <w:left w:val="nil"/>
              <w:bottom w:val="single" w:color="auto" w:sz="4" w:space="0"/>
              <w:right w:val="single" w:color="auto" w:sz="4" w:space="0"/>
            </w:tcBorders>
            <w:shd w:val="clear" w:color="auto" w:fill="auto"/>
            <w:noWrap/>
            <w:vAlign w:val="center"/>
          </w:tcPr>
          <w:p w14:paraId="497266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607779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30301F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311291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14C9F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6B9F01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1FC3C54F">
            <w:pPr>
              <w:widowControl/>
              <w:jc w:val="lef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45EEB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63EAC5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1133810C">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1.00</w:t>
            </w:r>
          </w:p>
        </w:tc>
        <w:tc>
          <w:tcPr>
            <w:tcW w:w="1217" w:type="dxa"/>
            <w:tcBorders>
              <w:top w:val="nil"/>
              <w:left w:val="nil"/>
              <w:bottom w:val="single" w:color="auto" w:sz="4" w:space="0"/>
              <w:right w:val="single" w:color="auto" w:sz="4" w:space="0"/>
            </w:tcBorders>
            <w:shd w:val="clear" w:color="auto" w:fill="auto"/>
            <w:noWrap/>
            <w:vAlign w:val="center"/>
          </w:tcPr>
          <w:p w14:paraId="5BEBFD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6515E6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2133DE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7BB4CA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263CD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065BF7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6C6D5ADD">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35.74</w:t>
            </w:r>
          </w:p>
        </w:tc>
        <w:tc>
          <w:tcPr>
            <w:tcW w:w="1116" w:type="dxa"/>
            <w:tcBorders>
              <w:top w:val="nil"/>
              <w:left w:val="nil"/>
              <w:bottom w:val="single" w:color="auto" w:sz="4" w:space="0"/>
              <w:right w:val="single" w:color="auto" w:sz="4" w:space="0"/>
            </w:tcBorders>
            <w:shd w:val="clear" w:color="auto" w:fill="auto"/>
            <w:noWrap/>
            <w:vAlign w:val="center"/>
          </w:tcPr>
          <w:p w14:paraId="3CEF77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4430A8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67AF8865">
            <w:pPr>
              <w:widowControl/>
              <w:jc w:val="lef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182439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70889D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2E515F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4694B8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F58AC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4324AC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784784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9F524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0052D9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3334BC46">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6.00</w:t>
            </w:r>
          </w:p>
        </w:tc>
        <w:tc>
          <w:tcPr>
            <w:tcW w:w="1217" w:type="dxa"/>
            <w:tcBorders>
              <w:top w:val="nil"/>
              <w:left w:val="nil"/>
              <w:bottom w:val="single" w:color="auto" w:sz="4" w:space="0"/>
              <w:right w:val="single" w:color="auto" w:sz="4" w:space="0"/>
            </w:tcBorders>
            <w:shd w:val="clear" w:color="auto" w:fill="auto"/>
            <w:noWrap/>
            <w:vAlign w:val="center"/>
          </w:tcPr>
          <w:p w14:paraId="0D51C1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603A5A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569F38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D57CDD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881DD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15A71C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1C3659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4444F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2310C0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38EAF768">
            <w:pPr>
              <w:widowControl/>
              <w:jc w:val="lef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3D0170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2141CE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25AF29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13D7A2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77831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3228B8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709385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7A868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53DF1B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06891700">
            <w:pPr>
              <w:widowControl/>
              <w:jc w:val="lef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90AC2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4E0CB2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0E54B3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EFEACF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56285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6BDC9B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088652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25BEA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41CDF0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56B0C813">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2.64</w:t>
            </w:r>
          </w:p>
        </w:tc>
        <w:tc>
          <w:tcPr>
            <w:tcW w:w="1217" w:type="dxa"/>
            <w:tcBorders>
              <w:top w:val="nil"/>
              <w:left w:val="nil"/>
              <w:bottom w:val="single" w:color="auto" w:sz="4" w:space="0"/>
              <w:right w:val="single" w:color="auto" w:sz="4" w:space="0"/>
            </w:tcBorders>
            <w:shd w:val="clear" w:color="auto" w:fill="auto"/>
            <w:noWrap/>
            <w:vAlign w:val="center"/>
          </w:tcPr>
          <w:p w14:paraId="1D6FC3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1A5A43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0DDFE7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ABE14F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8E8D1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1A87E6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4584740C">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35.74</w:t>
            </w:r>
          </w:p>
        </w:tc>
        <w:tc>
          <w:tcPr>
            <w:tcW w:w="1116" w:type="dxa"/>
            <w:tcBorders>
              <w:top w:val="nil"/>
              <w:left w:val="nil"/>
              <w:bottom w:val="single" w:color="auto" w:sz="4" w:space="0"/>
              <w:right w:val="single" w:color="auto" w:sz="4" w:space="0"/>
            </w:tcBorders>
            <w:shd w:val="clear" w:color="auto" w:fill="auto"/>
            <w:noWrap/>
            <w:vAlign w:val="center"/>
          </w:tcPr>
          <w:p w14:paraId="0A4A9C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7DCDB1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262AB0F2">
            <w:pPr>
              <w:widowControl/>
              <w:jc w:val="lef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719809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4805EC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31D7ED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6127DD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FDC28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175463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3CBC04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A8CBF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76B955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25FBEC84">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9.99</w:t>
            </w:r>
          </w:p>
        </w:tc>
        <w:tc>
          <w:tcPr>
            <w:tcW w:w="1217" w:type="dxa"/>
            <w:tcBorders>
              <w:top w:val="nil"/>
              <w:left w:val="nil"/>
              <w:bottom w:val="single" w:color="auto" w:sz="4" w:space="0"/>
              <w:right w:val="single" w:color="auto" w:sz="4" w:space="0"/>
            </w:tcBorders>
            <w:shd w:val="clear" w:color="auto" w:fill="auto"/>
            <w:noWrap/>
            <w:vAlign w:val="center"/>
          </w:tcPr>
          <w:p w14:paraId="7C3636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04C1A9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634D42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3B6617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8C6A4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23B672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5CA0C9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667AF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6953AB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3E76D15F">
            <w:pPr>
              <w:widowControl/>
              <w:jc w:val="lef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23498A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4753DB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2E0E62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7165D1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B4784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42A30C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4271C7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46A63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525720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0A75B962">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2.44</w:t>
            </w:r>
          </w:p>
        </w:tc>
        <w:tc>
          <w:tcPr>
            <w:tcW w:w="1217" w:type="dxa"/>
            <w:tcBorders>
              <w:top w:val="nil"/>
              <w:left w:val="nil"/>
              <w:bottom w:val="single" w:color="auto" w:sz="4" w:space="0"/>
              <w:right w:val="single" w:color="auto" w:sz="4" w:space="0"/>
            </w:tcBorders>
            <w:shd w:val="clear" w:color="auto" w:fill="auto"/>
            <w:noWrap/>
            <w:vAlign w:val="center"/>
          </w:tcPr>
          <w:p w14:paraId="593B0C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629241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097890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A60213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EF3C4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753DB0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6E4399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7E98D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7D413D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51A33D74">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26.46</w:t>
            </w:r>
          </w:p>
        </w:tc>
        <w:tc>
          <w:tcPr>
            <w:tcW w:w="1217" w:type="dxa"/>
            <w:tcBorders>
              <w:top w:val="nil"/>
              <w:left w:val="nil"/>
              <w:bottom w:val="single" w:color="auto" w:sz="4" w:space="0"/>
              <w:right w:val="single" w:color="auto" w:sz="4" w:space="0"/>
            </w:tcBorders>
            <w:shd w:val="clear" w:color="auto" w:fill="auto"/>
            <w:noWrap/>
            <w:vAlign w:val="center"/>
          </w:tcPr>
          <w:p w14:paraId="349637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6C6FD3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3EDDA4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16F8AD5A">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10CC78B6">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2A0E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23D71E5B">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E56D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0E552E8A">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183E81FE">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221F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1FBBE0A7">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EEF2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76B4D9FD">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0A9D1E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791499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C0DC2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1D9CD6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190F5F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9B3BD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6594DA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2A3B75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581FE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1E6658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0B4CD5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0DBAA1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679A3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5A1825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61D4AE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FE265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42ED28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2FF5450A">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24.55</w:t>
            </w:r>
          </w:p>
        </w:tc>
        <w:tc>
          <w:tcPr>
            <w:tcW w:w="1217" w:type="dxa"/>
            <w:tcBorders>
              <w:top w:val="nil"/>
              <w:left w:val="nil"/>
              <w:bottom w:val="single" w:color="auto" w:sz="4" w:space="0"/>
              <w:right w:val="single" w:color="auto" w:sz="4" w:space="0"/>
            </w:tcBorders>
            <w:shd w:val="clear" w:color="auto" w:fill="auto"/>
            <w:noWrap/>
            <w:vAlign w:val="center"/>
          </w:tcPr>
          <w:p w14:paraId="1E9A9B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0C7CD2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62E75B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228944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811F1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3DC828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27BFE9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63E2B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531E7F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687F01B6">
            <w:pPr>
              <w:widowControl/>
              <w:jc w:val="lef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3CBB2569">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5026A7AE">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15BDA6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51F38E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20215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7DF402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548D22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D23DE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0EE861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289D830C">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21.3</w:t>
            </w:r>
          </w:p>
        </w:tc>
        <w:tc>
          <w:tcPr>
            <w:tcW w:w="1217" w:type="dxa"/>
            <w:tcBorders>
              <w:top w:val="nil"/>
              <w:left w:val="nil"/>
              <w:bottom w:val="single" w:color="auto" w:sz="4" w:space="0"/>
              <w:right w:val="single" w:color="auto" w:sz="4" w:space="0"/>
            </w:tcBorders>
            <w:shd w:val="clear" w:color="auto" w:fill="auto"/>
            <w:noWrap/>
            <w:vAlign w:val="center"/>
          </w:tcPr>
          <w:p w14:paraId="351582BA">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59438FE9">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11DD69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636CF7B">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0786518">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17FA16DD">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555.3</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582E0B50">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37F11CAB">
            <w:pPr>
              <w:widowControl/>
              <w:jc w:val="left"/>
              <w:rPr>
                <w:rFonts w:ascii="Times New Roman" w:hAnsi="Times New Roman" w:eastAsia="仿宋_GB2312" w:cs="Times New Roman"/>
                <w:color w:val="000000"/>
                <w:kern w:val="0"/>
                <w:szCs w:val="18"/>
              </w:rPr>
            </w:pPr>
            <w:r>
              <w:rPr>
                <w:rFonts w:hint="eastAsia" w:ascii="Times New Roman" w:hAnsi="Times New Roman" w:eastAsia="仿宋_GB2312" w:cs="Times New Roman"/>
                <w:color w:val="000000"/>
                <w:kern w:val="0"/>
                <w:szCs w:val="18"/>
              </w:rPr>
              <w:t>106.62</w:t>
            </w:r>
          </w:p>
        </w:tc>
      </w:tr>
    </w:tbl>
    <w:p w14:paraId="2EBD575F">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36B083C8">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33F5A30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1468C4BB">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6A9C03FD">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永州市公安干部中等专业学校</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27E28424">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B61A9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DE5B9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5DA84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E5E6F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3D001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3894B7B5">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DC486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7071B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E04EFD">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529F5">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1CE56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7D5BC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5A089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1CCBE1">
            <w:pPr>
              <w:widowControl/>
              <w:jc w:val="center"/>
              <w:rPr>
                <w:rFonts w:ascii="Times New Roman" w:hAnsi="Times New Roman" w:eastAsia="仿宋_GB2312" w:cs="Times New Roman"/>
                <w:color w:val="000000"/>
                <w:sz w:val="24"/>
                <w:szCs w:val="24"/>
              </w:rPr>
            </w:pPr>
          </w:p>
        </w:tc>
      </w:tr>
      <w:tr w14:paraId="56EA9415">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322F7A">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A7DE42">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2FB0C8">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D1378B">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32AE34">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A5731F">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C0D5D5">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F1792B">
            <w:pPr>
              <w:jc w:val="center"/>
              <w:rPr>
                <w:rFonts w:ascii="Times New Roman" w:hAnsi="Times New Roman" w:eastAsia="仿宋_GB2312" w:cs="Times New Roman"/>
                <w:color w:val="000000"/>
                <w:sz w:val="24"/>
                <w:szCs w:val="24"/>
              </w:rPr>
            </w:pPr>
          </w:p>
        </w:tc>
      </w:tr>
      <w:tr w14:paraId="6C1A267C">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532D7F">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9F56A3">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D7CF5E">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A89411">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27A867">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184E99">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4E6E64">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A9C33E">
            <w:pPr>
              <w:jc w:val="center"/>
              <w:rPr>
                <w:rFonts w:ascii="Times New Roman" w:hAnsi="Times New Roman" w:eastAsia="仿宋_GB2312" w:cs="Times New Roman"/>
                <w:color w:val="000000"/>
                <w:sz w:val="24"/>
                <w:szCs w:val="24"/>
              </w:rPr>
            </w:pPr>
          </w:p>
        </w:tc>
      </w:tr>
      <w:tr w14:paraId="142BAF35">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585F3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E933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6224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31A5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07B6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659E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99AF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045E5384">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A2FC3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EC9B7">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8B73C">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531EC">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D7682">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410AC">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CED65">
            <w:pPr>
              <w:jc w:val="center"/>
              <w:rPr>
                <w:rFonts w:ascii="Times New Roman" w:hAnsi="Times New Roman" w:eastAsia="仿宋_GB2312" w:cs="Times New Roman"/>
                <w:color w:val="000000"/>
                <w:sz w:val="24"/>
                <w:szCs w:val="24"/>
              </w:rPr>
            </w:pPr>
          </w:p>
        </w:tc>
      </w:tr>
      <w:tr w14:paraId="07099C42">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4507C">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7F9AE">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DCD6F">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27A4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2E5A7">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C9CE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2A2F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DD414">
            <w:pPr>
              <w:rPr>
                <w:rFonts w:ascii="Times New Roman" w:hAnsi="Times New Roman" w:eastAsia="仿宋_GB2312" w:cs="Times New Roman"/>
                <w:color w:val="000000"/>
                <w:sz w:val="24"/>
                <w:szCs w:val="24"/>
              </w:rPr>
            </w:pPr>
          </w:p>
        </w:tc>
      </w:tr>
      <w:tr w14:paraId="5B487B38">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AD2E3">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719E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FFEF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D703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69D9A">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60C8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852A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75323">
            <w:pPr>
              <w:rPr>
                <w:rFonts w:ascii="Times New Roman" w:hAnsi="Times New Roman" w:eastAsia="仿宋_GB2312" w:cs="Times New Roman"/>
                <w:color w:val="000000"/>
                <w:sz w:val="24"/>
                <w:szCs w:val="24"/>
              </w:rPr>
            </w:pPr>
          </w:p>
        </w:tc>
      </w:tr>
      <w:tr w14:paraId="6B0EA91F">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B31FE">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5824A">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FC111">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FA9B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3F4BA">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81AF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0557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098D5">
            <w:pPr>
              <w:rPr>
                <w:rFonts w:ascii="Times New Roman" w:hAnsi="Times New Roman" w:eastAsia="仿宋_GB2312" w:cs="Times New Roman"/>
                <w:color w:val="000000"/>
                <w:sz w:val="24"/>
                <w:szCs w:val="24"/>
              </w:rPr>
            </w:pPr>
          </w:p>
        </w:tc>
      </w:tr>
      <w:tr w14:paraId="7424D8AC">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4803D">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254B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5D8D1">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55DE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39F40">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C2A3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57FA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92171">
            <w:pPr>
              <w:rPr>
                <w:rFonts w:ascii="Times New Roman" w:hAnsi="Times New Roman" w:eastAsia="仿宋_GB2312" w:cs="Times New Roman"/>
                <w:color w:val="000000"/>
                <w:sz w:val="24"/>
                <w:szCs w:val="24"/>
              </w:rPr>
            </w:pPr>
          </w:p>
        </w:tc>
      </w:tr>
      <w:tr w14:paraId="59B9975B">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3AE20">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ACA4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FEE84">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2D7E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DE5FC">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CBBD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B3FB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12CB3">
            <w:pPr>
              <w:rPr>
                <w:rFonts w:ascii="Times New Roman" w:hAnsi="Times New Roman" w:eastAsia="仿宋_GB2312" w:cs="Times New Roman"/>
                <w:color w:val="000000"/>
                <w:sz w:val="24"/>
                <w:szCs w:val="24"/>
              </w:rPr>
            </w:pPr>
          </w:p>
        </w:tc>
      </w:tr>
      <w:tr w14:paraId="00FD852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3B311">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219A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60708">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725C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BE89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2C7B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CAB7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CCAB5">
            <w:pPr>
              <w:rPr>
                <w:rFonts w:ascii="Times New Roman" w:hAnsi="Times New Roman" w:eastAsia="仿宋_GB2312" w:cs="Times New Roman"/>
                <w:color w:val="000000"/>
                <w:sz w:val="24"/>
                <w:szCs w:val="24"/>
              </w:rPr>
            </w:pPr>
          </w:p>
        </w:tc>
      </w:tr>
    </w:tbl>
    <w:p w14:paraId="1AEE08A0">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0C878829">
      <w:pPr>
        <w:widowControl/>
        <w:jc w:val="left"/>
        <w:textAlignment w:val="center"/>
        <w:rPr>
          <w:rFonts w:ascii="Times New Roman" w:hAnsi="Times New Roman" w:eastAsia="仿宋_GB2312" w:cs="Times New Roman"/>
          <w:color w:val="000000"/>
          <w:kern w:val="0"/>
          <w:sz w:val="24"/>
          <w:szCs w:val="24"/>
          <w:lang w:bidi="ar"/>
        </w:rPr>
      </w:pPr>
    </w:p>
    <w:p w14:paraId="605A6627">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61D79A12">
      <w:pPr>
        <w:widowControl/>
        <w:jc w:val="center"/>
        <w:rPr>
          <w:rFonts w:ascii="Times New Roman" w:hAnsi="Times New Roman" w:eastAsia="方正小标宋_GBK" w:cs="Times New Roman"/>
          <w:color w:val="000000"/>
          <w:kern w:val="0"/>
          <w:sz w:val="36"/>
          <w:szCs w:val="36"/>
        </w:rPr>
      </w:pPr>
    </w:p>
    <w:p w14:paraId="511FA506">
      <w:pPr>
        <w:widowControl/>
        <w:spacing w:line="400" w:lineRule="exact"/>
        <w:textAlignment w:val="center"/>
        <w:rPr>
          <w:rFonts w:ascii="Times New Roman" w:hAnsi="Times New Roman" w:eastAsia="黑体" w:cs="Times New Roman"/>
          <w:color w:val="000000"/>
          <w:kern w:val="0"/>
          <w:sz w:val="36"/>
          <w:szCs w:val="36"/>
          <w:lang w:bidi="ar"/>
        </w:rPr>
      </w:pPr>
    </w:p>
    <w:p w14:paraId="450CA04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7354A7EE">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71AC18DA">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永州市公安干部中等专业学校</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52B7DBFE">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2020C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62FF1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7D29E40E">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D2D87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F3FC6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42EA0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BDFBE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D9439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3838D6A0">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316D48">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6C51DD">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95489B">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62768C">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B69B9E">
            <w:pPr>
              <w:jc w:val="center"/>
              <w:rPr>
                <w:rFonts w:ascii="Times New Roman" w:hAnsi="Times New Roman" w:eastAsia="仿宋_GB2312" w:cs="Times New Roman"/>
                <w:color w:val="000000"/>
                <w:sz w:val="24"/>
                <w:szCs w:val="24"/>
              </w:rPr>
            </w:pPr>
          </w:p>
        </w:tc>
      </w:tr>
      <w:tr w14:paraId="6B9E3B86">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CA3D47">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9160D">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C34CF9">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468BCB">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9E2F19">
            <w:pPr>
              <w:jc w:val="center"/>
              <w:rPr>
                <w:rFonts w:ascii="Times New Roman" w:hAnsi="Times New Roman" w:eastAsia="仿宋_GB2312" w:cs="Times New Roman"/>
                <w:color w:val="000000"/>
                <w:sz w:val="24"/>
                <w:szCs w:val="24"/>
              </w:rPr>
            </w:pPr>
          </w:p>
        </w:tc>
      </w:tr>
      <w:tr w14:paraId="70394D93">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B6444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27C8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58B9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0956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129A3A49">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3C353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74BD5">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8191E">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07D75">
            <w:pPr>
              <w:jc w:val="center"/>
              <w:rPr>
                <w:rFonts w:ascii="Times New Roman" w:hAnsi="Times New Roman" w:eastAsia="仿宋_GB2312" w:cs="Times New Roman"/>
                <w:color w:val="000000"/>
                <w:sz w:val="24"/>
                <w:szCs w:val="24"/>
              </w:rPr>
            </w:pPr>
          </w:p>
        </w:tc>
      </w:tr>
      <w:tr w14:paraId="3FE54A4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59864">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18043">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ED690">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D75C7">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FF564">
            <w:pPr>
              <w:rPr>
                <w:rFonts w:ascii="Times New Roman" w:hAnsi="Times New Roman" w:eastAsia="仿宋_GB2312" w:cs="Times New Roman"/>
                <w:color w:val="000000"/>
                <w:sz w:val="24"/>
                <w:szCs w:val="24"/>
              </w:rPr>
            </w:pPr>
          </w:p>
        </w:tc>
      </w:tr>
      <w:tr w14:paraId="5E883BA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9EBDD">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64EA1">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A9D76">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A4DCE">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C8DF4">
            <w:pPr>
              <w:rPr>
                <w:rFonts w:ascii="Times New Roman" w:hAnsi="Times New Roman" w:eastAsia="仿宋_GB2312" w:cs="Times New Roman"/>
                <w:color w:val="000000"/>
                <w:sz w:val="24"/>
                <w:szCs w:val="24"/>
              </w:rPr>
            </w:pPr>
          </w:p>
        </w:tc>
      </w:tr>
      <w:tr w14:paraId="12A77991">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6D644">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131B0">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79D1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F90D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F1974">
            <w:pPr>
              <w:rPr>
                <w:rFonts w:ascii="Times New Roman" w:hAnsi="Times New Roman" w:eastAsia="宋体" w:cs="Times New Roman"/>
                <w:color w:val="000000"/>
                <w:sz w:val="24"/>
                <w:szCs w:val="24"/>
              </w:rPr>
            </w:pPr>
          </w:p>
        </w:tc>
      </w:tr>
      <w:tr w14:paraId="3CD789A8">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190C4">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110F6">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2C13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E9F6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2D094">
            <w:pPr>
              <w:rPr>
                <w:rFonts w:ascii="Times New Roman" w:hAnsi="Times New Roman" w:eastAsia="宋体" w:cs="Times New Roman"/>
                <w:color w:val="000000"/>
                <w:sz w:val="24"/>
                <w:szCs w:val="24"/>
              </w:rPr>
            </w:pPr>
          </w:p>
        </w:tc>
      </w:tr>
      <w:tr w14:paraId="610BEA2F">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FC561">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FC7B5">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2AFB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2124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8EAFA">
            <w:pPr>
              <w:rPr>
                <w:rFonts w:ascii="Times New Roman" w:hAnsi="Times New Roman" w:eastAsia="宋体" w:cs="Times New Roman"/>
                <w:color w:val="000000"/>
                <w:sz w:val="24"/>
                <w:szCs w:val="24"/>
              </w:rPr>
            </w:pPr>
          </w:p>
        </w:tc>
      </w:tr>
      <w:tr w14:paraId="6C4B692E">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7B09F">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3F425">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C906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E20A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C39A9">
            <w:pPr>
              <w:rPr>
                <w:rFonts w:ascii="Times New Roman" w:hAnsi="Times New Roman" w:eastAsia="宋体" w:cs="Times New Roman"/>
                <w:color w:val="000000"/>
                <w:sz w:val="24"/>
                <w:szCs w:val="24"/>
              </w:rPr>
            </w:pPr>
          </w:p>
        </w:tc>
      </w:tr>
    </w:tbl>
    <w:p w14:paraId="609518BD">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6BEE31CF">
      <w:pPr>
        <w:widowControl/>
        <w:jc w:val="left"/>
        <w:textAlignment w:val="center"/>
        <w:rPr>
          <w:rFonts w:ascii="Times New Roman" w:hAnsi="Times New Roman" w:eastAsia="宋体" w:cs="Times New Roman"/>
          <w:color w:val="000000"/>
          <w:kern w:val="0"/>
          <w:sz w:val="24"/>
          <w:szCs w:val="24"/>
          <w:lang w:bidi="ar"/>
        </w:rPr>
      </w:pPr>
    </w:p>
    <w:p w14:paraId="42E7EED3">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4E5A3FF4">
      <w:pPr>
        <w:widowControl/>
        <w:jc w:val="center"/>
        <w:rPr>
          <w:rFonts w:ascii="Times New Roman" w:hAnsi="Times New Roman" w:eastAsia="方正小标宋_GBK" w:cs="Times New Roman"/>
          <w:color w:val="000000"/>
          <w:kern w:val="0"/>
          <w:sz w:val="36"/>
          <w:szCs w:val="36"/>
        </w:rPr>
      </w:pPr>
    </w:p>
    <w:p w14:paraId="28B1D27E">
      <w:pPr>
        <w:pStyle w:val="7"/>
        <w:spacing w:line="400" w:lineRule="exact"/>
        <w:rPr>
          <w:rFonts w:ascii="Times New Roman" w:hAnsi="Times New Roman" w:eastAsia="华文中宋" w:cs="Times New Roman"/>
          <w:color w:val="000000"/>
          <w:kern w:val="0"/>
          <w:sz w:val="32"/>
          <w:szCs w:val="32"/>
          <w:lang w:bidi="ar"/>
        </w:rPr>
      </w:pPr>
    </w:p>
    <w:p w14:paraId="2D9FF5D4">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444BA00E">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6A2A5E37">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永州市公安干部中等专业学校</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75B86F1F">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612ED4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B6F8BB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6BADCBF9">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EA56F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424D1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11C52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0C802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5BA99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3DDDE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FDC8F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ABB6C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6DF0AB6E">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7EDC23">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519E6D">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541A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9642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2BF9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ABED68">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D4F5D9">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92F38F">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D16D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6137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8134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9893AF">
            <w:pPr>
              <w:jc w:val="center"/>
              <w:rPr>
                <w:rFonts w:ascii="Times New Roman" w:hAnsi="Times New Roman" w:eastAsia="仿宋_GB2312" w:cs="Times New Roman"/>
                <w:color w:val="000000"/>
                <w:sz w:val="22"/>
              </w:rPr>
            </w:pPr>
          </w:p>
        </w:tc>
      </w:tr>
      <w:tr w14:paraId="645567CA">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FAD7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0565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FCD6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8AF6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4399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BA70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D112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7CBA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725F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31E0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2AFD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2924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2D12CFBA">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DE053">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75D1E">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2691D">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26F0C">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E8E1F">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06534">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7C288">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671CC">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5CDD1">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286A8">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841E6">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D8171">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bl>
    <w:p w14:paraId="085C51A7">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36B497EB">
      <w:pPr>
        <w:autoSpaceDE w:val="0"/>
        <w:autoSpaceDN w:val="0"/>
        <w:adjustRightInd w:val="0"/>
        <w:ind w:left="315" w:leftChars="150"/>
        <w:jc w:val="left"/>
        <w:rPr>
          <w:rFonts w:ascii="Times New Roman" w:hAnsi="Times New Roman" w:eastAsia="宋体" w:cs="Times New Roman"/>
          <w:kern w:val="0"/>
          <w:sz w:val="24"/>
          <w:szCs w:val="24"/>
        </w:rPr>
      </w:pPr>
    </w:p>
    <w:p w14:paraId="310094DC">
      <w:pPr>
        <w:autoSpaceDE w:val="0"/>
        <w:autoSpaceDN w:val="0"/>
        <w:adjustRightInd w:val="0"/>
        <w:ind w:left="315" w:leftChars="150"/>
        <w:jc w:val="left"/>
        <w:rPr>
          <w:rFonts w:ascii="Times New Roman" w:hAnsi="Times New Roman" w:eastAsia="宋体" w:cs="Times New Roman"/>
          <w:kern w:val="0"/>
          <w:sz w:val="24"/>
          <w:szCs w:val="24"/>
        </w:rPr>
      </w:pPr>
    </w:p>
    <w:p w14:paraId="7E2BBF60">
      <w:pPr>
        <w:autoSpaceDE w:val="0"/>
        <w:autoSpaceDN w:val="0"/>
        <w:adjustRightInd w:val="0"/>
        <w:ind w:left="315" w:leftChars="150"/>
        <w:jc w:val="left"/>
        <w:rPr>
          <w:rFonts w:ascii="Times New Roman" w:hAnsi="Times New Roman" w:eastAsia="宋体" w:cs="Times New Roman"/>
          <w:kern w:val="0"/>
          <w:sz w:val="24"/>
          <w:szCs w:val="24"/>
        </w:rPr>
      </w:pPr>
    </w:p>
    <w:p w14:paraId="22BE223D">
      <w:pPr>
        <w:autoSpaceDE w:val="0"/>
        <w:autoSpaceDN w:val="0"/>
        <w:adjustRightInd w:val="0"/>
        <w:ind w:left="315" w:leftChars="150"/>
        <w:jc w:val="left"/>
        <w:rPr>
          <w:rFonts w:ascii="Times New Roman" w:hAnsi="Times New Roman" w:eastAsia="宋体" w:cs="Times New Roman"/>
          <w:kern w:val="0"/>
          <w:sz w:val="24"/>
          <w:szCs w:val="24"/>
        </w:rPr>
      </w:pPr>
    </w:p>
    <w:p w14:paraId="477407CE">
      <w:pPr>
        <w:autoSpaceDE w:val="0"/>
        <w:autoSpaceDN w:val="0"/>
        <w:adjustRightInd w:val="0"/>
        <w:ind w:left="315" w:leftChars="150"/>
        <w:jc w:val="left"/>
        <w:rPr>
          <w:rFonts w:ascii="Times New Roman" w:hAnsi="Times New Roman" w:eastAsia="宋体" w:cs="Times New Roman"/>
          <w:kern w:val="0"/>
          <w:sz w:val="24"/>
          <w:szCs w:val="24"/>
        </w:rPr>
      </w:pPr>
    </w:p>
    <w:p w14:paraId="24932014">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6F0EBC81">
      <w:pPr>
        <w:pStyle w:val="12"/>
        <w:rPr>
          <w:rFonts w:ascii="Times New Roman" w:hAnsi="Times New Roman" w:cs="Times New Roman"/>
          <w:sz w:val="72"/>
          <w:szCs w:val="72"/>
        </w:rPr>
      </w:pPr>
    </w:p>
    <w:p w14:paraId="3ED96981">
      <w:pPr>
        <w:pStyle w:val="12"/>
        <w:rPr>
          <w:rFonts w:ascii="Times New Roman" w:hAnsi="Times New Roman" w:cs="Times New Roman"/>
          <w:sz w:val="72"/>
          <w:szCs w:val="72"/>
        </w:rPr>
      </w:pPr>
    </w:p>
    <w:p w14:paraId="026446B5">
      <w:pPr>
        <w:pStyle w:val="12"/>
        <w:rPr>
          <w:rFonts w:ascii="Times New Roman" w:hAnsi="Times New Roman" w:cs="Times New Roman"/>
          <w:sz w:val="72"/>
          <w:szCs w:val="72"/>
        </w:rPr>
      </w:pPr>
    </w:p>
    <w:p w14:paraId="74C72FFA">
      <w:pPr>
        <w:pStyle w:val="12"/>
        <w:jc w:val="center"/>
        <w:rPr>
          <w:rFonts w:ascii="Times New Roman" w:hAnsi="Times New Roman" w:cs="Times New Roman"/>
          <w:sz w:val="72"/>
          <w:szCs w:val="72"/>
        </w:rPr>
      </w:pPr>
    </w:p>
    <w:p w14:paraId="16747BD4">
      <w:pPr>
        <w:pStyle w:val="12"/>
        <w:jc w:val="center"/>
        <w:rPr>
          <w:rFonts w:ascii="Times New Roman" w:hAnsi="Times New Roman" w:eastAsia="方正小标宋_GBK" w:cs="Times New Roman"/>
          <w:sz w:val="72"/>
          <w:szCs w:val="72"/>
        </w:rPr>
      </w:pPr>
    </w:p>
    <w:p w14:paraId="0A40D047">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01187954">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080A5D54">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576E80EC">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6C63C7F4">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hint="eastAsia" w:ascii="Times New Roman" w:hAnsi="Times New Roman" w:eastAsia="仿宋_GB2312" w:cs="Times New Roman"/>
          <w:sz w:val="32"/>
          <w:szCs w:val="32"/>
          <w:highlight w:val="none"/>
        </w:rPr>
        <w:t>年度收入总计816.01万元。与上年</w:t>
      </w:r>
      <w:r>
        <w:rPr>
          <w:rFonts w:hint="eastAsia" w:ascii="Times New Roman" w:hAnsi="Times New Roman" w:eastAsia="仿宋_GB2312" w:cs="Times New Roman"/>
          <w:kern w:val="0"/>
          <w:sz w:val="32"/>
          <w:szCs w:val="32"/>
          <w:highlight w:val="none"/>
          <w:lang w:val="en-US" w:eastAsia="zh-CN" w:bidi="ar-SA"/>
        </w:rPr>
        <w:t>959.34</w:t>
      </w:r>
      <w:r>
        <w:rPr>
          <w:rFonts w:hint="eastAsia" w:ascii="Times New Roman" w:hAnsi="Times New Roman" w:eastAsia="仿宋_GB2312" w:cs="Times New Roman"/>
          <w:sz w:val="32"/>
          <w:szCs w:val="32"/>
          <w:highlight w:val="none"/>
        </w:rPr>
        <w:t>万元相比，</w:t>
      </w:r>
      <w:r>
        <w:rPr>
          <w:rFonts w:hint="eastAsia" w:ascii="Times New Roman" w:hAnsi="Times New Roman" w:eastAsia="仿宋_GB2312" w:cs="Times New Roman"/>
          <w:sz w:val="32"/>
          <w:szCs w:val="32"/>
          <w:highlight w:val="none"/>
          <w:lang w:val="en-US" w:eastAsia="zh-CN"/>
        </w:rPr>
        <w:t>减少143.33</w:t>
      </w:r>
      <w:r>
        <w:rPr>
          <w:rFonts w:hint="eastAsia" w:ascii="Times New Roman" w:hAnsi="Times New Roman" w:eastAsia="仿宋_GB2312" w:cs="Times New Roman"/>
          <w:sz w:val="32"/>
          <w:szCs w:val="32"/>
          <w:highlight w:val="none"/>
        </w:rPr>
        <w:t>万元，</w:t>
      </w:r>
      <w:r>
        <w:rPr>
          <w:rFonts w:hint="eastAsia" w:ascii="Times New Roman" w:hAnsi="Times New Roman" w:eastAsia="仿宋_GB2312" w:cs="Times New Roman"/>
          <w:sz w:val="32"/>
          <w:szCs w:val="32"/>
          <w:highlight w:val="none"/>
          <w:lang w:eastAsia="zh-CN"/>
        </w:rPr>
        <w:t>降低</w:t>
      </w:r>
      <w:r>
        <w:rPr>
          <w:rFonts w:hint="eastAsia" w:ascii="Times New Roman" w:hAnsi="Times New Roman" w:eastAsia="仿宋_GB2312" w:cs="Times New Roman"/>
          <w:sz w:val="32"/>
          <w:szCs w:val="32"/>
          <w:highlight w:val="none"/>
          <w:lang w:val="en-US" w:eastAsia="zh-CN"/>
        </w:rPr>
        <w:t>14.9</w:t>
      </w:r>
      <w:r>
        <w:rPr>
          <w:rFonts w:hint="eastAsia" w:ascii="Times New Roman" w:hAnsi="Times New Roman" w:eastAsia="仿宋_GB2312" w:cs="Times New Roman"/>
          <w:sz w:val="32"/>
          <w:szCs w:val="32"/>
          <w:highlight w:val="none"/>
        </w:rPr>
        <w:t>%，主要是</w:t>
      </w:r>
      <w:r>
        <w:rPr>
          <w:rFonts w:hint="eastAsia" w:ascii="Times New Roman" w:hAnsi="Times New Roman" w:eastAsia="仿宋_GB2312" w:cs="Times New Roman"/>
          <w:sz w:val="32"/>
          <w:szCs w:val="32"/>
          <w:lang w:val="en-US" w:eastAsia="zh-CN"/>
        </w:rPr>
        <w:t>因更换财政代管账户，本年度下半年120余万的往来款未拨付至单位，且本年度也未将往来款纳入决算范围，较上年下降较为明显</w:t>
      </w:r>
      <w:r>
        <w:rPr>
          <w:rFonts w:hint="eastAsia" w:ascii="Times New Roman" w:hAnsi="Times New Roman" w:eastAsia="仿宋_GB2312" w:cs="Times New Roman"/>
          <w:sz w:val="32"/>
          <w:szCs w:val="32"/>
          <w:highlight w:val="none"/>
        </w:rPr>
        <w:t>。</w:t>
      </w:r>
    </w:p>
    <w:p w14:paraId="6A38BBAF">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hint="eastAsia" w:ascii="Times New Roman" w:hAnsi="Times New Roman" w:eastAsia="仿宋_GB2312" w:cs="Times New Roman"/>
          <w:sz w:val="32"/>
          <w:szCs w:val="32"/>
          <w:highlight w:val="none"/>
        </w:rPr>
        <w:t>年度支出总计816.01万元。与上年</w:t>
      </w:r>
      <w:r>
        <w:rPr>
          <w:rFonts w:hint="eastAsia" w:ascii="Times New Roman" w:hAnsi="Times New Roman" w:eastAsia="仿宋_GB2312" w:cs="Times New Roman"/>
          <w:kern w:val="0"/>
          <w:sz w:val="32"/>
          <w:szCs w:val="32"/>
          <w:highlight w:val="none"/>
          <w:lang w:val="en-US" w:eastAsia="zh-CN" w:bidi="ar-SA"/>
        </w:rPr>
        <w:t>959.34</w:t>
      </w:r>
      <w:r>
        <w:rPr>
          <w:rFonts w:hint="eastAsia" w:ascii="Times New Roman" w:hAnsi="Times New Roman" w:eastAsia="仿宋_GB2312" w:cs="Times New Roman"/>
          <w:sz w:val="32"/>
          <w:szCs w:val="32"/>
          <w:highlight w:val="none"/>
        </w:rPr>
        <w:t>万元相比，</w:t>
      </w:r>
      <w:r>
        <w:rPr>
          <w:rFonts w:hint="eastAsia" w:ascii="Times New Roman" w:hAnsi="Times New Roman" w:eastAsia="仿宋_GB2312" w:cs="Times New Roman"/>
          <w:sz w:val="32"/>
          <w:szCs w:val="32"/>
          <w:highlight w:val="none"/>
          <w:lang w:val="en-US" w:eastAsia="zh-CN"/>
        </w:rPr>
        <w:t>减少143.33</w:t>
      </w:r>
      <w:r>
        <w:rPr>
          <w:rFonts w:hint="eastAsia" w:ascii="Times New Roman" w:hAnsi="Times New Roman" w:eastAsia="仿宋_GB2312" w:cs="Times New Roman"/>
          <w:sz w:val="32"/>
          <w:szCs w:val="32"/>
          <w:highlight w:val="none"/>
        </w:rPr>
        <w:t>万元，</w:t>
      </w:r>
      <w:r>
        <w:rPr>
          <w:rFonts w:hint="eastAsia" w:ascii="Times New Roman" w:hAnsi="Times New Roman" w:eastAsia="仿宋_GB2312" w:cs="Times New Roman"/>
          <w:sz w:val="32"/>
          <w:szCs w:val="32"/>
          <w:highlight w:val="none"/>
          <w:lang w:eastAsia="zh-CN"/>
        </w:rPr>
        <w:t>降低</w:t>
      </w:r>
      <w:r>
        <w:rPr>
          <w:rFonts w:hint="eastAsia" w:ascii="Times New Roman" w:hAnsi="Times New Roman" w:eastAsia="仿宋_GB2312" w:cs="Times New Roman"/>
          <w:sz w:val="32"/>
          <w:szCs w:val="32"/>
          <w:highlight w:val="none"/>
          <w:lang w:val="en-US" w:eastAsia="zh-CN"/>
        </w:rPr>
        <w:t>14.9</w:t>
      </w:r>
      <w:r>
        <w:rPr>
          <w:rFonts w:hint="eastAsia" w:ascii="Times New Roman" w:hAnsi="Times New Roman" w:eastAsia="仿宋_GB2312" w:cs="Times New Roman"/>
          <w:sz w:val="32"/>
          <w:szCs w:val="32"/>
          <w:highlight w:val="none"/>
        </w:rPr>
        <w:t>%，主要是</w:t>
      </w:r>
      <w:r>
        <w:rPr>
          <w:rFonts w:hint="eastAsia" w:ascii="仿宋_GB2312" w:eastAsia="仿宋_GB2312"/>
          <w:sz w:val="32"/>
          <w:szCs w:val="32"/>
          <w:highlight w:val="none"/>
        </w:rPr>
        <w:t>因为本年度继续保持过紧日子的思想，严控各项经费开支</w:t>
      </w:r>
      <w:r>
        <w:rPr>
          <w:rFonts w:hint="eastAsia" w:ascii="Times New Roman" w:hAnsi="Times New Roman" w:eastAsia="仿宋_GB2312" w:cs="Times New Roman"/>
          <w:sz w:val="32"/>
          <w:szCs w:val="32"/>
          <w:highlight w:val="none"/>
        </w:rPr>
        <w:t>。</w:t>
      </w:r>
    </w:p>
    <w:p w14:paraId="216062E6">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w:t>
      </w:r>
    </w:p>
    <w:p w14:paraId="693E158A">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5F0305C9">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highlight w:val="none"/>
        </w:rPr>
        <w:t>816.01</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661.92</w:t>
      </w:r>
      <w:r>
        <w:rPr>
          <w:rFonts w:ascii="Times New Roman" w:hAnsi="Times New Roman" w:eastAsia="仿宋_GB2312" w:cs="Times New Roman"/>
          <w:sz w:val="32"/>
          <w:szCs w:val="32"/>
        </w:rPr>
        <w:t>万元，</w:t>
      </w:r>
      <w:r>
        <w:rPr>
          <w:rFonts w:ascii="Times New Roman" w:hAnsi="Times New Roman" w:eastAsia="仿宋_GB2312" w:cs="Times New Roman"/>
          <w:sz w:val="32"/>
          <w:szCs w:val="32"/>
          <w:highlight w:val="none"/>
        </w:rPr>
        <w:t>占</w:t>
      </w:r>
      <w:r>
        <w:rPr>
          <w:rFonts w:hint="eastAsia" w:ascii="Times New Roman" w:hAnsi="Times New Roman" w:eastAsia="仿宋_GB2312" w:cs="Times New Roman"/>
          <w:sz w:val="32"/>
          <w:szCs w:val="32"/>
          <w:highlight w:val="none"/>
          <w:lang w:val="en-US" w:eastAsia="zh-CN"/>
        </w:rPr>
        <w:t>81.12</w:t>
      </w:r>
      <w:r>
        <w:rPr>
          <w:rFonts w:ascii="Times New Roman" w:hAnsi="Times New Roman" w:eastAsia="仿宋_GB2312" w:cs="Times New Roman"/>
          <w:sz w:val="32"/>
          <w:szCs w:val="32"/>
          <w:highlight w:val="none"/>
        </w:rPr>
        <w:t>%；上级补助收入</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%；事业收入</w:t>
      </w:r>
      <w:r>
        <w:rPr>
          <w:rFonts w:hint="eastAsia" w:ascii="Times New Roman" w:hAnsi="Times New Roman" w:eastAsia="仿宋_GB2312" w:cs="Times New Roman"/>
          <w:sz w:val="32"/>
          <w:szCs w:val="32"/>
          <w:highlight w:val="none"/>
          <w:lang w:val="en-US" w:eastAsia="zh-CN"/>
        </w:rPr>
        <w:t>154.09</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lang w:val="en-US" w:eastAsia="zh-CN"/>
        </w:rPr>
        <w:t>18.88</w:t>
      </w:r>
      <w:r>
        <w:rPr>
          <w:rFonts w:ascii="Times New Roman" w:hAnsi="Times New Roman" w:eastAsia="仿宋_GB2312" w:cs="Times New Roman"/>
          <w:sz w:val="32"/>
          <w:szCs w:val="32"/>
          <w:highlight w:val="none"/>
        </w:rPr>
        <w:t>%；经营收入</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%；附属单位上缴收入</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63CE9AA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41F520E1">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highlight w:val="none"/>
        </w:rPr>
        <w:t>816.01</w:t>
      </w:r>
      <w:r>
        <w:rPr>
          <w:rFonts w:ascii="Times New Roman" w:hAnsi="Times New Roman" w:eastAsia="仿宋_GB2312" w:cs="Times New Roman"/>
          <w:sz w:val="32"/>
          <w:szCs w:val="32"/>
        </w:rPr>
        <w:t>万元，其中：其中：基本支出</w:t>
      </w:r>
      <w:r>
        <w:rPr>
          <w:rFonts w:hint="eastAsia" w:ascii="Times New Roman" w:hAnsi="Times New Roman" w:eastAsia="仿宋_GB2312" w:cs="Times New Roman"/>
          <w:sz w:val="32"/>
          <w:szCs w:val="32"/>
          <w:lang w:val="en-US" w:eastAsia="zh-CN"/>
        </w:rPr>
        <w:t>661.92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highlight w:val="none"/>
          <w:lang w:val="en-US" w:eastAsia="zh-CN"/>
        </w:rPr>
        <w:t>81.12</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highlight w:val="none"/>
          <w:lang w:val="en-US" w:eastAsia="zh-CN"/>
        </w:rPr>
        <w:t>154.09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highlight w:val="none"/>
          <w:lang w:val="en-US" w:eastAsia="zh-CN"/>
        </w:rPr>
        <w:t>18.88</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6634388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74C4F1F9">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hint="eastAsia" w:ascii="Times New Roman" w:hAnsi="Times New Roman" w:eastAsia="仿宋_GB2312" w:cs="Times New Roman"/>
          <w:sz w:val="32"/>
          <w:szCs w:val="32"/>
          <w:highlight w:val="none"/>
        </w:rPr>
        <w:t>年度财政拨款收入总计</w:t>
      </w:r>
      <w:r>
        <w:rPr>
          <w:rFonts w:hint="eastAsia" w:ascii="Times New Roman" w:hAnsi="Times New Roman" w:eastAsia="仿宋_GB2312" w:cs="Times New Roman"/>
          <w:sz w:val="32"/>
          <w:szCs w:val="32"/>
          <w:lang w:val="en-US" w:eastAsia="zh-CN"/>
        </w:rPr>
        <w:t>661.92</w:t>
      </w:r>
      <w:r>
        <w:rPr>
          <w:rFonts w:hint="eastAsia" w:ascii="Times New Roman" w:hAnsi="Times New Roman" w:eastAsia="仿宋_GB2312" w:cs="Times New Roman"/>
          <w:sz w:val="32"/>
          <w:szCs w:val="32"/>
          <w:highlight w:val="none"/>
        </w:rPr>
        <w:t>万元，与上年</w:t>
      </w:r>
      <w:r>
        <w:rPr>
          <w:rFonts w:hint="eastAsia" w:ascii="Times New Roman" w:hAnsi="Times New Roman" w:eastAsia="仿宋_GB2312" w:cs="Times New Roman"/>
          <w:sz w:val="32"/>
          <w:szCs w:val="32"/>
          <w:highlight w:val="none"/>
          <w:lang w:val="en-US" w:eastAsia="zh-CN"/>
        </w:rPr>
        <w:t>594.12</w:t>
      </w:r>
      <w:r>
        <w:rPr>
          <w:rFonts w:hint="eastAsia" w:ascii="Times New Roman" w:hAnsi="Times New Roman" w:eastAsia="仿宋_GB2312" w:cs="Times New Roman"/>
          <w:sz w:val="32"/>
          <w:szCs w:val="32"/>
          <w:highlight w:val="none"/>
        </w:rPr>
        <w:t>万元相比，</w:t>
      </w:r>
      <w:r>
        <w:rPr>
          <w:rFonts w:hint="eastAsia" w:ascii="Times New Roman" w:hAnsi="Times New Roman" w:eastAsia="仿宋_GB2312" w:cs="Times New Roman"/>
          <w:sz w:val="32"/>
          <w:szCs w:val="32"/>
          <w:lang w:val="en-US" w:eastAsia="zh-CN"/>
        </w:rPr>
        <w:t>增加67.8万元</w:t>
      </w:r>
      <w:r>
        <w:rPr>
          <w:rFonts w:hint="eastAsia" w:ascii="Times New Roman" w:hAnsi="Times New Roman" w:eastAsia="仿宋_GB2312" w:cs="Times New Roman"/>
          <w:sz w:val="32"/>
          <w:szCs w:val="32"/>
          <w:highlight w:val="none"/>
          <w:lang w:eastAsia="zh-CN"/>
        </w:rPr>
        <w:t>，提高</w:t>
      </w:r>
      <w:r>
        <w:rPr>
          <w:rFonts w:hint="eastAsia" w:ascii="Times New Roman" w:hAnsi="Times New Roman" w:eastAsia="仿宋_GB2312" w:cs="Times New Roman"/>
          <w:sz w:val="32"/>
          <w:szCs w:val="32"/>
          <w:highlight w:val="none"/>
          <w:lang w:val="en-US" w:eastAsia="zh-CN"/>
        </w:rPr>
        <w:t>11.41</w:t>
      </w:r>
      <w:r>
        <w:rPr>
          <w:rFonts w:hint="eastAsia" w:ascii="Times New Roman" w:hAnsi="Times New Roman" w:eastAsia="仿宋_GB2312" w:cs="Times New Roman"/>
          <w:sz w:val="32"/>
          <w:szCs w:val="32"/>
          <w:highlight w:val="none"/>
        </w:rPr>
        <w:t>%，主要是</w:t>
      </w:r>
      <w:r>
        <w:rPr>
          <w:rFonts w:hint="eastAsia" w:ascii="Times New Roman" w:hAnsi="Times New Roman" w:eastAsia="仿宋_GB2312" w:cs="Times New Roman"/>
          <w:sz w:val="32"/>
          <w:szCs w:val="32"/>
          <w:highlight w:val="none"/>
          <w:lang w:eastAsia="zh-CN"/>
        </w:rPr>
        <w:t>因为本年度单位履职任务增加，加大经费保障力度；同时受工资调标影响，人员经费同步增加，使得本年度财政拨款收入有所增长</w:t>
      </w:r>
      <w:r>
        <w:rPr>
          <w:rFonts w:hint="eastAsia" w:ascii="Times New Roman" w:hAnsi="Times New Roman" w:eastAsia="仿宋_GB2312" w:cs="Times New Roman"/>
          <w:sz w:val="32"/>
          <w:szCs w:val="32"/>
          <w:highlight w:val="none"/>
        </w:rPr>
        <w:t>。</w:t>
      </w:r>
    </w:p>
    <w:p w14:paraId="06215A99">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hint="eastAsia" w:ascii="Times New Roman" w:hAnsi="Times New Roman" w:eastAsia="仿宋_GB2312" w:cs="Times New Roman"/>
          <w:sz w:val="32"/>
          <w:szCs w:val="32"/>
          <w:highlight w:val="none"/>
        </w:rPr>
        <w:t>年度财政拨款支出总计</w:t>
      </w:r>
      <w:r>
        <w:rPr>
          <w:rFonts w:hint="eastAsia" w:ascii="Times New Roman" w:hAnsi="Times New Roman" w:eastAsia="仿宋_GB2312" w:cs="Times New Roman"/>
          <w:sz w:val="32"/>
          <w:szCs w:val="32"/>
          <w:lang w:val="en-US" w:eastAsia="zh-CN"/>
        </w:rPr>
        <w:t>661.92</w:t>
      </w:r>
      <w:r>
        <w:rPr>
          <w:rFonts w:hint="eastAsia" w:ascii="Times New Roman" w:hAnsi="Times New Roman" w:eastAsia="仿宋_GB2312" w:cs="Times New Roman"/>
          <w:sz w:val="32"/>
          <w:szCs w:val="32"/>
          <w:highlight w:val="none"/>
        </w:rPr>
        <w:t>万元，与上年</w:t>
      </w:r>
      <w:r>
        <w:rPr>
          <w:rFonts w:hint="eastAsia" w:ascii="Times New Roman" w:hAnsi="Times New Roman" w:eastAsia="仿宋_GB2312" w:cs="Times New Roman"/>
          <w:sz w:val="32"/>
          <w:szCs w:val="32"/>
          <w:highlight w:val="none"/>
          <w:lang w:val="en-US" w:eastAsia="zh-CN"/>
        </w:rPr>
        <w:t>594.12</w:t>
      </w:r>
      <w:r>
        <w:rPr>
          <w:rFonts w:hint="eastAsia" w:ascii="Times New Roman" w:hAnsi="Times New Roman" w:eastAsia="仿宋_GB2312" w:cs="Times New Roman"/>
          <w:sz w:val="32"/>
          <w:szCs w:val="32"/>
          <w:highlight w:val="none"/>
        </w:rPr>
        <w:t>万元相比，</w:t>
      </w:r>
      <w:r>
        <w:rPr>
          <w:rFonts w:hint="eastAsia" w:ascii="Times New Roman" w:hAnsi="Times New Roman" w:eastAsia="仿宋_GB2312" w:cs="Times New Roman"/>
          <w:sz w:val="32"/>
          <w:szCs w:val="32"/>
          <w:lang w:val="en-US" w:eastAsia="zh-CN"/>
        </w:rPr>
        <w:t>增加67.8万元</w:t>
      </w:r>
      <w:r>
        <w:rPr>
          <w:rFonts w:hint="eastAsia" w:ascii="Times New Roman" w:hAnsi="Times New Roman" w:eastAsia="仿宋_GB2312" w:cs="Times New Roman"/>
          <w:sz w:val="32"/>
          <w:szCs w:val="32"/>
          <w:highlight w:val="none"/>
          <w:lang w:eastAsia="zh-CN"/>
        </w:rPr>
        <w:t>，提高</w:t>
      </w:r>
      <w:r>
        <w:rPr>
          <w:rFonts w:hint="eastAsia" w:ascii="Times New Roman" w:hAnsi="Times New Roman" w:eastAsia="仿宋_GB2312" w:cs="Times New Roman"/>
          <w:sz w:val="32"/>
          <w:szCs w:val="32"/>
          <w:highlight w:val="none"/>
          <w:lang w:val="en-US" w:eastAsia="zh-CN"/>
        </w:rPr>
        <w:t>11.41</w:t>
      </w:r>
      <w:r>
        <w:rPr>
          <w:rFonts w:hint="eastAsia" w:ascii="Times New Roman" w:hAnsi="Times New Roman" w:eastAsia="仿宋_GB2312" w:cs="Times New Roman"/>
          <w:sz w:val="32"/>
          <w:szCs w:val="32"/>
          <w:highlight w:val="none"/>
        </w:rPr>
        <w:t>%，主要是因为</w:t>
      </w:r>
      <w:r>
        <w:rPr>
          <w:rFonts w:hint="eastAsia" w:ascii="Times New Roman" w:hAnsi="Times New Roman" w:eastAsia="仿宋_GB2312" w:cs="Times New Roman"/>
          <w:sz w:val="32"/>
          <w:szCs w:val="32"/>
          <w:lang w:val="en-US" w:eastAsia="zh-CN"/>
        </w:rPr>
        <w:t>单位履职任务增加，对应业务工作经费支出相应增多，且补发2025年调标部分工资，人员经费支出有所上升</w:t>
      </w:r>
      <w:r>
        <w:rPr>
          <w:rFonts w:hint="eastAsia" w:ascii="Times New Roman" w:hAnsi="Times New Roman" w:eastAsia="仿宋_GB2312" w:cs="Times New Roman"/>
          <w:sz w:val="32"/>
          <w:szCs w:val="32"/>
        </w:rPr>
        <w:t>。</w:t>
      </w:r>
    </w:p>
    <w:p w14:paraId="5BE42381">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2CBEC3CA">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1CEB2785">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661.92</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highlight w:val="none"/>
          <w:lang w:val="en-US" w:eastAsia="zh-CN"/>
        </w:rPr>
        <w:t>81.12</w:t>
      </w:r>
      <w:r>
        <w:rPr>
          <w:rFonts w:ascii="Times New Roman" w:hAnsi="Times New Roman" w:eastAsia="仿宋_GB2312" w:cs="Times New Roman"/>
          <w:sz w:val="32"/>
          <w:szCs w:val="32"/>
        </w:rPr>
        <w:t>%，与上年</w:t>
      </w:r>
      <w:r>
        <w:rPr>
          <w:rFonts w:hint="eastAsia" w:ascii="Times New Roman" w:hAnsi="Times New Roman" w:eastAsia="仿宋_GB2312" w:cs="Times New Roman"/>
          <w:sz w:val="32"/>
          <w:szCs w:val="32"/>
          <w:highlight w:val="none"/>
          <w:lang w:val="en-US" w:eastAsia="zh-CN"/>
        </w:rPr>
        <w:t>594.12</w:t>
      </w:r>
      <w:r>
        <w:rPr>
          <w:rFonts w:ascii="Times New Roman" w:hAnsi="Times New Roman" w:eastAsia="仿宋_GB2312" w:cs="Times New Roman"/>
          <w:sz w:val="32"/>
          <w:szCs w:val="32"/>
        </w:rPr>
        <w:t>万元相比，财政拨款支出</w:t>
      </w:r>
      <w:r>
        <w:rPr>
          <w:rFonts w:hint="eastAsia" w:ascii="Times New Roman" w:hAnsi="Times New Roman" w:eastAsia="仿宋_GB2312" w:cs="Times New Roman"/>
          <w:sz w:val="32"/>
          <w:szCs w:val="32"/>
          <w:lang w:val="en-US" w:eastAsia="zh-CN"/>
        </w:rPr>
        <w:t>67.8万元</w:t>
      </w:r>
      <w:r>
        <w:rPr>
          <w:rFonts w:ascii="Times New Roman" w:hAnsi="Times New Roman" w:eastAsia="仿宋_GB2312" w:cs="Times New Roman"/>
          <w:sz w:val="32"/>
          <w:szCs w:val="32"/>
        </w:rPr>
        <w:t>，增长</w:t>
      </w:r>
      <w:r>
        <w:rPr>
          <w:rFonts w:hint="eastAsia" w:ascii="Times New Roman" w:hAnsi="Times New Roman" w:eastAsia="仿宋_GB2312" w:cs="Times New Roman"/>
          <w:sz w:val="32"/>
          <w:szCs w:val="32"/>
          <w:highlight w:val="none"/>
          <w:lang w:val="en-US" w:eastAsia="zh-CN"/>
        </w:rPr>
        <w:t>11.41</w:t>
      </w:r>
      <w:r>
        <w:rPr>
          <w:rFonts w:hint="eastAsia" w:ascii="Times New Roman" w:hAnsi="Times New Roman" w:eastAsia="仿宋_GB2312" w:cs="Times New Roman"/>
          <w:sz w:val="32"/>
          <w:szCs w:val="32"/>
          <w:highlight w:val="none"/>
        </w:rPr>
        <w:t>%</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单位履职任务增加，对应业务工作经费支出相应增多，且补发2025年调标部分工资，人员经费支出有所上升。</w:t>
      </w:r>
    </w:p>
    <w:p w14:paraId="5FEE57CA">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6906BC0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661.92</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rPr>
        <w:t>公共安全</w:t>
      </w:r>
      <w:r>
        <w:rPr>
          <w:rFonts w:ascii="Times New Roman" w:hAnsi="Times New Roman" w:eastAsia="仿宋_GB2312" w:cs="Times New Roman"/>
          <w:sz w:val="32"/>
          <w:szCs w:val="32"/>
        </w:rPr>
        <w:t>支</w:t>
      </w:r>
      <w:r>
        <w:rPr>
          <w:rFonts w:ascii="Times New Roman" w:hAnsi="Times New Roman" w:eastAsia="仿宋_GB2312" w:cs="Times New Roman"/>
          <w:sz w:val="32"/>
          <w:szCs w:val="32"/>
          <w:highlight w:val="none"/>
        </w:rPr>
        <w:t>出</w:t>
      </w:r>
      <w:r>
        <w:rPr>
          <w:rFonts w:hint="eastAsia" w:ascii="Times New Roman" w:hAnsi="Times New Roman" w:eastAsia="仿宋_GB2312" w:cs="Times New Roman"/>
          <w:sz w:val="32"/>
          <w:szCs w:val="32"/>
          <w:highlight w:val="none"/>
        </w:rPr>
        <w:t>513.17</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lang w:val="en-US" w:eastAsia="zh-CN"/>
        </w:rPr>
        <w:t>77.53</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rPr>
        <w:t>社会保障和就业支出84.89</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lang w:val="en-US" w:eastAsia="zh-CN"/>
        </w:rPr>
        <w:t>12.82</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sz w:val="32"/>
          <w:szCs w:val="32"/>
          <w:highlight w:val="none"/>
        </w:rPr>
        <w:t>卫生健康支出23.1万元，占</w:t>
      </w:r>
      <w:r>
        <w:rPr>
          <w:rFonts w:hint="eastAsia" w:ascii="Times New Roman" w:hAnsi="Times New Roman" w:eastAsia="仿宋_GB2312"/>
          <w:sz w:val="32"/>
          <w:szCs w:val="32"/>
          <w:highlight w:val="none"/>
          <w:lang w:val="en-US" w:eastAsia="zh-CN"/>
        </w:rPr>
        <w:t>3.49</w:t>
      </w:r>
      <w:r>
        <w:rPr>
          <w:rFonts w:hint="eastAsia" w:ascii="Times New Roman" w:hAnsi="Times New Roman" w:eastAsia="仿宋_GB2312"/>
          <w:sz w:val="32"/>
          <w:szCs w:val="32"/>
          <w:highlight w:val="none"/>
        </w:rPr>
        <w:t>%；住房保障支出40.75万元，占</w:t>
      </w:r>
      <w:r>
        <w:rPr>
          <w:rFonts w:hint="eastAsia" w:ascii="Times New Roman" w:hAnsi="Times New Roman" w:eastAsia="仿宋_GB2312"/>
          <w:sz w:val="32"/>
          <w:szCs w:val="32"/>
          <w:highlight w:val="none"/>
          <w:lang w:val="en-US" w:eastAsia="zh-CN"/>
        </w:rPr>
        <w:t>6.16</w:t>
      </w:r>
      <w:r>
        <w:rPr>
          <w:rFonts w:hint="eastAsia" w:ascii="Times New Roman" w:hAnsi="Times New Roman" w:eastAsia="仿宋_GB2312"/>
          <w:sz w:val="32"/>
          <w:szCs w:val="32"/>
          <w:highlight w:val="none"/>
        </w:rPr>
        <w:t>%</w:t>
      </w:r>
      <w:r>
        <w:rPr>
          <w:rFonts w:hint="eastAsia" w:ascii="Times New Roman" w:hAnsi="Times New Roman" w:eastAsia="仿宋_GB2312"/>
          <w:sz w:val="32"/>
          <w:szCs w:val="32"/>
          <w:highlight w:val="none"/>
          <w:lang w:eastAsia="zh-CN"/>
        </w:rPr>
        <w:t>。</w:t>
      </w:r>
    </w:p>
    <w:p w14:paraId="2F36EC6B">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38375E49">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788.14</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661.92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103.54</w:t>
      </w:r>
      <w:r>
        <w:rPr>
          <w:rFonts w:ascii="Times New Roman" w:hAnsi="Times New Roman" w:eastAsia="仿宋_GB2312" w:cs="Times New Roman"/>
          <w:sz w:val="32"/>
          <w:szCs w:val="32"/>
        </w:rPr>
        <w:t>%，其中：</w:t>
      </w:r>
    </w:p>
    <w:p w14:paraId="756FA7C1">
      <w:pPr>
        <w:pStyle w:val="12"/>
        <w:spacing w:line="600" w:lineRule="exact"/>
        <w:ind w:firstLine="800" w:firstLineChars="250"/>
        <w:rPr>
          <w:rFonts w:ascii="Times New Roman" w:hAnsi="Times New Roman" w:eastAsia="仿宋_GB2312"/>
          <w:sz w:val="32"/>
          <w:szCs w:val="32"/>
          <w:highlight w:val="none"/>
        </w:rPr>
      </w:pPr>
      <w:r>
        <w:rPr>
          <w:rFonts w:hint="eastAsia" w:ascii="Times New Roman" w:hAnsi="Times New Roman" w:eastAsia="仿宋_GB2312"/>
          <w:sz w:val="32"/>
          <w:szCs w:val="32"/>
          <w:highlight w:val="none"/>
        </w:rPr>
        <w:t>1、住房保障支出（类）住房改革支出（款）住房公积金（项）。</w:t>
      </w:r>
    </w:p>
    <w:p w14:paraId="793A44D7">
      <w:pPr>
        <w:pStyle w:val="12"/>
        <w:spacing w:line="600" w:lineRule="exact"/>
        <w:ind w:firstLine="800" w:firstLineChars="250"/>
        <w:rPr>
          <w:rFonts w:ascii="Times New Roman" w:hAnsi="Times New Roman" w:eastAsia="仿宋_GB2312"/>
          <w:sz w:val="32"/>
          <w:szCs w:val="32"/>
          <w:highlight w:val="none"/>
        </w:rPr>
      </w:pPr>
      <w:r>
        <w:rPr>
          <w:rFonts w:hint="eastAsia" w:ascii="Times New Roman" w:hAnsi="Times New Roman" w:eastAsia="仿宋_GB2312"/>
          <w:sz w:val="32"/>
          <w:szCs w:val="32"/>
          <w:highlight w:val="none"/>
        </w:rPr>
        <w:t>年初预算为40.75万元，支出决算为40.75万元，完成年初预算的</w:t>
      </w:r>
      <w:r>
        <w:rPr>
          <w:rFonts w:hint="eastAsia" w:ascii="Times New Roman" w:hAnsi="Times New Roman" w:eastAsia="仿宋_GB2312"/>
          <w:sz w:val="32"/>
          <w:szCs w:val="32"/>
          <w:highlight w:val="none"/>
          <w:lang w:val="en-US" w:eastAsia="zh-CN"/>
        </w:rPr>
        <w:t>100</w:t>
      </w:r>
      <w:r>
        <w:rPr>
          <w:rFonts w:hint="eastAsia" w:ascii="Times New Roman" w:hAnsi="Times New Roman" w:eastAsia="仿宋_GB2312"/>
          <w:sz w:val="32"/>
          <w:szCs w:val="32"/>
          <w:highlight w:val="none"/>
        </w:rPr>
        <w:t>%，全年住房公积金支出</w:t>
      </w:r>
      <w:r>
        <w:rPr>
          <w:rFonts w:hint="eastAsia" w:ascii="Times New Roman" w:hAnsi="Times New Roman" w:eastAsia="仿宋_GB2312"/>
          <w:sz w:val="32"/>
          <w:szCs w:val="32"/>
          <w:highlight w:val="none"/>
          <w:lang w:eastAsia="zh-CN"/>
        </w:rPr>
        <w:t>符合</w:t>
      </w:r>
      <w:r>
        <w:rPr>
          <w:rFonts w:hint="eastAsia" w:ascii="Times New Roman" w:hAnsi="Times New Roman" w:eastAsia="仿宋_GB2312"/>
          <w:sz w:val="32"/>
          <w:szCs w:val="32"/>
          <w:highlight w:val="none"/>
        </w:rPr>
        <w:t>年初预算。</w:t>
      </w:r>
    </w:p>
    <w:p w14:paraId="26B4C7C0">
      <w:pPr>
        <w:pStyle w:val="12"/>
        <w:spacing w:line="600" w:lineRule="exact"/>
        <w:ind w:firstLine="800" w:firstLineChars="250"/>
        <w:rPr>
          <w:rFonts w:ascii="Times New Roman" w:hAnsi="Times New Roman" w:eastAsia="仿宋_GB2312"/>
          <w:sz w:val="32"/>
          <w:szCs w:val="32"/>
          <w:highlight w:val="none"/>
        </w:rPr>
      </w:pPr>
      <w:r>
        <w:rPr>
          <w:rFonts w:hint="eastAsia" w:ascii="Times New Roman" w:hAnsi="Times New Roman" w:eastAsia="仿宋_GB2312"/>
          <w:sz w:val="32"/>
          <w:szCs w:val="32"/>
          <w:highlight w:val="none"/>
        </w:rPr>
        <w:t>2、公共安全（类）公安（款）事业运行（项）。</w:t>
      </w:r>
    </w:p>
    <w:p w14:paraId="41C37C04">
      <w:pPr>
        <w:pStyle w:val="12"/>
        <w:spacing w:line="600" w:lineRule="exact"/>
        <w:ind w:firstLine="800" w:firstLineChars="250"/>
        <w:rPr>
          <w:rFonts w:ascii="Times New Roman" w:hAnsi="Times New Roman" w:eastAsia="仿宋_GB2312"/>
          <w:sz w:val="32"/>
          <w:szCs w:val="32"/>
          <w:highlight w:val="none"/>
        </w:rPr>
      </w:pPr>
      <w:r>
        <w:rPr>
          <w:rFonts w:hint="eastAsia" w:ascii="Times New Roman" w:hAnsi="Times New Roman" w:eastAsia="仿宋_GB2312"/>
          <w:sz w:val="32"/>
          <w:szCs w:val="32"/>
          <w:highlight w:val="none"/>
        </w:rPr>
        <w:t>年初预算为</w:t>
      </w:r>
      <w:r>
        <w:rPr>
          <w:rFonts w:hint="eastAsia" w:ascii="Times New Roman" w:hAnsi="Times New Roman" w:eastAsia="仿宋_GB2312"/>
          <w:sz w:val="32"/>
          <w:szCs w:val="32"/>
          <w:highlight w:val="none"/>
          <w:lang w:val="en-US" w:eastAsia="zh-CN"/>
        </w:rPr>
        <w:t>496.99</w:t>
      </w:r>
      <w:r>
        <w:rPr>
          <w:rFonts w:hint="eastAsia" w:ascii="Times New Roman" w:hAnsi="Times New Roman" w:eastAsia="仿宋_GB2312"/>
          <w:sz w:val="32"/>
          <w:szCs w:val="32"/>
          <w:highlight w:val="none"/>
        </w:rPr>
        <w:t>万元，支出决算为</w:t>
      </w:r>
      <w:r>
        <w:rPr>
          <w:rFonts w:hint="eastAsia" w:ascii="Times New Roman" w:hAnsi="Times New Roman" w:eastAsia="仿宋_GB2312"/>
          <w:sz w:val="32"/>
          <w:szCs w:val="32"/>
          <w:highlight w:val="none"/>
          <w:lang w:val="en-US" w:eastAsia="zh-CN"/>
        </w:rPr>
        <w:t>513.17</w:t>
      </w:r>
      <w:r>
        <w:rPr>
          <w:rFonts w:hint="eastAsia" w:ascii="Times New Roman" w:hAnsi="Times New Roman" w:eastAsia="仿宋_GB2312"/>
          <w:sz w:val="32"/>
          <w:szCs w:val="32"/>
          <w:highlight w:val="none"/>
        </w:rPr>
        <w:t>万元，完成年初预算的</w:t>
      </w:r>
      <w:r>
        <w:rPr>
          <w:rFonts w:hint="eastAsia" w:ascii="Times New Roman" w:hAnsi="Times New Roman" w:eastAsia="仿宋_GB2312"/>
          <w:sz w:val="32"/>
          <w:szCs w:val="32"/>
          <w:highlight w:val="none"/>
          <w:lang w:val="en-US" w:eastAsia="zh-CN"/>
        </w:rPr>
        <w:t>103.26</w:t>
      </w:r>
      <w:r>
        <w:rPr>
          <w:rFonts w:hint="eastAsia" w:ascii="Times New Roman" w:hAnsi="Times New Roman" w:eastAsia="仿宋_GB2312"/>
          <w:sz w:val="32"/>
          <w:szCs w:val="32"/>
          <w:highlight w:val="none"/>
        </w:rPr>
        <w:t>%，决算数</w:t>
      </w:r>
      <w:r>
        <w:rPr>
          <w:rFonts w:hint="eastAsia" w:ascii="Times New Roman" w:hAnsi="Times New Roman" w:eastAsia="仿宋_GB2312"/>
          <w:sz w:val="32"/>
          <w:szCs w:val="32"/>
          <w:highlight w:val="none"/>
          <w:lang w:eastAsia="zh-CN"/>
        </w:rPr>
        <w:t>大于</w:t>
      </w:r>
      <w:r>
        <w:rPr>
          <w:rFonts w:hint="eastAsia" w:ascii="Times New Roman" w:hAnsi="Times New Roman" w:eastAsia="仿宋_GB2312"/>
          <w:sz w:val="32"/>
          <w:szCs w:val="32"/>
          <w:highlight w:val="none"/>
        </w:rPr>
        <w:t>年初预算数的主要原因是</w:t>
      </w:r>
      <w:r>
        <w:rPr>
          <w:rFonts w:hint="eastAsia" w:ascii="Times New Roman" w:hAnsi="Times New Roman" w:eastAsia="仿宋_GB2312"/>
          <w:sz w:val="32"/>
          <w:szCs w:val="32"/>
          <w:highlight w:val="none"/>
          <w:lang w:eastAsia="zh-CN"/>
        </w:rPr>
        <w:t>本年度公务员工资调标，且增资标准晚于预算发布，导致人员经费支出较年初预算有所增加</w:t>
      </w:r>
      <w:r>
        <w:rPr>
          <w:rFonts w:hint="eastAsia" w:ascii="Times New Roman" w:hAnsi="Times New Roman" w:eastAsia="仿宋_GB2312"/>
          <w:sz w:val="32"/>
          <w:szCs w:val="32"/>
          <w:highlight w:val="none"/>
        </w:rPr>
        <w:t>。</w:t>
      </w:r>
    </w:p>
    <w:p w14:paraId="634FDD2A">
      <w:pPr>
        <w:pStyle w:val="12"/>
        <w:spacing w:line="600" w:lineRule="exact"/>
        <w:ind w:firstLine="800" w:firstLineChars="250"/>
        <w:rPr>
          <w:rFonts w:ascii="Times New Roman" w:hAnsi="Times New Roman" w:eastAsia="仿宋_GB2312"/>
          <w:sz w:val="32"/>
          <w:szCs w:val="32"/>
          <w:highlight w:val="none"/>
        </w:rPr>
      </w:pPr>
      <w:r>
        <w:rPr>
          <w:rFonts w:hint="eastAsia" w:ascii="Times New Roman" w:hAnsi="Times New Roman" w:eastAsia="仿宋_GB2312"/>
          <w:sz w:val="32"/>
          <w:szCs w:val="32"/>
          <w:highlight w:val="none"/>
        </w:rPr>
        <w:t>3、卫生健康（类）行政事业单位医疗（款）公务员医疗补助（项）。</w:t>
      </w:r>
    </w:p>
    <w:p w14:paraId="22C829CD">
      <w:pPr>
        <w:pStyle w:val="12"/>
        <w:spacing w:line="600" w:lineRule="exact"/>
        <w:ind w:firstLine="800" w:firstLineChars="250"/>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年初预算为0万元，支出决算为</w:t>
      </w:r>
      <w:r>
        <w:rPr>
          <w:rFonts w:hint="eastAsia" w:ascii="Times New Roman" w:hAnsi="Times New Roman" w:eastAsia="仿宋_GB2312"/>
          <w:sz w:val="32"/>
          <w:szCs w:val="32"/>
          <w:highlight w:val="none"/>
          <w:lang w:val="en-US" w:eastAsia="zh-CN"/>
        </w:rPr>
        <w:t>1.86</w:t>
      </w:r>
      <w:r>
        <w:rPr>
          <w:rFonts w:hint="eastAsia" w:ascii="Times New Roman" w:hAnsi="Times New Roman" w:eastAsia="仿宋_GB2312"/>
          <w:sz w:val="32"/>
          <w:szCs w:val="32"/>
          <w:highlight w:val="none"/>
        </w:rPr>
        <w:t>万元，决算数大于年初预算数的主要原因是年初预算未安排，为年中追加安排的公务员医疗补助费用。</w:t>
      </w:r>
    </w:p>
    <w:p w14:paraId="39419435">
      <w:pPr>
        <w:pStyle w:val="12"/>
        <w:spacing w:line="600" w:lineRule="exact"/>
        <w:ind w:firstLine="800" w:firstLineChars="250"/>
        <w:rPr>
          <w:rFonts w:ascii="Times New Roman" w:hAnsi="Times New Roman" w:eastAsia="仿宋_GB2312"/>
          <w:sz w:val="32"/>
          <w:szCs w:val="32"/>
          <w:highlight w:val="none"/>
        </w:rPr>
      </w:pPr>
      <w:r>
        <w:rPr>
          <w:rFonts w:hint="eastAsia" w:ascii="Times New Roman" w:hAnsi="Times New Roman" w:eastAsia="仿宋_GB2312"/>
          <w:sz w:val="32"/>
          <w:szCs w:val="32"/>
          <w:highlight w:val="none"/>
          <w:lang w:val="en-US" w:eastAsia="zh-CN"/>
        </w:rPr>
        <w:t>4、</w:t>
      </w:r>
      <w:r>
        <w:rPr>
          <w:rFonts w:hint="eastAsia" w:ascii="Times New Roman" w:hAnsi="Times New Roman" w:eastAsia="仿宋_GB2312"/>
          <w:sz w:val="32"/>
          <w:szCs w:val="32"/>
          <w:highlight w:val="none"/>
        </w:rPr>
        <w:t>卫生健康（类）行政事业单位医疗（款）</w:t>
      </w:r>
      <w:r>
        <w:rPr>
          <w:rFonts w:hint="eastAsia" w:ascii="Times New Roman" w:hAnsi="Times New Roman" w:eastAsia="仿宋_GB2312"/>
          <w:sz w:val="32"/>
          <w:szCs w:val="32"/>
          <w:highlight w:val="none"/>
          <w:lang w:eastAsia="zh-CN"/>
        </w:rPr>
        <w:t>行政单位医疗</w:t>
      </w:r>
      <w:r>
        <w:rPr>
          <w:rFonts w:hint="eastAsia" w:ascii="Times New Roman" w:hAnsi="Times New Roman" w:eastAsia="仿宋_GB2312"/>
          <w:sz w:val="32"/>
          <w:szCs w:val="32"/>
          <w:highlight w:val="none"/>
        </w:rPr>
        <w:t>（项）。</w:t>
      </w:r>
    </w:p>
    <w:p w14:paraId="18DE18BD">
      <w:pPr>
        <w:pStyle w:val="12"/>
        <w:spacing w:line="600" w:lineRule="exact"/>
        <w:ind w:firstLine="800" w:firstLineChars="250"/>
        <w:rPr>
          <w:rFonts w:hint="eastAsia" w:ascii="Times New Roman" w:hAnsi="Times New Roman" w:eastAsia="仿宋_GB2312"/>
          <w:sz w:val="32"/>
          <w:szCs w:val="32"/>
          <w:highlight w:val="none"/>
          <w:lang w:eastAsia="zh-CN"/>
        </w:rPr>
      </w:pPr>
      <w:r>
        <w:rPr>
          <w:rFonts w:hint="eastAsia" w:ascii="Times New Roman" w:hAnsi="Times New Roman" w:eastAsia="仿宋_GB2312"/>
          <w:sz w:val="32"/>
          <w:szCs w:val="32"/>
          <w:highlight w:val="none"/>
        </w:rPr>
        <w:t>年初预算为</w:t>
      </w:r>
      <w:r>
        <w:rPr>
          <w:rFonts w:hint="eastAsia" w:ascii="Times New Roman" w:hAnsi="Times New Roman" w:eastAsia="仿宋_GB2312"/>
          <w:sz w:val="32"/>
          <w:szCs w:val="32"/>
          <w:highlight w:val="none"/>
          <w:lang w:val="en-US" w:eastAsia="zh-CN"/>
        </w:rPr>
        <w:t>21.24</w:t>
      </w:r>
      <w:r>
        <w:rPr>
          <w:rFonts w:hint="eastAsia" w:ascii="Times New Roman" w:hAnsi="Times New Roman" w:eastAsia="仿宋_GB2312"/>
          <w:sz w:val="32"/>
          <w:szCs w:val="32"/>
          <w:highlight w:val="none"/>
        </w:rPr>
        <w:t>万元，支出决算为</w:t>
      </w:r>
      <w:r>
        <w:rPr>
          <w:rFonts w:hint="eastAsia" w:ascii="Times New Roman" w:hAnsi="Times New Roman" w:eastAsia="仿宋_GB2312"/>
          <w:sz w:val="32"/>
          <w:szCs w:val="32"/>
          <w:highlight w:val="none"/>
          <w:lang w:val="en-US" w:eastAsia="zh-CN"/>
        </w:rPr>
        <w:t>21.24</w:t>
      </w:r>
      <w:r>
        <w:rPr>
          <w:rFonts w:hint="eastAsia" w:ascii="Times New Roman" w:hAnsi="Times New Roman" w:eastAsia="仿宋_GB2312"/>
          <w:sz w:val="32"/>
          <w:szCs w:val="32"/>
          <w:highlight w:val="none"/>
        </w:rPr>
        <w:t>万元，完成年初预算的</w:t>
      </w:r>
      <w:r>
        <w:rPr>
          <w:rFonts w:hint="eastAsia" w:ascii="Times New Roman" w:hAnsi="Times New Roman" w:eastAsia="仿宋_GB2312"/>
          <w:sz w:val="32"/>
          <w:szCs w:val="32"/>
          <w:highlight w:val="none"/>
          <w:lang w:val="en-US" w:eastAsia="zh-CN"/>
        </w:rPr>
        <w:t>100</w:t>
      </w:r>
      <w:r>
        <w:rPr>
          <w:rFonts w:hint="eastAsia" w:ascii="Times New Roman" w:hAnsi="Times New Roman" w:eastAsia="仿宋_GB2312"/>
          <w:sz w:val="32"/>
          <w:szCs w:val="32"/>
          <w:highlight w:val="none"/>
        </w:rPr>
        <w:t>%</w:t>
      </w:r>
      <w:r>
        <w:rPr>
          <w:rFonts w:hint="eastAsia" w:ascii="Times New Roman" w:hAnsi="Times New Roman" w:eastAsia="仿宋_GB2312"/>
          <w:sz w:val="32"/>
          <w:szCs w:val="32"/>
          <w:highlight w:val="none"/>
          <w:lang w:eastAsia="zh-CN"/>
        </w:rPr>
        <w:t>，全年医疗保险支出符合年初预算。</w:t>
      </w:r>
    </w:p>
    <w:p w14:paraId="0A9173C3">
      <w:pPr>
        <w:pStyle w:val="12"/>
        <w:spacing w:line="600" w:lineRule="exact"/>
        <w:ind w:firstLine="800" w:firstLineChars="250"/>
        <w:rPr>
          <w:rFonts w:ascii="Times New Roman" w:hAnsi="Times New Roman" w:eastAsia="仿宋_GB2312"/>
          <w:sz w:val="32"/>
          <w:szCs w:val="32"/>
          <w:highlight w:val="none"/>
        </w:rPr>
      </w:pPr>
      <w:r>
        <w:rPr>
          <w:rFonts w:hint="eastAsia" w:ascii="Times New Roman" w:hAnsi="Times New Roman" w:eastAsia="仿宋_GB2312"/>
          <w:sz w:val="32"/>
          <w:szCs w:val="32"/>
          <w:highlight w:val="none"/>
        </w:rPr>
        <w:t>5、社会保障和就业支出（类）行政事业单位养老支出（款）机关事业单位基本养老保险缴费支出（项）。</w:t>
      </w:r>
    </w:p>
    <w:p w14:paraId="46726F68">
      <w:pPr>
        <w:pStyle w:val="12"/>
        <w:spacing w:line="600" w:lineRule="exact"/>
        <w:ind w:firstLine="800" w:firstLineChars="250"/>
        <w:rPr>
          <w:rFonts w:ascii="Times New Roman" w:hAnsi="Times New Roman" w:eastAsia="仿宋_GB2312"/>
          <w:sz w:val="32"/>
          <w:szCs w:val="32"/>
          <w:highlight w:val="none"/>
        </w:rPr>
      </w:pPr>
      <w:r>
        <w:rPr>
          <w:rFonts w:hint="eastAsia" w:ascii="Times New Roman" w:hAnsi="Times New Roman" w:eastAsia="仿宋_GB2312"/>
          <w:sz w:val="32"/>
          <w:szCs w:val="32"/>
          <w:highlight w:val="none"/>
        </w:rPr>
        <w:t>年初预算为</w:t>
      </w:r>
      <w:r>
        <w:rPr>
          <w:rFonts w:hint="eastAsia" w:ascii="Times New Roman" w:hAnsi="Times New Roman" w:eastAsia="仿宋_GB2312"/>
          <w:sz w:val="32"/>
          <w:szCs w:val="32"/>
          <w:highlight w:val="none"/>
          <w:lang w:val="en-US" w:eastAsia="zh-CN"/>
        </w:rPr>
        <w:t>49.15</w:t>
      </w:r>
      <w:r>
        <w:rPr>
          <w:rFonts w:hint="eastAsia" w:ascii="Times New Roman" w:hAnsi="Times New Roman" w:eastAsia="仿宋_GB2312"/>
          <w:sz w:val="32"/>
          <w:szCs w:val="32"/>
          <w:highlight w:val="none"/>
        </w:rPr>
        <w:t>万元，支出决算为</w:t>
      </w:r>
      <w:r>
        <w:rPr>
          <w:rFonts w:hint="eastAsia" w:ascii="Times New Roman" w:hAnsi="Times New Roman" w:eastAsia="仿宋_GB2312"/>
          <w:sz w:val="32"/>
          <w:szCs w:val="32"/>
          <w:highlight w:val="none"/>
          <w:lang w:val="en-US" w:eastAsia="zh-CN"/>
        </w:rPr>
        <w:t>49.15</w:t>
      </w:r>
      <w:r>
        <w:rPr>
          <w:rFonts w:hint="eastAsia" w:ascii="Times New Roman" w:hAnsi="Times New Roman" w:eastAsia="仿宋_GB2312"/>
          <w:sz w:val="32"/>
          <w:szCs w:val="32"/>
          <w:highlight w:val="none"/>
        </w:rPr>
        <w:t>万元，完成年初预算的</w:t>
      </w:r>
      <w:r>
        <w:rPr>
          <w:rFonts w:hint="eastAsia" w:ascii="Times New Roman" w:hAnsi="Times New Roman" w:eastAsia="仿宋_GB2312"/>
          <w:sz w:val="32"/>
          <w:szCs w:val="32"/>
          <w:highlight w:val="none"/>
          <w:lang w:val="en-US" w:eastAsia="zh-CN"/>
        </w:rPr>
        <w:t>100</w:t>
      </w:r>
      <w:r>
        <w:rPr>
          <w:rFonts w:hint="eastAsia" w:ascii="Times New Roman" w:hAnsi="Times New Roman" w:eastAsia="仿宋_GB2312"/>
          <w:sz w:val="32"/>
          <w:szCs w:val="32"/>
          <w:highlight w:val="none"/>
        </w:rPr>
        <w:t>%，</w:t>
      </w:r>
      <w:r>
        <w:rPr>
          <w:rFonts w:hint="eastAsia" w:ascii="Times New Roman" w:hAnsi="Times New Roman" w:eastAsia="仿宋_GB2312"/>
          <w:sz w:val="32"/>
          <w:szCs w:val="32"/>
          <w:highlight w:val="none"/>
          <w:lang w:eastAsia="zh-CN"/>
        </w:rPr>
        <w:t>全年</w:t>
      </w:r>
      <w:r>
        <w:rPr>
          <w:rFonts w:hint="eastAsia" w:ascii="Times New Roman" w:hAnsi="Times New Roman" w:eastAsia="仿宋_GB2312"/>
          <w:sz w:val="32"/>
          <w:szCs w:val="32"/>
          <w:highlight w:val="none"/>
        </w:rPr>
        <w:t>养老保险缴费</w:t>
      </w:r>
      <w:r>
        <w:rPr>
          <w:rFonts w:hint="eastAsia" w:ascii="Times New Roman" w:hAnsi="Times New Roman" w:eastAsia="仿宋_GB2312"/>
          <w:sz w:val="32"/>
          <w:szCs w:val="32"/>
          <w:highlight w:val="none"/>
          <w:lang w:eastAsia="zh-CN"/>
        </w:rPr>
        <w:t>符合年初预算</w:t>
      </w:r>
      <w:r>
        <w:rPr>
          <w:rFonts w:hint="eastAsia" w:ascii="Times New Roman" w:hAnsi="Times New Roman" w:eastAsia="仿宋_GB2312"/>
          <w:sz w:val="32"/>
          <w:szCs w:val="32"/>
          <w:highlight w:val="none"/>
        </w:rPr>
        <w:t>。</w:t>
      </w:r>
    </w:p>
    <w:p w14:paraId="343EC80D">
      <w:pPr>
        <w:pStyle w:val="12"/>
        <w:spacing w:line="600" w:lineRule="exact"/>
        <w:ind w:firstLine="800" w:firstLineChars="250"/>
        <w:rPr>
          <w:rFonts w:ascii="Times New Roman" w:hAnsi="Times New Roman" w:eastAsia="仿宋_GB2312"/>
          <w:sz w:val="32"/>
          <w:szCs w:val="32"/>
          <w:highlight w:val="none"/>
        </w:rPr>
      </w:pPr>
      <w:r>
        <w:rPr>
          <w:rFonts w:hint="eastAsia" w:ascii="Times New Roman" w:hAnsi="Times New Roman" w:eastAsia="仿宋_GB2312"/>
          <w:sz w:val="32"/>
          <w:szCs w:val="32"/>
          <w:highlight w:val="none"/>
          <w:lang w:val="en-US" w:eastAsia="zh-CN"/>
        </w:rPr>
        <w:t>6</w:t>
      </w:r>
      <w:r>
        <w:rPr>
          <w:rFonts w:hint="eastAsia" w:ascii="Times New Roman" w:hAnsi="Times New Roman" w:eastAsia="仿宋_GB2312"/>
          <w:sz w:val="32"/>
          <w:szCs w:val="32"/>
          <w:highlight w:val="none"/>
        </w:rPr>
        <w:t>、社会保障和就业支出（类）行政事业单位养老支出（款）其他行政事业单位养老支出（项）。</w:t>
      </w:r>
    </w:p>
    <w:p w14:paraId="6715B434">
      <w:pPr>
        <w:pStyle w:val="12"/>
        <w:spacing w:line="600" w:lineRule="exact"/>
        <w:ind w:firstLine="800" w:firstLineChars="250"/>
        <w:rPr>
          <w:rFonts w:ascii="Times New Roman" w:hAnsi="Times New Roman" w:eastAsia="仿宋_GB2312"/>
          <w:sz w:val="32"/>
          <w:szCs w:val="32"/>
          <w:highlight w:val="none"/>
        </w:rPr>
      </w:pPr>
      <w:r>
        <w:rPr>
          <w:rFonts w:hint="eastAsia" w:ascii="Times New Roman" w:hAnsi="Times New Roman" w:eastAsia="仿宋_GB2312"/>
          <w:sz w:val="32"/>
          <w:szCs w:val="32"/>
          <w:highlight w:val="none"/>
        </w:rPr>
        <w:t>年初预算为0万元，支出决算为</w:t>
      </w:r>
      <w:r>
        <w:rPr>
          <w:rFonts w:hint="eastAsia" w:ascii="Times New Roman" w:hAnsi="Times New Roman" w:eastAsia="仿宋_GB2312"/>
          <w:sz w:val="32"/>
          <w:szCs w:val="32"/>
          <w:highlight w:val="none"/>
          <w:lang w:val="en-US" w:eastAsia="zh-CN"/>
        </w:rPr>
        <w:t>35.74</w:t>
      </w:r>
      <w:r>
        <w:rPr>
          <w:rFonts w:hint="eastAsia" w:ascii="Times New Roman" w:hAnsi="Times New Roman" w:eastAsia="仿宋_GB2312"/>
          <w:sz w:val="32"/>
          <w:szCs w:val="32"/>
          <w:highlight w:val="none"/>
        </w:rPr>
        <w:t>万元，决算数大于年初预算数的主要原因是年初预算未安排，为年中追加安排的</w:t>
      </w:r>
      <w:r>
        <w:rPr>
          <w:rFonts w:hint="eastAsia" w:ascii="Times New Roman" w:hAnsi="Times New Roman" w:eastAsia="仿宋_GB2312"/>
          <w:sz w:val="32"/>
          <w:szCs w:val="32"/>
          <w:highlight w:val="none"/>
          <w:lang w:eastAsia="zh-CN"/>
        </w:rPr>
        <w:t>退休人员生活补贴</w:t>
      </w:r>
      <w:r>
        <w:rPr>
          <w:rFonts w:hint="eastAsia" w:ascii="Times New Roman" w:hAnsi="Times New Roman" w:eastAsia="仿宋_GB2312"/>
          <w:sz w:val="32"/>
          <w:szCs w:val="32"/>
          <w:highlight w:val="none"/>
        </w:rPr>
        <w:t>。</w:t>
      </w:r>
    </w:p>
    <w:p w14:paraId="255B5CE2">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1FF20D9F">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661.92</w:t>
      </w:r>
      <w:r>
        <w:rPr>
          <w:rFonts w:ascii="Times New Roman" w:hAnsi="Times New Roman" w:eastAsia="仿宋_GB2312" w:cs="Times New Roman"/>
          <w:sz w:val="32"/>
          <w:szCs w:val="32"/>
        </w:rPr>
        <w:t>万元，其中：</w:t>
      </w:r>
    </w:p>
    <w:p w14:paraId="192F7B69">
      <w:pPr>
        <w:pStyle w:val="12"/>
        <w:overflowPunct w:val="0"/>
        <w:autoSpaceDE/>
        <w:autoSpaceDN/>
        <w:spacing w:line="600" w:lineRule="exact"/>
        <w:ind w:firstLine="640" w:firstLineChars="200"/>
        <w:jc w:val="both"/>
        <w:rPr>
          <w:rFonts w:hint="eastAsia" w:ascii="Times New Roman" w:hAnsi="Times New Roman" w:eastAsia="仿宋_GB2312"/>
          <w:sz w:val="32"/>
          <w:szCs w:val="32"/>
          <w:lang w:eastAsia="zh-CN"/>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555.3</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83.89</w:t>
      </w:r>
      <w:r>
        <w:rPr>
          <w:rFonts w:ascii="Times New Roman" w:hAnsi="Times New Roman" w:eastAsia="仿宋_GB2312" w:cs="Times New Roman"/>
          <w:sz w:val="32"/>
          <w:szCs w:val="32"/>
        </w:rPr>
        <w:t>%,主要包括</w:t>
      </w:r>
      <w:r>
        <w:rPr>
          <w:rFonts w:hint="eastAsia" w:ascii="Times New Roman" w:hAnsi="Times New Roman" w:eastAsia="仿宋_GB2312"/>
          <w:sz w:val="32"/>
          <w:szCs w:val="32"/>
        </w:rPr>
        <w:t>基本工资、津贴补贴、奖金、机关事业单位基本养老保险缴费</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职工基本医疗保险缴费、住房公积金、</w:t>
      </w:r>
      <w:r>
        <w:rPr>
          <w:rFonts w:hint="eastAsia" w:ascii="Times New Roman" w:hAnsi="Times New Roman" w:eastAsia="仿宋_GB2312"/>
          <w:sz w:val="32"/>
          <w:szCs w:val="32"/>
          <w:lang w:eastAsia="zh-CN"/>
        </w:rPr>
        <w:t>医疗费、其他工资福利支出。</w:t>
      </w:r>
    </w:p>
    <w:p w14:paraId="25AFCF99">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106.62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16.11</w:t>
      </w:r>
      <w:r>
        <w:rPr>
          <w:rFonts w:ascii="Times New Roman" w:hAnsi="Times New Roman" w:eastAsia="仿宋_GB2312" w:cs="Times New Roman"/>
          <w:sz w:val="32"/>
          <w:szCs w:val="32"/>
        </w:rPr>
        <w:t>%，主要包括办公费、印刷费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sz w:val="32"/>
          <w:szCs w:val="32"/>
        </w:rPr>
        <w:t>水费、电费、邮电费、差旅费、维修（护）费、</w:t>
      </w:r>
      <w:r>
        <w:rPr>
          <w:rFonts w:hint="eastAsia" w:ascii="Times New Roman" w:hAnsi="Times New Roman" w:eastAsia="仿宋_GB2312"/>
          <w:sz w:val="32"/>
          <w:szCs w:val="32"/>
          <w:lang w:eastAsia="zh-CN"/>
        </w:rPr>
        <w:t>租赁费、</w:t>
      </w:r>
      <w:r>
        <w:rPr>
          <w:rFonts w:hint="eastAsia" w:ascii="Times New Roman" w:hAnsi="Times New Roman" w:eastAsia="仿宋_GB2312"/>
          <w:sz w:val="32"/>
          <w:szCs w:val="32"/>
        </w:rPr>
        <w:t>培训费、被装购置费、劳务费、工会经费、福利费、其他交通费用、其他商品和服务支出。</w:t>
      </w:r>
    </w:p>
    <w:p w14:paraId="7C264CB3">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七、财政拨款“三公”经费支出决算情况说明</w:t>
      </w:r>
    </w:p>
    <w:p w14:paraId="3F615F1C">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44805EF6">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本年未发生</w:t>
      </w:r>
      <w:r>
        <w:rPr>
          <w:rFonts w:ascii="Times New Roman" w:hAnsi="Times New Roman" w:eastAsia="仿宋_GB2312" w:cs="Times New Roman"/>
          <w:sz w:val="32"/>
          <w:szCs w:val="32"/>
        </w:rPr>
        <w:t>“三公”经费</w:t>
      </w:r>
      <w:r>
        <w:rPr>
          <w:rFonts w:hint="eastAsia" w:ascii="Times New Roman" w:hAnsi="Times New Roman" w:eastAsia="仿宋_GB2312" w:cs="Times New Roman"/>
          <w:sz w:val="32"/>
          <w:szCs w:val="32"/>
          <w:lang w:eastAsia="zh-CN"/>
        </w:rPr>
        <w:t>支出</w:t>
      </w:r>
      <w:r>
        <w:rPr>
          <w:rFonts w:ascii="Times New Roman" w:hAnsi="Times New Roman" w:eastAsia="仿宋_GB2312" w:cs="Times New Roman"/>
          <w:sz w:val="32"/>
          <w:szCs w:val="32"/>
        </w:rPr>
        <w:t>。</w:t>
      </w:r>
    </w:p>
    <w:p w14:paraId="4E8A3C88">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578AE035">
      <w:pPr>
        <w:pStyle w:val="12"/>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sz w:val="32"/>
          <w:szCs w:val="32"/>
        </w:rPr>
        <w:t>决算数与预算数一致</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与上年相比持平，本年无因公出国（境）费支出</w:t>
      </w:r>
      <w:r>
        <w:rPr>
          <w:rFonts w:hint="eastAsia" w:ascii="Times New Roman" w:hAnsi="Times New Roman" w:eastAsia="仿宋_GB2312"/>
          <w:sz w:val="32"/>
          <w:szCs w:val="32"/>
          <w:lang w:eastAsia="zh-CN"/>
        </w:rPr>
        <w:t>。</w:t>
      </w:r>
    </w:p>
    <w:p w14:paraId="346455FA">
      <w:pPr>
        <w:pStyle w:val="12"/>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sz w:val="32"/>
          <w:szCs w:val="32"/>
        </w:rPr>
        <w:t>决算数与预算数一致</w:t>
      </w:r>
      <w:r>
        <w:rPr>
          <w:rFonts w:ascii="Times New Roman" w:hAnsi="Times New Roman" w:eastAsia="仿宋_GB2312" w:cs="Times New Roman"/>
          <w:sz w:val="32"/>
          <w:szCs w:val="32"/>
        </w:rPr>
        <w:t>；</w:t>
      </w:r>
      <w:r>
        <w:rPr>
          <w:rFonts w:hint="eastAsia" w:ascii="Times New Roman" w:hAnsi="Times New Roman" w:eastAsia="仿宋_GB2312"/>
          <w:sz w:val="32"/>
          <w:szCs w:val="32"/>
        </w:rPr>
        <w:t>与上年相比持平</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本年无公务用车购置费支出</w:t>
      </w:r>
      <w:r>
        <w:rPr>
          <w:rFonts w:ascii="Times New Roman" w:hAnsi="Times New Roman" w:eastAsia="仿宋_GB2312" w:cs="Times New Roman"/>
          <w:sz w:val="32"/>
          <w:szCs w:val="32"/>
        </w:rPr>
        <w:t>。</w:t>
      </w:r>
    </w:p>
    <w:p w14:paraId="2B105569">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本年度未产生公务接待费用</w:t>
      </w:r>
      <w:r>
        <w:rPr>
          <w:rFonts w:ascii="Times New Roman" w:hAnsi="Times New Roman" w:eastAsia="仿宋_GB2312" w:cs="Times New Roman"/>
          <w:sz w:val="32"/>
          <w:szCs w:val="32"/>
        </w:rPr>
        <w:t>。</w:t>
      </w:r>
    </w:p>
    <w:p w14:paraId="3F7A1B8C">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48D5F34B">
      <w:pPr>
        <w:pStyle w:val="12"/>
        <w:overflowPunct w:val="0"/>
        <w:autoSpaceDE/>
        <w:autoSpaceDN/>
        <w:spacing w:line="600" w:lineRule="exact"/>
        <w:ind w:firstLine="640" w:firstLineChars="200"/>
        <w:jc w:val="both"/>
        <w:rPr>
          <w:rFonts w:hint="eastAsia"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年度本单位无政府性基金收支。</w:t>
      </w:r>
    </w:p>
    <w:p w14:paraId="1ED4994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2B54A09E">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106.62</w:t>
      </w:r>
      <w:r>
        <w:rPr>
          <w:rFonts w:ascii="Times New Roman" w:hAnsi="Times New Roman" w:eastAsia="仿宋_GB2312" w:cs="Times New Roman"/>
          <w:sz w:val="32"/>
          <w:szCs w:val="32"/>
        </w:rPr>
        <w:t>万元，比年初预算数</w:t>
      </w:r>
      <w:r>
        <w:rPr>
          <w:rFonts w:hint="eastAsia" w:ascii="Times New Roman" w:hAnsi="Times New Roman" w:eastAsia="仿宋_GB2312" w:cs="Times New Roman"/>
          <w:sz w:val="32"/>
          <w:szCs w:val="32"/>
          <w:lang w:val="en-US" w:eastAsia="zh-CN"/>
        </w:rPr>
        <w:t>110.09</w:t>
      </w:r>
      <w:r>
        <w:rPr>
          <w:rFonts w:ascii="Times New Roman" w:hAnsi="Times New Roman" w:eastAsia="仿宋_GB2312" w:cs="Times New Roman"/>
          <w:sz w:val="32"/>
          <w:szCs w:val="32"/>
        </w:rPr>
        <w:t>减少</w:t>
      </w:r>
      <w:r>
        <w:rPr>
          <w:rFonts w:hint="eastAsia" w:ascii="Times New Roman" w:hAnsi="Times New Roman" w:eastAsia="仿宋_GB2312" w:cs="Times New Roman"/>
          <w:sz w:val="32"/>
          <w:szCs w:val="32"/>
          <w:lang w:val="en-US" w:eastAsia="zh-CN"/>
        </w:rPr>
        <w:t>3.47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3.15</w:t>
      </w:r>
      <w:r>
        <w:rPr>
          <w:rFonts w:ascii="Times New Roman" w:hAnsi="Times New Roman" w:eastAsia="仿宋_GB2312" w:cs="Times New Roman"/>
          <w:sz w:val="32"/>
          <w:szCs w:val="32"/>
        </w:rPr>
        <w:t>%。主要原因是</w:t>
      </w:r>
      <w:r>
        <w:rPr>
          <w:rFonts w:hint="eastAsia" w:ascii="Times New Roman" w:hAnsi="Times New Roman" w:eastAsia="仿宋_GB2312"/>
          <w:sz w:val="32"/>
          <w:szCs w:val="32"/>
        </w:rPr>
        <w:t>我单位厉行节约精神，压缩各项经费支出</w:t>
      </w:r>
      <w:r>
        <w:rPr>
          <w:rFonts w:ascii="Times New Roman" w:hAnsi="Times New Roman" w:eastAsia="仿宋_GB2312" w:cs="Times New Roman"/>
          <w:sz w:val="32"/>
          <w:szCs w:val="32"/>
        </w:rPr>
        <w:t>。</w:t>
      </w:r>
    </w:p>
    <w:p w14:paraId="7220B1D8">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3D0EE867">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sz w:val="32"/>
          <w:szCs w:val="32"/>
        </w:rPr>
        <w:t>，本年度未举办相关会议</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万元，用于开展</w:t>
      </w:r>
      <w:r>
        <w:rPr>
          <w:rFonts w:hint="eastAsia" w:ascii="Times New Roman" w:hAnsi="Times New Roman" w:eastAsia="仿宋_GB2312"/>
          <w:sz w:val="32"/>
          <w:szCs w:val="32"/>
        </w:rPr>
        <w:t>职工技能培训、外请讲课老师</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lang w:val="en-US" w:eastAsia="zh-CN"/>
        </w:rPr>
        <w:t>83</w:t>
      </w:r>
      <w:r>
        <w:rPr>
          <w:rFonts w:ascii="Times New Roman" w:hAnsi="Times New Roman" w:eastAsia="仿宋_GB2312" w:cs="Times New Roman"/>
          <w:sz w:val="32"/>
          <w:szCs w:val="32"/>
        </w:rPr>
        <w:t>人，内容为</w:t>
      </w:r>
      <w:r>
        <w:rPr>
          <w:rFonts w:hint="default" w:ascii="Times New Roman" w:hAnsi="Times New Roman" w:eastAsia="仿宋_GB2312" w:cs="Times New Roman"/>
          <w:b w:val="0"/>
          <w:bCs w:val="0"/>
          <w:sz w:val="32"/>
          <w:szCs w:val="32"/>
          <w:highlight w:val="none"/>
          <w:lang w:val="en-US" w:eastAsia="zh-CN"/>
        </w:rPr>
        <w:t>警航大比武培训</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联合市红十字会举办应急救护专题培训</w:t>
      </w:r>
      <w:r>
        <w:rPr>
          <w:rFonts w:hint="eastAsia" w:ascii="仿宋_GB2312" w:eastAsia="仿宋_GB2312" w:cs="Times New Roman"/>
          <w:b w:val="0"/>
          <w:bCs/>
          <w:sz w:val="32"/>
          <w:szCs w:val="32"/>
          <w:lang w:val="en-US" w:eastAsia="zh-CN"/>
        </w:rPr>
        <w:t>等</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本年度未</w:t>
      </w:r>
      <w:r>
        <w:rPr>
          <w:rFonts w:ascii="Times New Roman" w:hAnsi="Times New Roman" w:eastAsia="仿宋_GB2312" w:cs="Times New Roman"/>
          <w:sz w:val="32"/>
          <w:szCs w:val="32"/>
        </w:rPr>
        <w:t>举办节庆、晚会、论坛、赛事活动。</w:t>
      </w:r>
    </w:p>
    <w:p w14:paraId="1979A2AE">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4C839EC4">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53.18</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53.18</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53.18</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53.18</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288F5183">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4704C046">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w:t>
      </w:r>
      <w:r>
        <w:rPr>
          <w:rFonts w:hint="eastAsia" w:ascii="Times New Roman" w:hAnsi="Times New Roman" w:eastAsia="仿宋_GB2312" w:cs="Times New Roman"/>
          <w:color w:val="auto"/>
          <w:sz w:val="32"/>
          <w:szCs w:val="32"/>
        </w:rPr>
        <w:t>永州市公安干部中等专业学校</w:t>
      </w:r>
      <w:r>
        <w:rPr>
          <w:rFonts w:ascii="Times New Roman" w:hAnsi="Times New Roman" w:eastAsia="仿宋_GB2312" w:cs="Times New Roman"/>
          <w:color w:val="auto"/>
          <w:sz w:val="32"/>
          <w:szCs w:val="32"/>
        </w:rPr>
        <w:t>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54920A6D">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49F583E7">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sz w:val="32"/>
          <w:szCs w:val="32"/>
          <w:highlight w:val="none"/>
          <w:lang w:val="en-US" w:eastAsia="zh-CN"/>
        </w:rPr>
        <w:t>180</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w:t>
      </w:r>
      <w:r>
        <w:rPr>
          <w:rFonts w:hint="eastAsia" w:ascii="Times New Roman" w:hAnsi="Times New Roman" w:eastAsia="仿宋_GB2312"/>
          <w:sz w:val="32"/>
          <w:szCs w:val="32"/>
          <w:highlight w:val="none"/>
          <w:lang w:val="en-US" w:eastAsia="zh-CN"/>
        </w:rPr>
        <w:t>180</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p>
    <w:p w14:paraId="4EACE8DB">
      <w:pPr>
        <w:pStyle w:val="13"/>
        <w:spacing w:line="570" w:lineRule="exact"/>
        <w:ind w:firstLine="640"/>
        <w:outlineLvl w:val="1"/>
        <w:rPr>
          <w:rFonts w:hint="default" w:ascii="Times New Roman" w:hAnsi="Times New Roman" w:eastAsia="仿宋_GB2312" w:cs="Times New Roman"/>
          <w:b w:val="0"/>
          <w:bCs w:val="0"/>
          <w:sz w:val="32"/>
          <w:szCs w:val="32"/>
          <w:highlight w:val="none"/>
          <w:lang w:val="en-US" w:eastAsia="zh-CN"/>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sz w:val="32"/>
          <w:szCs w:val="32"/>
          <w:highlight w:val="none"/>
          <w:lang w:val="en-US" w:eastAsia="zh-CN"/>
        </w:rPr>
        <w:t>816.83</w:t>
      </w:r>
      <w:r>
        <w:rPr>
          <w:rFonts w:ascii="Times New Roman" w:hAnsi="Times New Roman" w:eastAsia="仿宋_GB2312" w:cs="Times New Roman"/>
          <w:sz w:val="32"/>
          <w:szCs w:val="32"/>
        </w:rPr>
        <w:t>万元，执行数</w:t>
      </w:r>
      <w:r>
        <w:rPr>
          <w:rFonts w:hint="eastAsia" w:ascii="Times New Roman" w:hAnsi="Times New Roman" w:eastAsia="仿宋_GB2312"/>
          <w:sz w:val="32"/>
          <w:szCs w:val="32"/>
          <w:highlight w:val="none"/>
          <w:lang w:val="en-US" w:eastAsia="zh-CN"/>
        </w:rPr>
        <w:t>816.01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99.9</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99.97</w:t>
      </w:r>
      <w:r>
        <w:rPr>
          <w:rFonts w:ascii="Times New Roman" w:hAnsi="Times New Roman" w:eastAsia="仿宋_GB2312" w:cs="Times New Roman"/>
          <w:sz w:val="32"/>
          <w:szCs w:val="32"/>
        </w:rPr>
        <w:t>分。绩效目标完成情况：</w:t>
      </w:r>
      <w:r>
        <w:rPr>
          <w:rFonts w:hint="eastAsia" w:ascii="Times New Roman" w:hAnsi="Times New Roman" w:eastAsia="仿宋_GB2312" w:cs="Times New Roman"/>
          <w:b w:val="0"/>
          <w:bCs w:val="0"/>
          <w:sz w:val="32"/>
          <w:szCs w:val="32"/>
          <w:highlight w:val="none"/>
          <w:lang w:val="en-US" w:eastAsia="zh-CN"/>
        </w:rPr>
        <w:t>一是</w:t>
      </w:r>
      <w:r>
        <w:rPr>
          <w:rFonts w:hint="default" w:ascii="Times New Roman" w:hAnsi="Times New Roman" w:eastAsia="仿宋_GB2312" w:cs="Times New Roman"/>
          <w:b w:val="0"/>
          <w:bCs w:val="0"/>
          <w:sz w:val="32"/>
          <w:szCs w:val="32"/>
          <w:highlight w:val="none"/>
          <w:lang w:val="en-US" w:eastAsia="zh-CN"/>
        </w:rPr>
        <w:t>立足实战强本领。围绕提高全市公安机关新质战斗力这个主线，学校立足素质强警，突出实战实用实效导向，练就参训学员敢打必胜的真本领。严格执行</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战训合一</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轮训轮值</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模式，将参训学员组成应急处突力量，7次参与今年永州主场</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湘超</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安保任务，共投入警力950人次，全力守护赛场安全，有效提升实战能力。</w:t>
      </w:r>
      <w:r>
        <w:rPr>
          <w:rFonts w:hint="eastAsia" w:ascii="Times New Roman" w:hAnsi="Times New Roman" w:eastAsia="仿宋_GB2312" w:cs="Times New Roman"/>
          <w:b w:val="0"/>
          <w:bCs w:val="0"/>
          <w:sz w:val="32"/>
          <w:szCs w:val="32"/>
          <w:highlight w:val="none"/>
          <w:lang w:val="en-US" w:eastAsia="zh-CN"/>
        </w:rPr>
        <w:t>二是</w:t>
      </w:r>
      <w:r>
        <w:rPr>
          <w:rFonts w:hint="default" w:ascii="Times New Roman" w:hAnsi="Times New Roman" w:eastAsia="仿宋_GB2312" w:cs="Times New Roman"/>
          <w:b w:val="0"/>
          <w:bCs w:val="0"/>
          <w:sz w:val="32"/>
          <w:szCs w:val="32"/>
          <w:highlight w:val="none"/>
          <w:lang w:val="en-US" w:eastAsia="zh-CN"/>
        </w:rPr>
        <w:t>深耕课程提质量。课程是公安培训的核心基础，今年学校以</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需求为导向</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实用为核心</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创新为驱动</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持续完善课程体系，提升课程质量。建立警衔晋升培训班主干课程25个，课程更新率达23%，其中政治培训课程在培训总课时中的占比为42.1%，案例教学课程占总课程的18.4%，基础警务实战技能和体能课程占比为26.3%。</w:t>
      </w:r>
      <w:r>
        <w:rPr>
          <w:rFonts w:hint="eastAsia" w:ascii="Times New Roman" w:hAnsi="Times New Roman" w:eastAsia="仿宋_GB2312" w:cs="Times New Roman"/>
          <w:sz w:val="32"/>
          <w:szCs w:val="32"/>
          <w:lang w:eastAsia="zh-CN"/>
        </w:rPr>
        <w:t>三是</w:t>
      </w:r>
      <w:r>
        <w:rPr>
          <w:rFonts w:hint="default" w:ascii="Times New Roman" w:hAnsi="Times New Roman" w:eastAsia="仿宋_GB2312" w:cs="Times New Roman"/>
          <w:b w:val="0"/>
          <w:bCs w:val="0"/>
          <w:sz w:val="32"/>
          <w:szCs w:val="32"/>
          <w:highlight w:val="none"/>
          <w:lang w:val="en-US" w:eastAsia="zh-CN"/>
        </w:rPr>
        <w:t>培训任务高效落实。</w:t>
      </w:r>
      <w:r>
        <w:rPr>
          <w:rFonts w:hint="eastAsia" w:ascii="Times New Roman" w:hAnsi="Times New Roman" w:eastAsia="仿宋_GB2312" w:cs="Times New Roman"/>
          <w:sz w:val="32"/>
          <w:szCs w:val="32"/>
          <w:lang w:eastAsia="zh-CN"/>
        </w:rPr>
        <w:t>我校</w:t>
      </w:r>
      <w:r>
        <w:rPr>
          <w:rFonts w:hint="default" w:ascii="Times New Roman" w:hAnsi="Times New Roman" w:eastAsia="仿宋_GB2312" w:cs="Times New Roman"/>
          <w:b w:val="0"/>
          <w:bCs w:val="0"/>
          <w:sz w:val="32"/>
          <w:szCs w:val="32"/>
          <w:highlight w:val="none"/>
          <w:lang w:val="en-US" w:eastAsia="zh-CN"/>
        </w:rPr>
        <w:t>始终坚守为党育人</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为国育才</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为警育剑的使命任务，将立德树人贯穿培训教学</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管理服务全过程各环节，锻造忠诚铁军。精塑</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教</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学</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研</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练</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战</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一体化人才培养模式</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提升实战化教学比重，聘请经验丰富</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作风过硬的实战教官走进课堂，将一线执法理念</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严格纪律要求</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宝贵实战经验融入教学培训，有效提升学员培训质量。</w:t>
      </w:r>
    </w:p>
    <w:p w14:paraId="47274CE5">
      <w:pPr>
        <w:keepNext w:val="0"/>
        <w:keepLines w:val="0"/>
        <w:pageBreakBefore w:val="0"/>
        <w:widowControl w:val="0"/>
        <w:suppressLineNumbers w:val="0"/>
        <w:kinsoku/>
        <w:wordWrap/>
        <w:overflowPunct/>
        <w:topLinePunct w:val="0"/>
        <w:autoSpaceDE w:val="0"/>
        <w:autoSpaceDN/>
        <w:bidi w:val="0"/>
        <w:adjustRightInd/>
        <w:spacing w:before="0" w:beforeAutospacing="0" w:after="0" w:afterAutospacing="0" w:line="580" w:lineRule="exact"/>
        <w:ind w:left="0" w:right="0" w:firstLine="640" w:firstLineChars="200"/>
        <w:jc w:val="both"/>
        <w:textAlignment w:val="auto"/>
        <w:rPr>
          <w:rFonts w:ascii="Times New Roman" w:hAnsi="Times New Roman" w:cs="Times New Roman"/>
          <w:sz w:val="72"/>
          <w:szCs w:val="72"/>
        </w:rPr>
      </w:pPr>
      <w:r>
        <w:rPr>
          <w:rFonts w:ascii="Times New Roman" w:hAnsi="Times New Roman" w:eastAsia="楷体_GB2312" w:cs="Times New Roman"/>
          <w:b/>
          <w:bCs/>
          <w:color w:val="auto"/>
          <w:kern w:val="2"/>
          <w:sz w:val="32"/>
          <w:szCs w:val="32"/>
        </w:rPr>
        <w:t>（三）评价结果应用情况。</w:t>
      </w:r>
      <w:r>
        <w:rPr>
          <w:rFonts w:hint="default" w:ascii="仿宋_GB2312" w:hAnsi="Times New Roman" w:eastAsia="仿宋_GB2312" w:cs="仿宋_GB2312"/>
          <w:kern w:val="2"/>
          <w:sz w:val="32"/>
          <w:szCs w:val="32"/>
          <w:lang w:val="en-US" w:eastAsia="zh-CN" w:bidi="ar"/>
        </w:rPr>
        <w:t>进一步加强预算编制管理，严格按照预算编制制度的规定和要求，根据年度工作规划和工作重心，科学合理编制预算，覆盖要全面，尽量减少预算调整，确保预算编制的完整性、合理性和严谨性。</w:t>
      </w:r>
    </w:p>
    <w:p w14:paraId="2B35CAA5">
      <w:pPr>
        <w:pStyle w:val="12"/>
        <w:jc w:val="center"/>
        <w:rPr>
          <w:rFonts w:ascii="Times New Roman" w:hAnsi="Times New Roman" w:cs="Times New Roman"/>
          <w:sz w:val="72"/>
          <w:szCs w:val="72"/>
        </w:rPr>
      </w:pPr>
    </w:p>
    <w:p w14:paraId="005FF056">
      <w:pPr>
        <w:pStyle w:val="12"/>
        <w:jc w:val="center"/>
        <w:rPr>
          <w:rFonts w:ascii="Times New Roman" w:hAnsi="Times New Roman" w:cs="Times New Roman"/>
          <w:sz w:val="72"/>
          <w:szCs w:val="72"/>
        </w:rPr>
      </w:pPr>
    </w:p>
    <w:p w14:paraId="193AE49B">
      <w:pPr>
        <w:pStyle w:val="12"/>
        <w:jc w:val="center"/>
        <w:rPr>
          <w:rFonts w:ascii="Times New Roman" w:hAnsi="Times New Roman" w:cs="Times New Roman"/>
          <w:sz w:val="72"/>
          <w:szCs w:val="72"/>
        </w:rPr>
      </w:pPr>
    </w:p>
    <w:p w14:paraId="74E48AA8">
      <w:pPr>
        <w:pStyle w:val="12"/>
        <w:jc w:val="center"/>
        <w:rPr>
          <w:rFonts w:ascii="Times New Roman" w:hAnsi="Times New Roman" w:cs="Times New Roman"/>
          <w:sz w:val="72"/>
          <w:szCs w:val="72"/>
        </w:rPr>
      </w:pPr>
    </w:p>
    <w:p w14:paraId="6E205C68">
      <w:pPr>
        <w:pStyle w:val="12"/>
        <w:jc w:val="center"/>
        <w:rPr>
          <w:rFonts w:ascii="Times New Roman" w:hAnsi="Times New Roman" w:cs="Times New Roman"/>
          <w:sz w:val="72"/>
          <w:szCs w:val="72"/>
        </w:rPr>
      </w:pPr>
    </w:p>
    <w:p w14:paraId="74566CF2">
      <w:pPr>
        <w:pStyle w:val="12"/>
        <w:jc w:val="both"/>
        <w:rPr>
          <w:rFonts w:ascii="Times New Roman" w:hAnsi="Times New Roman" w:cs="Times New Roman"/>
          <w:sz w:val="72"/>
          <w:szCs w:val="72"/>
        </w:rPr>
      </w:pPr>
    </w:p>
    <w:p w14:paraId="29EFF6C9">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7C19BF3C">
      <w:pPr>
        <w:rPr>
          <w:rFonts w:ascii="Times New Roman" w:hAnsi="Times New Roman" w:eastAsia="方正小标宋_GBK" w:cs="Times New Roman"/>
          <w:sz w:val="52"/>
          <w:szCs w:val="52"/>
        </w:rPr>
      </w:pPr>
      <w:r>
        <w:rPr>
          <w:rFonts w:ascii="Times New Roman" w:hAnsi="Times New Roman" w:eastAsia="方正小标宋_GBK" w:cs="Times New Roman"/>
          <w:sz w:val="52"/>
          <w:szCs w:val="52"/>
        </w:rPr>
        <w:br w:type="page"/>
      </w:r>
    </w:p>
    <w:p w14:paraId="4606DBB1">
      <w:pPr>
        <w:widowControl/>
        <w:numPr>
          <w:ilvl w:val="0"/>
          <w:numId w:val="1"/>
        </w:num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财政拨款收入：指财政当年拨付的资金，主要包括一般公共预算财政拨款，政府性基金预算财政拨款，国有资本经营预算财政拨款。</w:t>
      </w:r>
    </w:p>
    <w:p w14:paraId="1E56CFD8">
      <w:pPr>
        <w:widowControl/>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二、上级补助收入：指事业单位从主管部门和上级单位取得的非财政补助收入。 </w:t>
      </w:r>
    </w:p>
    <w:p w14:paraId="4E33CE99">
      <w:pPr>
        <w:widowControl/>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三、事业收入：指事业单位开展专业业务活动及辅助活动所取得的收入。 </w:t>
      </w:r>
    </w:p>
    <w:p w14:paraId="44811C75">
      <w:pPr>
        <w:widowControl/>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四、经营收入：指事业单位在专业业务活动及其辅助活动之外开展非独立核算经营活动取得的收入。 </w:t>
      </w:r>
    </w:p>
    <w:p w14:paraId="188B572E">
      <w:pPr>
        <w:widowControl/>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五、附属单位上缴收入：指事业单位附属独立核算单位按照有关规定上缴的收入。 </w:t>
      </w:r>
    </w:p>
    <w:p w14:paraId="283309C1">
      <w:pPr>
        <w:widowControl/>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六、其他收入：指除上述“财政拨款收入”、“事业收入”、“经营收入”等以外的收入。 </w:t>
      </w:r>
    </w:p>
    <w:p w14:paraId="2678EC80">
      <w:pPr>
        <w:widowControl/>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七、基本支出：指为保障机构正常运转、完成日常工作任务而发生的各项支出，包括人员支出和公用支出。  </w:t>
      </w:r>
    </w:p>
    <w:p w14:paraId="681CC87D">
      <w:pPr>
        <w:widowControl/>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八、项目支出：指在基本支出以外为完成相关行政任务和事业发展目标所发生的各项支出。  </w:t>
      </w:r>
    </w:p>
    <w:p w14:paraId="771096E5">
      <w:pPr>
        <w:widowControl/>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九、“三公”经费：指通过财政拨款资金安排的因公出国（境）费、公务用车购置及运行费和公务接待费支出。  </w:t>
      </w:r>
    </w:p>
    <w:p w14:paraId="0CADF4FA">
      <w:pPr>
        <w:widowControl/>
        <w:spacing w:line="560" w:lineRule="exact"/>
        <w:ind w:firstLine="640" w:firstLineChars="200"/>
        <w:jc w:val="left"/>
        <w:rPr>
          <w:rFonts w:ascii="Times New Roman" w:hAnsi="Times New Roman" w:cs="Times New Roman"/>
          <w:sz w:val="72"/>
          <w:szCs w:val="72"/>
        </w:rPr>
      </w:pPr>
      <w:r>
        <w:rPr>
          <w:rFonts w:hint="eastAsia" w:ascii="仿宋_GB2312" w:hAnsi="仿宋_GB2312" w:eastAsia="仿宋_GB2312" w:cs="仿宋_GB2312"/>
          <w:sz w:val="32"/>
          <w:szCs w:val="32"/>
        </w:rPr>
        <w:t>十、机关运行经费：是指各部门的公用经费，包括办公及印刷费、邮电费、差旅费、会议费、福利费、日常维修费、专用材料及一般设备购置费、办公用房水电费、办公用房取暖费、办公用房物业管理费、公务用车运行维护费以及其他费用。</w:t>
      </w:r>
    </w:p>
    <w:p w14:paraId="6E6706CE">
      <w:pPr>
        <w:pStyle w:val="12"/>
        <w:jc w:val="center"/>
        <w:rPr>
          <w:rFonts w:ascii="Times New Roman" w:hAnsi="Times New Roman" w:cs="Times New Roman"/>
          <w:sz w:val="72"/>
          <w:szCs w:val="72"/>
        </w:rPr>
      </w:pPr>
    </w:p>
    <w:p w14:paraId="4094F9F3">
      <w:pPr>
        <w:pStyle w:val="12"/>
        <w:jc w:val="center"/>
        <w:rPr>
          <w:rFonts w:ascii="Times New Roman" w:hAnsi="Times New Roman" w:cs="Times New Roman"/>
          <w:sz w:val="72"/>
          <w:szCs w:val="72"/>
        </w:rPr>
      </w:pPr>
    </w:p>
    <w:p w14:paraId="3910DE09">
      <w:pPr>
        <w:pStyle w:val="12"/>
        <w:jc w:val="center"/>
        <w:rPr>
          <w:rFonts w:ascii="Times New Roman" w:hAnsi="Times New Roman" w:cs="Times New Roman"/>
          <w:sz w:val="72"/>
          <w:szCs w:val="72"/>
        </w:rPr>
      </w:pPr>
    </w:p>
    <w:p w14:paraId="463514C7">
      <w:pPr>
        <w:pStyle w:val="12"/>
        <w:jc w:val="center"/>
        <w:rPr>
          <w:rFonts w:ascii="Times New Roman" w:hAnsi="Times New Roman" w:cs="Times New Roman"/>
          <w:sz w:val="72"/>
          <w:szCs w:val="72"/>
        </w:rPr>
      </w:pPr>
    </w:p>
    <w:p w14:paraId="01388767">
      <w:pPr>
        <w:pStyle w:val="12"/>
        <w:jc w:val="both"/>
        <w:rPr>
          <w:rFonts w:ascii="Times New Roman" w:hAnsi="Times New Roman" w:cs="Times New Roman"/>
          <w:sz w:val="72"/>
          <w:szCs w:val="72"/>
        </w:rPr>
      </w:pPr>
    </w:p>
    <w:p w14:paraId="5F1FE527">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30586300">
      <w:pPr>
        <w:rPr>
          <w:rFonts w:ascii="Times New Roman" w:hAnsi="Times New Roman" w:cs="Times New Roman"/>
          <w:sz w:val="72"/>
          <w:szCs w:val="72"/>
        </w:rPr>
      </w:pPr>
    </w:p>
    <w:p w14:paraId="2F5D3547">
      <w:pPr>
        <w:rPr>
          <w:rFonts w:ascii="Times New Roman" w:hAnsi="Times New Roman" w:cs="Times New Roman"/>
          <w:color w:val="000000"/>
          <w:kern w:val="0"/>
          <w:sz w:val="32"/>
          <w:szCs w:val="32"/>
        </w:rPr>
      </w:pPr>
      <w:r>
        <w:rPr>
          <w:rFonts w:ascii="Times New Roman" w:hAnsi="Times New Roman" w:cs="Times New Roman"/>
          <w:color w:val="000000"/>
          <w:kern w:val="0"/>
          <w:sz w:val="32"/>
          <w:szCs w:val="32"/>
        </w:rPr>
        <w:br w:type="page"/>
      </w:r>
    </w:p>
    <w:p w14:paraId="7739147B">
      <w:pPr>
        <w:jc w:val="center"/>
        <w:rPr>
          <w:rFonts w:hint="eastAsia" w:ascii="方正小标宋简体" w:eastAsia="方正小标宋简体"/>
          <w:sz w:val="52"/>
          <w:szCs w:val="52"/>
        </w:rPr>
      </w:pPr>
      <w:r>
        <w:rPr>
          <w:rFonts w:hint="eastAsia" w:ascii="方正小标宋简体" w:eastAsia="方正小标宋简体"/>
          <w:sz w:val="52"/>
          <w:szCs w:val="52"/>
        </w:rPr>
        <w:t>2025年度</w:t>
      </w:r>
      <w:r>
        <w:rPr>
          <w:rFonts w:hint="eastAsia" w:ascii="方正小标宋简体" w:eastAsia="方正小标宋简体"/>
          <w:sz w:val="52"/>
          <w:szCs w:val="52"/>
          <w:lang w:val="en-US" w:eastAsia="zh-CN"/>
        </w:rPr>
        <w:t>永州市公安干部中等专业学校</w:t>
      </w:r>
      <w:r>
        <w:rPr>
          <w:rFonts w:hint="eastAsia" w:ascii="方正小标宋简体" w:eastAsia="方正小标宋简体"/>
          <w:sz w:val="52"/>
          <w:szCs w:val="52"/>
        </w:rPr>
        <w:t>整体支出绩效自评报告</w:t>
      </w:r>
    </w:p>
    <w:p w14:paraId="65E1A784">
      <w:pPr>
        <w:jc w:val="center"/>
        <w:rPr>
          <w:rFonts w:hint="eastAsia" w:ascii="方正小标宋简体" w:eastAsia="方正小标宋简体"/>
          <w:sz w:val="52"/>
          <w:szCs w:val="52"/>
        </w:rPr>
      </w:pPr>
    </w:p>
    <w:p w14:paraId="2CAB239C">
      <w:pPr>
        <w:spacing w:line="570" w:lineRule="exact"/>
        <w:ind w:firstLine="640" w:firstLineChars="200"/>
        <w:rPr>
          <w:rFonts w:eastAsia="黑体"/>
          <w:sz w:val="32"/>
          <w:szCs w:val="32"/>
        </w:rPr>
      </w:pPr>
      <w:r>
        <w:rPr>
          <w:rFonts w:hint="eastAsia" w:ascii="黑体" w:hAnsi="黑体" w:eastAsia="黑体" w:cs="黑体"/>
          <w:sz w:val="32"/>
          <w:szCs w:val="32"/>
        </w:rPr>
        <w:t>一、</w:t>
      </w:r>
      <w:r>
        <w:rPr>
          <w:rFonts w:eastAsia="黑体"/>
          <w:sz w:val="32"/>
          <w:szCs w:val="32"/>
        </w:rPr>
        <w:t>部门（单位）基本情况</w:t>
      </w:r>
    </w:p>
    <w:p w14:paraId="69FB9B56">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80" w:lineRule="exact"/>
        <w:ind w:left="0" w:right="0" w:firstLine="640" w:firstLineChars="200"/>
        <w:jc w:val="both"/>
        <w:textAlignment w:val="auto"/>
        <w:rPr>
          <w:rFonts w:hint="default" w:ascii="仿宋_GB2312" w:hAnsi="Times New Roman" w:eastAsia="仿宋_GB2312" w:cs="仿宋_GB2312"/>
          <w:b w:val="0"/>
          <w:bCs w:val="0"/>
          <w:kern w:val="2"/>
          <w:sz w:val="32"/>
          <w:szCs w:val="32"/>
        </w:rPr>
      </w:pPr>
      <w:r>
        <w:rPr>
          <w:rFonts w:hint="eastAsia" w:ascii="楷体_GB2312" w:hAnsi="楷体_GB2312" w:eastAsia="楷体_GB2312" w:cs="楷体_GB2312"/>
          <w:b w:val="0"/>
          <w:bCs w:val="0"/>
          <w:sz w:val="32"/>
          <w:szCs w:val="32"/>
        </w:rPr>
        <w:t>（一）职能职责</w:t>
      </w:r>
      <w:r>
        <w:rPr>
          <w:rFonts w:hint="eastAsia" w:ascii="楷体_GB2312" w:hAnsi="楷体_GB2312" w:eastAsia="楷体_GB2312" w:cs="楷体_GB2312"/>
          <w:b w:val="0"/>
          <w:bCs w:val="0"/>
          <w:sz w:val="32"/>
          <w:szCs w:val="32"/>
          <w:lang w:eastAsia="zh-CN"/>
        </w:rPr>
        <w:t>：</w:t>
      </w:r>
      <w:r>
        <w:rPr>
          <w:rFonts w:hint="default" w:ascii="仿宋_GB2312" w:hAnsi="Times New Roman" w:eastAsia="仿宋_GB2312" w:cs="仿宋_GB2312"/>
          <w:b w:val="0"/>
          <w:bCs w:val="0"/>
          <w:kern w:val="2"/>
          <w:sz w:val="32"/>
          <w:szCs w:val="32"/>
          <w:lang w:val="en-US" w:eastAsia="zh-CN" w:bidi="ar"/>
        </w:rPr>
        <w:t>根据中共中央《关于加强公安工作的决定》的文件精神，公安干校的主要工作职责是提高公安干警的政治业务素质，加快公安队伍的正规化建设。</w:t>
      </w:r>
    </w:p>
    <w:p w14:paraId="7703C813">
      <w:pPr>
        <w:widowControl w:val="0"/>
        <w:shd w:val="clear" w:color="auto" w:fill="FFFFFF"/>
        <w:spacing w:line="570" w:lineRule="exact"/>
        <w:ind w:firstLine="640" w:firstLineChars="200"/>
        <w:outlineLvl w:val="1"/>
        <w:rPr>
          <w:rFonts w:hint="eastAsia" w:ascii="仿宋_GB2312" w:eastAsia="仿宋_GB2312"/>
          <w:b w:val="0"/>
          <w:bCs w:val="0"/>
          <w:sz w:val="32"/>
          <w:szCs w:val="32"/>
          <w:lang w:eastAsia="zh-CN"/>
        </w:rPr>
      </w:pPr>
      <w:r>
        <w:rPr>
          <w:rFonts w:hint="eastAsia" w:ascii="楷体_GB2312" w:hAnsi="楷体_GB2312" w:eastAsia="楷体_GB2312" w:cs="楷体_GB2312"/>
          <w:b w:val="0"/>
          <w:bCs w:val="0"/>
          <w:sz w:val="32"/>
          <w:szCs w:val="32"/>
        </w:rPr>
        <w:t>机构编制</w:t>
      </w:r>
      <w:r>
        <w:rPr>
          <w:rFonts w:hint="eastAsia" w:ascii="楷体_GB2312" w:hAnsi="楷体_GB2312" w:eastAsia="楷体_GB2312" w:cs="楷体_GB2312"/>
          <w:b w:val="0"/>
          <w:bCs w:val="0"/>
          <w:sz w:val="32"/>
          <w:szCs w:val="32"/>
          <w:lang w:eastAsia="zh-CN"/>
        </w:rPr>
        <w:t>：</w:t>
      </w:r>
      <w:r>
        <w:rPr>
          <w:rFonts w:hint="eastAsia" w:ascii="仿宋_GB2312" w:hAnsi="仿宋_GB2312" w:eastAsia="仿宋_GB2312" w:cs="仿宋_GB2312"/>
          <w:b w:val="0"/>
          <w:bCs w:val="0"/>
          <w:color w:val="auto"/>
          <w:kern w:val="0"/>
          <w:sz w:val="32"/>
          <w:szCs w:val="32"/>
          <w:lang w:eastAsia="zh-CN"/>
        </w:rPr>
        <w:t>永州市公安干部中等专业学校为正处级单位，内设机构</w:t>
      </w:r>
      <w:r>
        <w:rPr>
          <w:rFonts w:hint="eastAsia" w:ascii="仿宋_GB2312" w:hAnsi="仿宋_GB2312" w:eastAsia="仿宋_GB2312" w:cs="仿宋_GB2312"/>
          <w:b w:val="0"/>
          <w:bCs w:val="0"/>
          <w:color w:val="auto"/>
          <w:kern w:val="0"/>
          <w:sz w:val="32"/>
          <w:szCs w:val="32"/>
          <w:lang w:val="en-US" w:eastAsia="zh-CN"/>
        </w:rPr>
        <w:t>5个，分别是办公室、教务管理科、学员管理科、警务保障科、警务科研科</w:t>
      </w:r>
      <w:r>
        <w:rPr>
          <w:rFonts w:hint="eastAsia" w:ascii="仿宋_GB2312" w:hAnsi="仿宋_GB2312" w:eastAsia="仿宋_GB2312" w:cs="仿宋_GB2312"/>
          <w:b w:val="0"/>
          <w:bCs w:val="0"/>
          <w:color w:val="auto"/>
          <w:kern w:val="0"/>
          <w:sz w:val="32"/>
          <w:szCs w:val="32"/>
          <w:lang w:eastAsia="zh-CN"/>
        </w:rPr>
        <w:t>。</w:t>
      </w:r>
    </w:p>
    <w:p w14:paraId="6F0F3A39">
      <w:pPr>
        <w:widowControl w:val="0"/>
        <w:shd w:val="clear" w:color="auto" w:fill="FFFFFF"/>
        <w:spacing w:line="570" w:lineRule="exact"/>
        <w:ind w:firstLine="640" w:firstLineChars="200"/>
        <w:rPr>
          <w:rFonts w:hint="eastAsia" w:ascii="Times New Roman" w:hAnsi="Times New Roman" w:eastAsia="仿宋_GB2312" w:cs="Times New Roman"/>
          <w:kern w:val="0"/>
          <w:sz w:val="32"/>
          <w:szCs w:val="32"/>
          <w:lang w:val="en-US" w:eastAsia="zh-CN" w:bidi="ar-SA"/>
        </w:rPr>
      </w:pPr>
      <w:r>
        <w:rPr>
          <w:rFonts w:hint="eastAsia" w:ascii="楷体_GB2312" w:hAnsi="楷体_GB2312" w:eastAsia="楷体_GB2312" w:cs="楷体_GB2312"/>
          <w:b w:val="0"/>
          <w:bCs w:val="0"/>
          <w:sz w:val="32"/>
          <w:szCs w:val="32"/>
        </w:rPr>
        <w:t>人员构成</w:t>
      </w:r>
      <w:r>
        <w:rPr>
          <w:rFonts w:hint="eastAsia" w:ascii="楷体_GB2312" w:hAnsi="楷体_GB2312" w:eastAsia="楷体_GB2312" w:cs="楷体_GB2312"/>
          <w:b w:val="0"/>
          <w:bCs w:val="0"/>
          <w:sz w:val="32"/>
          <w:szCs w:val="32"/>
          <w:lang w:eastAsia="zh-CN"/>
        </w:rPr>
        <w:t>：</w:t>
      </w:r>
      <w:r>
        <w:rPr>
          <w:rFonts w:hint="eastAsia" w:ascii="Times New Roman" w:hAnsi="Times New Roman" w:eastAsia="仿宋_GB2312" w:cs="Times New Roman"/>
          <w:b w:val="0"/>
          <w:bCs w:val="0"/>
          <w:kern w:val="0"/>
          <w:sz w:val="32"/>
          <w:szCs w:val="32"/>
          <w:lang w:val="en-US" w:eastAsia="zh-CN" w:bidi="ar-SA"/>
        </w:rPr>
        <w:t>人</w:t>
      </w:r>
      <w:r>
        <w:rPr>
          <w:rFonts w:hint="eastAsia" w:ascii="Times New Roman" w:hAnsi="Times New Roman" w:eastAsia="仿宋_GB2312" w:cs="Times New Roman"/>
          <w:kern w:val="0"/>
          <w:sz w:val="32"/>
          <w:szCs w:val="32"/>
          <w:lang w:val="en-US" w:eastAsia="zh-CN" w:bidi="ar-SA"/>
        </w:rPr>
        <w:t>员定编26人，实有在职人数25人。比上年度减少2人。</w:t>
      </w:r>
    </w:p>
    <w:p w14:paraId="6A0B62FD">
      <w:pPr>
        <w:spacing w:line="570" w:lineRule="exact"/>
        <w:ind w:firstLine="640" w:firstLineChars="200"/>
        <w:rPr>
          <w:rFonts w:hint="eastAsia" w:ascii="仿宋_GB2312" w:hAnsi="仿宋_GB2312" w:eastAsia="仿宋_GB2312" w:cs="仿宋_GB2312"/>
          <w:sz w:val="32"/>
          <w:szCs w:val="32"/>
          <w:lang w:eastAsia="zh-CN"/>
        </w:rPr>
      </w:pPr>
      <w:r>
        <w:rPr>
          <w:rFonts w:hint="eastAsia" w:ascii="仿宋_GB2312" w:eastAsia="仿宋_GB2312"/>
          <w:sz w:val="32"/>
          <w:szCs w:val="32"/>
        </w:rPr>
        <w:t>（二）部门（单位）整体支出规模</w:t>
      </w:r>
      <w:r>
        <w:rPr>
          <w:rFonts w:hint="eastAsia" w:ascii="仿宋_GB2312" w:hAnsi="仿宋_GB2312" w:eastAsia="仿宋_GB2312" w:cs="仿宋_GB2312"/>
          <w:sz w:val="32"/>
          <w:szCs w:val="32"/>
          <w:lang w:eastAsia="zh-CN"/>
        </w:rPr>
        <w:t>。</w:t>
      </w:r>
    </w:p>
    <w:p w14:paraId="2FB677EE">
      <w:pPr>
        <w:widowControl w:val="0"/>
        <w:shd w:val="clear" w:color="auto" w:fill="FFFFFF"/>
        <w:spacing w:line="570" w:lineRule="exact"/>
        <w:ind w:firstLine="640" w:firstLineChars="200"/>
        <w:rPr>
          <w:rFonts w:hint="eastAsia" w:ascii="Times New Roman" w:hAnsi="Times New Roman" w:eastAsia="仿宋_GB2312" w:cs="Times New Roman"/>
          <w:kern w:val="0"/>
          <w:sz w:val="32"/>
          <w:szCs w:val="32"/>
          <w:highlight w:val="yellow"/>
          <w:lang w:val="en-US" w:eastAsia="zh-CN" w:bidi="ar-SA"/>
        </w:rPr>
      </w:pPr>
      <w:r>
        <w:rPr>
          <w:rFonts w:hint="eastAsia" w:ascii="Times New Roman" w:hAnsi="Times New Roman" w:eastAsia="仿宋_GB2312" w:cs="Times New Roman"/>
          <w:kern w:val="0"/>
          <w:sz w:val="32"/>
          <w:szCs w:val="32"/>
          <w:lang w:val="en-US" w:eastAsia="zh-CN" w:bidi="ar-SA"/>
        </w:rPr>
        <w:t>202</w:t>
      </w:r>
      <w:r>
        <w:rPr>
          <w:rFonts w:hint="eastAsia" w:eastAsia="仿宋_GB2312" w:cs="Times New Roman"/>
          <w:kern w:val="0"/>
          <w:sz w:val="32"/>
          <w:szCs w:val="32"/>
          <w:lang w:val="en-US" w:eastAsia="zh-CN" w:bidi="ar-SA"/>
        </w:rPr>
        <w:t>5</w:t>
      </w:r>
      <w:r>
        <w:rPr>
          <w:rFonts w:hint="eastAsia" w:ascii="Times New Roman" w:hAnsi="Times New Roman" w:eastAsia="仿宋_GB2312" w:cs="Times New Roman"/>
          <w:kern w:val="0"/>
          <w:sz w:val="32"/>
          <w:szCs w:val="32"/>
          <w:lang w:val="en-US" w:eastAsia="zh-CN" w:bidi="ar-SA"/>
        </w:rPr>
        <w:t>年收入实际完成816.01万元，预算收入788.14万元，</w:t>
      </w:r>
      <w:r>
        <w:rPr>
          <w:rFonts w:hint="eastAsia" w:ascii="仿宋_GB2312" w:hAnsi="仿宋" w:eastAsia="仿宋_GB2312"/>
          <w:sz w:val="32"/>
          <w:szCs w:val="32"/>
          <w:lang w:val="en-US" w:eastAsia="zh-CN"/>
        </w:rPr>
        <w:t>与收入预算相比增</w:t>
      </w:r>
      <w:r>
        <w:rPr>
          <w:rFonts w:hint="eastAsia" w:ascii="Times New Roman" w:hAnsi="Times New Roman" w:eastAsia="仿宋_GB2312" w:cs="Times New Roman"/>
          <w:kern w:val="0"/>
          <w:sz w:val="32"/>
          <w:szCs w:val="32"/>
          <w:lang w:val="en-US" w:eastAsia="zh-CN" w:bidi="ar-SA"/>
        </w:rPr>
        <w:t>加27.87</w:t>
      </w:r>
      <w:r>
        <w:rPr>
          <w:rFonts w:hint="eastAsia" w:ascii="仿宋_GB2312" w:hAnsi="仿宋" w:eastAsia="仿宋_GB2312"/>
          <w:sz w:val="32"/>
          <w:szCs w:val="32"/>
          <w:lang w:val="en-US" w:eastAsia="zh-CN"/>
        </w:rPr>
        <w:t>万元，</w:t>
      </w:r>
      <w:r>
        <w:rPr>
          <w:rFonts w:hint="eastAsia" w:ascii="Times New Roman" w:hAnsi="Times New Roman" w:eastAsia="仿宋_GB2312" w:cs="Times New Roman"/>
          <w:kern w:val="0"/>
          <w:sz w:val="32"/>
          <w:szCs w:val="32"/>
          <w:highlight w:val="none"/>
          <w:lang w:val="en-US" w:eastAsia="zh-CN" w:bidi="ar-SA"/>
        </w:rPr>
        <w:t>主要是</w:t>
      </w:r>
      <w:r>
        <w:rPr>
          <w:rFonts w:hint="eastAsia" w:eastAsia="仿宋_GB2312" w:cs="Times New Roman"/>
          <w:sz w:val="32"/>
          <w:szCs w:val="32"/>
          <w:lang w:val="en-US" w:eastAsia="zh-CN"/>
        </w:rPr>
        <w:t>因为年初公务员工资调标</w:t>
      </w:r>
      <w:r>
        <w:rPr>
          <w:rFonts w:hint="eastAsia" w:ascii="Times New Roman" w:hAnsi="Times New Roman" w:eastAsia="仿宋_GB2312" w:cs="Times New Roman"/>
          <w:sz w:val="32"/>
          <w:szCs w:val="32"/>
          <w:lang w:val="en-US" w:eastAsia="zh-CN"/>
        </w:rPr>
        <w:t>，人员经费有所增加</w:t>
      </w:r>
      <w:r>
        <w:rPr>
          <w:rFonts w:hint="eastAsia" w:ascii="仿宋_GB2312" w:hAnsi="仿宋" w:eastAsia="仿宋_GB2312" w:cs="仿宋_GB2312"/>
          <w:sz w:val="32"/>
          <w:szCs w:val="32"/>
          <w:highlight w:val="none"/>
          <w:lang w:val="en-US" w:eastAsia="zh-CN" w:bidi="ar"/>
        </w:rPr>
        <w:t>。</w:t>
      </w:r>
    </w:p>
    <w:p w14:paraId="726BC93C">
      <w:pPr>
        <w:widowControl w:val="0"/>
        <w:shd w:val="clear" w:color="auto" w:fill="FFFFFF"/>
        <w:spacing w:line="570" w:lineRule="exact"/>
        <w:ind w:firstLine="640" w:firstLineChars="200"/>
        <w:rPr>
          <w:rFonts w:hint="eastAsia" w:ascii="Times New Roman" w:hAnsi="Times New Roman" w:eastAsia="仿宋_GB2312" w:cs="Times New Roman"/>
          <w:kern w:val="0"/>
          <w:sz w:val="32"/>
          <w:szCs w:val="32"/>
          <w:highlight w:val="none"/>
          <w:lang w:val="en-US" w:eastAsia="zh-CN" w:bidi="ar-SA"/>
        </w:rPr>
      </w:pPr>
      <w:r>
        <w:rPr>
          <w:rFonts w:hint="eastAsia" w:ascii="Times New Roman" w:hAnsi="Times New Roman" w:eastAsia="仿宋_GB2312" w:cs="Times New Roman"/>
          <w:kern w:val="0"/>
          <w:sz w:val="32"/>
          <w:szCs w:val="32"/>
          <w:highlight w:val="none"/>
          <w:lang w:val="en-US" w:eastAsia="zh-CN" w:bidi="ar-SA"/>
        </w:rPr>
        <w:t>202</w:t>
      </w:r>
      <w:r>
        <w:rPr>
          <w:rFonts w:hint="eastAsia" w:eastAsia="仿宋_GB2312" w:cs="Times New Roman"/>
          <w:kern w:val="0"/>
          <w:sz w:val="32"/>
          <w:szCs w:val="32"/>
          <w:highlight w:val="none"/>
          <w:lang w:val="en-US" w:eastAsia="zh-CN" w:bidi="ar-SA"/>
        </w:rPr>
        <w:t>4</w:t>
      </w:r>
      <w:r>
        <w:rPr>
          <w:rFonts w:hint="eastAsia" w:ascii="Times New Roman" w:hAnsi="Times New Roman" w:eastAsia="仿宋_GB2312" w:cs="Times New Roman"/>
          <w:kern w:val="0"/>
          <w:sz w:val="32"/>
          <w:szCs w:val="32"/>
          <w:highlight w:val="none"/>
          <w:lang w:val="en-US" w:eastAsia="zh-CN" w:bidi="ar-SA"/>
        </w:rPr>
        <w:t>年支出实际完成</w:t>
      </w:r>
      <w:r>
        <w:rPr>
          <w:rFonts w:hint="eastAsia" w:ascii="Times New Roman" w:hAnsi="Times New Roman" w:eastAsia="仿宋_GB2312" w:cs="Times New Roman"/>
          <w:kern w:val="0"/>
          <w:sz w:val="32"/>
          <w:szCs w:val="32"/>
          <w:lang w:val="en-US" w:eastAsia="zh-CN" w:bidi="ar-SA"/>
        </w:rPr>
        <w:t>816.01</w:t>
      </w:r>
      <w:r>
        <w:rPr>
          <w:rFonts w:hint="eastAsia" w:ascii="Times New Roman" w:hAnsi="Times New Roman" w:eastAsia="仿宋_GB2312" w:cs="Times New Roman"/>
          <w:kern w:val="0"/>
          <w:sz w:val="32"/>
          <w:szCs w:val="32"/>
          <w:highlight w:val="none"/>
          <w:lang w:val="en-US" w:eastAsia="zh-CN" w:bidi="ar-SA"/>
        </w:rPr>
        <w:t>万元，其中：基本支出</w:t>
      </w:r>
      <w:r>
        <w:rPr>
          <w:rFonts w:hint="eastAsia" w:eastAsia="仿宋_GB2312" w:cs="Times New Roman"/>
          <w:kern w:val="0"/>
          <w:sz w:val="32"/>
          <w:szCs w:val="32"/>
          <w:highlight w:val="none"/>
          <w:lang w:val="en-US" w:eastAsia="zh-CN" w:bidi="ar-SA"/>
        </w:rPr>
        <w:t>661.92</w:t>
      </w:r>
      <w:r>
        <w:rPr>
          <w:rFonts w:hint="eastAsia" w:ascii="Times New Roman" w:hAnsi="Times New Roman" w:eastAsia="仿宋_GB2312" w:cs="Times New Roman"/>
          <w:kern w:val="0"/>
          <w:sz w:val="32"/>
          <w:szCs w:val="32"/>
          <w:highlight w:val="none"/>
          <w:lang w:val="en-US" w:eastAsia="zh-CN" w:bidi="ar-SA"/>
        </w:rPr>
        <w:t>万元，占总支出的</w:t>
      </w:r>
      <w:r>
        <w:rPr>
          <w:rFonts w:hint="eastAsia" w:eastAsia="仿宋_GB2312" w:cs="Times New Roman"/>
          <w:kern w:val="0"/>
          <w:sz w:val="32"/>
          <w:szCs w:val="32"/>
          <w:highlight w:val="none"/>
          <w:lang w:val="en-US" w:eastAsia="zh-CN" w:bidi="ar-SA"/>
        </w:rPr>
        <w:t>81.12</w:t>
      </w:r>
      <w:r>
        <w:rPr>
          <w:rFonts w:hint="eastAsia" w:ascii="Times New Roman" w:hAnsi="Times New Roman" w:eastAsia="仿宋_GB2312" w:cs="Times New Roman"/>
          <w:kern w:val="0"/>
          <w:sz w:val="32"/>
          <w:szCs w:val="32"/>
          <w:highlight w:val="none"/>
          <w:lang w:val="en-US" w:eastAsia="zh-CN" w:bidi="ar-SA"/>
        </w:rPr>
        <w:t>%；项目支出</w:t>
      </w:r>
      <w:r>
        <w:rPr>
          <w:rFonts w:hint="eastAsia" w:eastAsia="仿宋_GB2312" w:cs="Times New Roman"/>
          <w:kern w:val="0"/>
          <w:sz w:val="32"/>
          <w:szCs w:val="32"/>
          <w:highlight w:val="none"/>
          <w:lang w:val="en-US" w:eastAsia="zh-CN" w:bidi="ar-SA"/>
        </w:rPr>
        <w:t>154.09</w:t>
      </w:r>
      <w:r>
        <w:rPr>
          <w:rFonts w:hint="eastAsia" w:ascii="Times New Roman" w:hAnsi="Times New Roman" w:eastAsia="仿宋_GB2312" w:cs="Times New Roman"/>
          <w:kern w:val="0"/>
          <w:sz w:val="32"/>
          <w:szCs w:val="32"/>
          <w:highlight w:val="none"/>
          <w:lang w:val="en-US" w:eastAsia="zh-CN" w:bidi="ar-SA"/>
        </w:rPr>
        <w:t>万元，占总支出的</w:t>
      </w:r>
      <w:r>
        <w:rPr>
          <w:rFonts w:hint="eastAsia" w:eastAsia="仿宋_GB2312" w:cs="Times New Roman"/>
          <w:kern w:val="0"/>
          <w:sz w:val="32"/>
          <w:szCs w:val="32"/>
          <w:highlight w:val="none"/>
          <w:lang w:val="en-US" w:eastAsia="zh-CN" w:bidi="ar-SA"/>
        </w:rPr>
        <w:t>18.88</w:t>
      </w:r>
      <w:r>
        <w:rPr>
          <w:rFonts w:hint="eastAsia" w:ascii="Times New Roman" w:hAnsi="Times New Roman" w:eastAsia="仿宋_GB2312" w:cs="Times New Roman"/>
          <w:kern w:val="0"/>
          <w:sz w:val="32"/>
          <w:szCs w:val="32"/>
          <w:highlight w:val="none"/>
          <w:lang w:val="en-US" w:eastAsia="zh-CN" w:bidi="ar-SA"/>
        </w:rPr>
        <w:t>%；上缴上级支出0万元，占0%；经营支出0万元，占0%；对附属单位补助支出0万元，占0%。202</w:t>
      </w:r>
      <w:r>
        <w:rPr>
          <w:rFonts w:hint="eastAsia" w:eastAsia="仿宋_GB2312" w:cs="Times New Roman"/>
          <w:kern w:val="0"/>
          <w:sz w:val="32"/>
          <w:szCs w:val="32"/>
          <w:highlight w:val="none"/>
          <w:lang w:val="en-US" w:eastAsia="zh-CN" w:bidi="ar-SA"/>
        </w:rPr>
        <w:t>5</w:t>
      </w:r>
      <w:r>
        <w:rPr>
          <w:rFonts w:hint="eastAsia" w:ascii="Times New Roman" w:hAnsi="Times New Roman" w:eastAsia="仿宋_GB2312" w:cs="Times New Roman"/>
          <w:kern w:val="0"/>
          <w:sz w:val="32"/>
          <w:szCs w:val="32"/>
          <w:highlight w:val="none"/>
          <w:lang w:val="en-US" w:eastAsia="zh-CN" w:bidi="ar-SA"/>
        </w:rPr>
        <w:t>年实际支出比预算支出</w:t>
      </w:r>
      <w:r>
        <w:rPr>
          <w:rFonts w:hint="eastAsia" w:ascii="仿宋_GB2312" w:hAnsi="仿宋" w:eastAsia="仿宋_GB2312"/>
          <w:sz w:val="32"/>
          <w:szCs w:val="32"/>
          <w:lang w:val="en-US" w:eastAsia="zh-CN"/>
        </w:rPr>
        <w:t>增</w:t>
      </w:r>
      <w:r>
        <w:rPr>
          <w:rFonts w:hint="eastAsia" w:ascii="Times New Roman" w:hAnsi="Times New Roman" w:eastAsia="仿宋_GB2312" w:cs="Times New Roman"/>
          <w:kern w:val="0"/>
          <w:sz w:val="32"/>
          <w:szCs w:val="32"/>
          <w:lang w:val="en-US" w:eastAsia="zh-CN" w:bidi="ar-SA"/>
        </w:rPr>
        <w:t>加27.87</w:t>
      </w:r>
      <w:r>
        <w:rPr>
          <w:rFonts w:hint="eastAsia" w:ascii="Times New Roman" w:hAnsi="Times New Roman" w:eastAsia="仿宋_GB2312" w:cs="Times New Roman"/>
          <w:kern w:val="0"/>
          <w:sz w:val="32"/>
          <w:szCs w:val="32"/>
          <w:highlight w:val="none"/>
          <w:lang w:val="en-US" w:eastAsia="zh-CN" w:bidi="ar-SA"/>
        </w:rPr>
        <w:t>万元，主要是</w:t>
      </w:r>
      <w:r>
        <w:rPr>
          <w:rFonts w:hint="eastAsia" w:eastAsia="仿宋_GB2312" w:cs="Times New Roman"/>
          <w:kern w:val="0"/>
          <w:sz w:val="32"/>
          <w:szCs w:val="32"/>
          <w:highlight w:val="none"/>
          <w:lang w:val="en-US" w:eastAsia="zh-CN" w:bidi="ar-SA"/>
        </w:rPr>
        <w:t>因为</w:t>
      </w:r>
      <w:r>
        <w:rPr>
          <w:rFonts w:hint="eastAsia" w:ascii="Times New Roman" w:hAnsi="Times New Roman" w:eastAsia="仿宋_GB2312" w:cs="Times New Roman"/>
          <w:sz w:val="32"/>
          <w:szCs w:val="32"/>
          <w:lang w:val="en-US" w:eastAsia="zh-CN"/>
        </w:rPr>
        <w:t>单位履职任务增加、刚性运转成本上升</w:t>
      </w:r>
      <w:r>
        <w:rPr>
          <w:rFonts w:hint="eastAsia" w:ascii="Times New Roman" w:hAnsi="Times New Roman" w:eastAsia="仿宋_GB2312" w:cs="Times New Roman"/>
          <w:kern w:val="0"/>
          <w:sz w:val="32"/>
          <w:szCs w:val="32"/>
          <w:highlight w:val="none"/>
          <w:lang w:val="en-US" w:eastAsia="zh-CN" w:bidi="ar-SA"/>
        </w:rPr>
        <w:t>。</w:t>
      </w:r>
    </w:p>
    <w:p w14:paraId="5EBCADBC">
      <w:pPr>
        <w:widowControl w:val="0"/>
        <w:shd w:val="clear" w:color="auto" w:fill="FFFFFF"/>
        <w:spacing w:line="570" w:lineRule="exact"/>
        <w:ind w:firstLine="640" w:firstLineChars="200"/>
        <w:rPr>
          <w:rFonts w:hint="eastAsia" w:ascii="Times New Roman" w:hAnsi="Times New Roman" w:eastAsia="仿宋_GB2312" w:cs="Times New Roman"/>
          <w:kern w:val="0"/>
          <w:sz w:val="32"/>
          <w:szCs w:val="32"/>
          <w:highlight w:val="none"/>
          <w:lang w:val="en-US" w:eastAsia="zh-CN" w:bidi="ar-SA"/>
        </w:rPr>
      </w:pPr>
      <w:r>
        <w:rPr>
          <w:rFonts w:hint="eastAsia" w:ascii="Times New Roman" w:hAnsi="Times New Roman" w:eastAsia="仿宋_GB2312" w:cs="Times New Roman"/>
          <w:kern w:val="0"/>
          <w:sz w:val="32"/>
          <w:szCs w:val="32"/>
          <w:highlight w:val="none"/>
          <w:lang w:val="en-US" w:eastAsia="zh-CN" w:bidi="ar-SA"/>
        </w:rPr>
        <w:t>“三公”经费支出情况：202</w:t>
      </w:r>
      <w:r>
        <w:rPr>
          <w:rFonts w:hint="eastAsia" w:eastAsia="仿宋_GB2312" w:cs="Times New Roman"/>
          <w:kern w:val="0"/>
          <w:sz w:val="32"/>
          <w:szCs w:val="32"/>
          <w:highlight w:val="none"/>
          <w:lang w:val="en-US" w:eastAsia="zh-CN" w:bidi="ar-SA"/>
        </w:rPr>
        <w:t>5</w:t>
      </w:r>
      <w:r>
        <w:rPr>
          <w:rFonts w:hint="eastAsia" w:ascii="Times New Roman" w:hAnsi="Times New Roman" w:eastAsia="仿宋_GB2312" w:cs="Times New Roman"/>
          <w:kern w:val="0"/>
          <w:sz w:val="32"/>
          <w:szCs w:val="32"/>
          <w:highlight w:val="none"/>
          <w:lang w:val="en-US" w:eastAsia="zh-CN" w:bidi="ar-SA"/>
        </w:rPr>
        <w:t>年“三公”经费完成</w:t>
      </w:r>
      <w:r>
        <w:rPr>
          <w:rFonts w:hint="eastAsia" w:eastAsia="仿宋_GB2312" w:cs="Times New Roman"/>
          <w:kern w:val="0"/>
          <w:sz w:val="32"/>
          <w:szCs w:val="32"/>
          <w:highlight w:val="none"/>
          <w:lang w:val="en-US" w:eastAsia="zh-CN" w:bidi="ar-SA"/>
        </w:rPr>
        <w:t>0</w:t>
      </w:r>
      <w:r>
        <w:rPr>
          <w:rFonts w:hint="eastAsia" w:ascii="Times New Roman" w:hAnsi="Times New Roman" w:eastAsia="仿宋_GB2312" w:cs="Times New Roman"/>
          <w:kern w:val="0"/>
          <w:sz w:val="32"/>
          <w:szCs w:val="32"/>
          <w:highlight w:val="none"/>
          <w:lang w:val="en-US" w:eastAsia="zh-CN" w:bidi="ar-SA"/>
        </w:rPr>
        <w:t>万元，与上年持平，</w:t>
      </w:r>
      <w:r>
        <w:rPr>
          <w:rFonts w:hint="eastAsia" w:eastAsia="仿宋_GB2312" w:cs="Times New Roman"/>
          <w:kern w:val="0"/>
          <w:sz w:val="32"/>
          <w:szCs w:val="32"/>
          <w:highlight w:val="none"/>
          <w:lang w:val="en-US" w:eastAsia="zh-CN" w:bidi="ar-SA"/>
        </w:rPr>
        <w:t>2025年度未产生</w:t>
      </w:r>
      <w:r>
        <w:rPr>
          <w:rFonts w:hint="eastAsia" w:ascii="Times New Roman" w:hAnsi="Times New Roman" w:eastAsia="仿宋_GB2312" w:cs="Times New Roman"/>
          <w:kern w:val="0"/>
          <w:sz w:val="32"/>
          <w:szCs w:val="32"/>
          <w:highlight w:val="none"/>
          <w:lang w:val="en-US" w:eastAsia="zh-CN" w:bidi="ar-SA"/>
        </w:rPr>
        <w:t>公务接待</w:t>
      </w:r>
      <w:r>
        <w:rPr>
          <w:rFonts w:hint="eastAsia" w:eastAsia="仿宋_GB2312" w:cs="Times New Roman"/>
          <w:kern w:val="0"/>
          <w:sz w:val="32"/>
          <w:szCs w:val="32"/>
          <w:highlight w:val="none"/>
          <w:lang w:val="en-US" w:eastAsia="zh-CN" w:bidi="ar-SA"/>
        </w:rPr>
        <w:t>费用</w:t>
      </w:r>
      <w:r>
        <w:rPr>
          <w:rFonts w:hint="eastAsia" w:ascii="Times New Roman" w:hAnsi="Times New Roman" w:eastAsia="仿宋_GB2312" w:cs="Times New Roman"/>
          <w:kern w:val="0"/>
          <w:sz w:val="32"/>
          <w:szCs w:val="32"/>
          <w:highlight w:val="none"/>
          <w:lang w:val="en-US" w:eastAsia="zh-CN" w:bidi="ar-SA"/>
        </w:rPr>
        <w:t>。其中：因公出国（境）费0元；公务接待费</w:t>
      </w:r>
      <w:r>
        <w:rPr>
          <w:rFonts w:hint="eastAsia" w:eastAsia="仿宋_GB2312" w:cs="Times New Roman"/>
          <w:kern w:val="0"/>
          <w:sz w:val="32"/>
          <w:szCs w:val="32"/>
          <w:highlight w:val="none"/>
          <w:lang w:val="en-US" w:eastAsia="zh-CN" w:bidi="ar-SA"/>
        </w:rPr>
        <w:t>0</w:t>
      </w:r>
      <w:r>
        <w:rPr>
          <w:rFonts w:hint="eastAsia" w:ascii="Times New Roman" w:hAnsi="Times New Roman" w:eastAsia="仿宋_GB2312" w:cs="Times New Roman"/>
          <w:kern w:val="0"/>
          <w:sz w:val="32"/>
          <w:szCs w:val="32"/>
          <w:highlight w:val="none"/>
          <w:lang w:val="en-US" w:eastAsia="zh-CN" w:bidi="ar-SA"/>
        </w:rPr>
        <w:t>万元；公务用车购置及运行维护费0元。</w:t>
      </w:r>
    </w:p>
    <w:p w14:paraId="1F75EC18">
      <w:pPr>
        <w:pStyle w:val="13"/>
        <w:spacing w:line="570" w:lineRule="exact"/>
        <w:ind w:firstLine="640"/>
        <w:rPr>
          <w:rFonts w:ascii="Times New Roman" w:hAnsi="Times New Roman" w:eastAsia="黑体"/>
          <w:sz w:val="32"/>
          <w:szCs w:val="32"/>
        </w:rPr>
      </w:pPr>
      <w:r>
        <w:rPr>
          <w:rFonts w:ascii="Times New Roman" w:hAnsi="Times New Roman" w:eastAsia="黑体"/>
          <w:sz w:val="32"/>
          <w:szCs w:val="32"/>
        </w:rPr>
        <w:t>二、一般公共预算支出情况</w:t>
      </w:r>
    </w:p>
    <w:p w14:paraId="32A659A0">
      <w:pPr>
        <w:pStyle w:val="13"/>
        <w:spacing w:line="570" w:lineRule="exact"/>
        <w:ind w:firstLine="640"/>
        <w:rPr>
          <w:rFonts w:ascii="Times New Roman" w:hAnsi="Times New Roman" w:eastAsia="仿宋_GB2312"/>
          <w:sz w:val="32"/>
          <w:szCs w:val="32"/>
        </w:rPr>
      </w:pPr>
      <w:r>
        <w:rPr>
          <w:rFonts w:ascii="Times New Roman" w:hAnsi="Times New Roman" w:eastAsia="仿宋_GB2312"/>
          <w:sz w:val="32"/>
          <w:szCs w:val="32"/>
        </w:rPr>
        <w:t>（一）基本支出情况</w:t>
      </w:r>
    </w:p>
    <w:p w14:paraId="6303B53E">
      <w:pPr>
        <w:pStyle w:val="13"/>
        <w:spacing w:line="570" w:lineRule="exact"/>
        <w:ind w:firstLine="640"/>
        <w:outlineLvl w:val="1"/>
        <w:rPr>
          <w:rFonts w:ascii="Times New Roman" w:hAnsi="Times New Roman" w:eastAsia="仿宋_GB2312"/>
          <w:sz w:val="32"/>
          <w:szCs w:val="32"/>
        </w:rPr>
      </w:pPr>
      <w:r>
        <w:rPr>
          <w:rFonts w:hint="default" w:ascii="Times New Roman" w:hAnsi="Times New Roman" w:eastAsia="仿宋_GB2312"/>
          <w:sz w:val="32"/>
          <w:szCs w:val="32"/>
          <w:highlight w:val="none"/>
          <w:lang w:val="en-US" w:eastAsia="zh-CN"/>
        </w:rPr>
        <w:t>202</w:t>
      </w:r>
      <w:r>
        <w:rPr>
          <w:rFonts w:hint="eastAsia" w:ascii="Times New Roman" w:hAnsi="Times New Roman" w:eastAsia="仿宋_GB2312"/>
          <w:sz w:val="32"/>
          <w:szCs w:val="32"/>
          <w:highlight w:val="none"/>
          <w:lang w:val="en-US" w:eastAsia="zh-CN"/>
        </w:rPr>
        <w:t>5</w:t>
      </w:r>
      <w:r>
        <w:rPr>
          <w:rFonts w:hint="default" w:ascii="Times New Roman" w:hAnsi="Times New Roman" w:eastAsia="仿宋_GB2312"/>
          <w:sz w:val="32"/>
          <w:szCs w:val="32"/>
          <w:highlight w:val="none"/>
          <w:lang w:val="en-US" w:eastAsia="zh-CN"/>
        </w:rPr>
        <w:t>年我校纳入绩效自评范围的基本支出预算资金总额</w:t>
      </w:r>
      <w:r>
        <w:rPr>
          <w:rFonts w:hint="default" w:ascii="Times New Roman" w:hAnsi="Times New Roman" w:eastAsia="仿宋_GB2312" w:cs="Times New Roman"/>
          <w:sz w:val="32"/>
          <w:szCs w:val="32"/>
          <w:highlight w:val="none"/>
          <w:lang w:val="en-US" w:eastAsia="zh-CN"/>
        </w:rPr>
        <w:t>为</w:t>
      </w:r>
      <w:r>
        <w:rPr>
          <w:rFonts w:hint="eastAsia" w:ascii="Times New Roman" w:hAnsi="Times New Roman" w:eastAsia="仿宋_GB2312" w:cs="Times New Roman"/>
          <w:sz w:val="32"/>
          <w:szCs w:val="32"/>
          <w:highlight w:val="none"/>
          <w:lang w:val="en-US" w:eastAsia="zh-CN"/>
        </w:rPr>
        <w:t>608.14</w:t>
      </w:r>
      <w:r>
        <w:rPr>
          <w:rFonts w:hint="default" w:ascii="Times New Roman" w:hAnsi="Times New Roman" w:eastAsia="仿宋_GB2312" w:cs="Times New Roman"/>
          <w:sz w:val="32"/>
          <w:szCs w:val="32"/>
          <w:highlight w:val="none"/>
          <w:lang w:val="en-US" w:eastAsia="zh-CN"/>
        </w:rPr>
        <w:t>万</w:t>
      </w:r>
      <w:r>
        <w:rPr>
          <w:rFonts w:hint="default" w:ascii="Times New Roman" w:hAnsi="Times New Roman" w:eastAsia="仿宋_GB2312"/>
          <w:sz w:val="32"/>
          <w:szCs w:val="32"/>
          <w:highlight w:val="none"/>
          <w:lang w:val="en-US" w:eastAsia="zh-CN"/>
        </w:rPr>
        <w:t>元，其中：工资福利支出</w:t>
      </w:r>
      <w:r>
        <w:rPr>
          <w:rFonts w:hint="eastAsia" w:ascii="Times New Roman" w:hAnsi="Times New Roman" w:eastAsia="仿宋_GB2312"/>
          <w:sz w:val="32"/>
          <w:szCs w:val="32"/>
          <w:highlight w:val="none"/>
          <w:lang w:val="en-US" w:eastAsia="zh-CN"/>
        </w:rPr>
        <w:t>498.05</w:t>
      </w:r>
      <w:r>
        <w:rPr>
          <w:rFonts w:hint="default" w:ascii="Times New Roman" w:hAnsi="Times New Roman" w:eastAsia="仿宋_GB2312"/>
          <w:sz w:val="32"/>
          <w:szCs w:val="32"/>
          <w:highlight w:val="none"/>
          <w:lang w:val="en-US" w:eastAsia="zh-CN"/>
        </w:rPr>
        <w:t>万元，一般商品和服</w:t>
      </w:r>
      <w:r>
        <w:rPr>
          <w:rFonts w:hint="default" w:ascii="Times New Roman" w:hAnsi="Times New Roman" w:eastAsia="仿宋_GB2312" w:cs="Times New Roman"/>
          <w:sz w:val="32"/>
          <w:szCs w:val="32"/>
          <w:highlight w:val="none"/>
          <w:lang w:val="en-US" w:eastAsia="zh-CN"/>
        </w:rPr>
        <w:t>务支出</w:t>
      </w:r>
      <w:r>
        <w:rPr>
          <w:rFonts w:hint="eastAsia" w:ascii="Times New Roman" w:hAnsi="Times New Roman" w:eastAsia="仿宋_GB2312" w:cs="Times New Roman"/>
          <w:sz w:val="32"/>
          <w:szCs w:val="32"/>
          <w:highlight w:val="none"/>
          <w:lang w:val="en-US" w:eastAsia="zh-CN"/>
        </w:rPr>
        <w:t>110.09</w:t>
      </w:r>
      <w:r>
        <w:rPr>
          <w:rFonts w:hint="default" w:ascii="Times New Roman" w:hAnsi="Times New Roman" w:eastAsia="仿宋_GB2312" w:cs="Times New Roman"/>
          <w:sz w:val="32"/>
          <w:szCs w:val="32"/>
          <w:highlight w:val="none"/>
          <w:lang w:val="en-US" w:eastAsia="zh-CN"/>
        </w:rPr>
        <w:t>万元。202</w:t>
      </w:r>
      <w:r>
        <w:rPr>
          <w:rFonts w:hint="eastAsia" w:ascii="Times New Roman" w:hAnsi="Times New Roman" w:eastAsia="仿宋_GB2312" w:cs="Times New Roman"/>
          <w:sz w:val="32"/>
          <w:szCs w:val="32"/>
          <w:highlight w:val="none"/>
          <w:lang w:val="en-US" w:eastAsia="zh-CN"/>
        </w:rPr>
        <w:t>5</w:t>
      </w:r>
      <w:r>
        <w:rPr>
          <w:rFonts w:hint="default" w:ascii="Times New Roman" w:hAnsi="Times New Roman" w:eastAsia="仿宋_GB2312" w:cs="Times New Roman"/>
          <w:sz w:val="32"/>
          <w:szCs w:val="32"/>
          <w:highlight w:val="none"/>
          <w:lang w:val="en-US" w:eastAsia="zh-CN"/>
        </w:rPr>
        <w:t>年度实际基本支出</w:t>
      </w:r>
      <w:r>
        <w:rPr>
          <w:rFonts w:hint="eastAsia" w:ascii="Times New Roman" w:hAnsi="Times New Roman" w:eastAsia="仿宋_GB2312" w:cs="Times New Roman"/>
          <w:sz w:val="32"/>
          <w:szCs w:val="32"/>
          <w:highlight w:val="none"/>
          <w:lang w:val="en-US" w:eastAsia="zh-CN"/>
        </w:rPr>
        <w:t>661.92</w:t>
      </w:r>
      <w:r>
        <w:rPr>
          <w:rFonts w:hint="default" w:ascii="Times New Roman" w:hAnsi="Times New Roman" w:eastAsia="仿宋_GB2312" w:cs="Times New Roman"/>
          <w:sz w:val="32"/>
          <w:szCs w:val="32"/>
          <w:highlight w:val="none"/>
          <w:lang w:val="en-US" w:eastAsia="zh-CN"/>
        </w:rPr>
        <w:t>万元</w:t>
      </w:r>
      <w:r>
        <w:rPr>
          <w:rFonts w:hint="eastAsia" w:ascii="Times New Roman" w:hAnsi="Times New Roman" w:eastAsia="仿宋_GB2312" w:cs="Times New Roman"/>
          <w:sz w:val="32"/>
          <w:szCs w:val="32"/>
          <w:highlight w:val="none"/>
          <w:lang w:val="en-US" w:eastAsia="zh-CN"/>
        </w:rPr>
        <w:t>，比上年支出</w:t>
      </w:r>
      <w:r>
        <w:rPr>
          <w:rFonts w:hint="eastAsia" w:ascii="Times New Roman" w:hAnsi="Times New Roman" w:eastAsia="仿宋_GB2312" w:cs="Times New Roman"/>
          <w:kern w:val="0"/>
          <w:sz w:val="32"/>
          <w:szCs w:val="32"/>
          <w:highlight w:val="none"/>
          <w:lang w:val="en-US" w:eastAsia="zh-CN" w:bidi="ar-SA"/>
        </w:rPr>
        <w:t>585.85</w:t>
      </w:r>
      <w:r>
        <w:rPr>
          <w:rFonts w:hint="eastAsia" w:ascii="Times New Roman" w:hAnsi="Times New Roman" w:eastAsia="仿宋_GB2312" w:cs="Times New Roman"/>
          <w:sz w:val="32"/>
          <w:szCs w:val="32"/>
          <w:highlight w:val="none"/>
          <w:lang w:val="en-US" w:eastAsia="zh-CN"/>
        </w:rPr>
        <w:t>万元增加76.07万元，变化的主要原因为</w:t>
      </w:r>
      <w:r>
        <w:rPr>
          <w:rFonts w:hint="eastAsia" w:eastAsia="仿宋_GB2312" w:cs="Times New Roman"/>
          <w:sz w:val="32"/>
          <w:szCs w:val="32"/>
          <w:lang w:val="en-US" w:eastAsia="zh-CN"/>
        </w:rPr>
        <w:t>公务员工资调标</w:t>
      </w:r>
      <w:r>
        <w:rPr>
          <w:rFonts w:hint="eastAsia" w:ascii="Times New Roman" w:hAnsi="Times New Roman" w:eastAsia="仿宋_GB2312" w:cs="Times New Roman"/>
          <w:sz w:val="32"/>
          <w:szCs w:val="32"/>
          <w:lang w:val="en-US" w:eastAsia="zh-CN"/>
        </w:rPr>
        <w:t>，人员经费有所增加，且单位履职任务增加、刚性运转成本上升</w:t>
      </w:r>
      <w:r>
        <w:rPr>
          <w:rFonts w:hint="eastAsia" w:ascii="Times New Roman" w:hAnsi="Times New Roman" w:eastAsia="仿宋_GB2312" w:cs="Times New Roman"/>
          <w:sz w:val="32"/>
          <w:szCs w:val="32"/>
          <w:highlight w:val="none"/>
          <w:lang w:val="en-US" w:eastAsia="zh-CN"/>
        </w:rPr>
        <w:t>。</w:t>
      </w:r>
    </w:p>
    <w:p w14:paraId="17B41736">
      <w:pPr>
        <w:pStyle w:val="13"/>
        <w:spacing w:line="570" w:lineRule="exact"/>
        <w:ind w:firstLine="640"/>
        <w:rPr>
          <w:rFonts w:ascii="Times New Roman" w:hAnsi="Times New Roman" w:eastAsia="仿宋_GB2312"/>
          <w:sz w:val="32"/>
          <w:szCs w:val="32"/>
        </w:rPr>
      </w:pPr>
      <w:r>
        <w:rPr>
          <w:rFonts w:ascii="Times New Roman" w:hAnsi="Times New Roman" w:eastAsia="仿宋_GB2312"/>
          <w:sz w:val="32"/>
          <w:szCs w:val="32"/>
        </w:rPr>
        <w:t>（二）项目支出情况</w:t>
      </w:r>
    </w:p>
    <w:p w14:paraId="0797F066">
      <w:pPr>
        <w:pStyle w:val="13"/>
        <w:spacing w:line="570" w:lineRule="exact"/>
        <w:ind w:firstLine="640"/>
        <w:rPr>
          <w:rFonts w:ascii="Times New Roman" w:hAnsi="Times New Roman" w:eastAsia="仿宋_GB2312"/>
          <w:sz w:val="32"/>
          <w:szCs w:val="32"/>
        </w:rPr>
      </w:pPr>
      <w:r>
        <w:rPr>
          <w:rFonts w:hint="default" w:ascii="Times New Roman" w:hAnsi="Times New Roman" w:eastAsia="仿宋_GB2312"/>
          <w:sz w:val="32"/>
          <w:szCs w:val="32"/>
          <w:highlight w:val="none"/>
          <w:lang w:val="en-US" w:eastAsia="zh-CN"/>
        </w:rPr>
        <w:t>202</w:t>
      </w:r>
      <w:r>
        <w:rPr>
          <w:rFonts w:hint="eastAsia" w:ascii="Times New Roman" w:hAnsi="Times New Roman" w:eastAsia="仿宋_GB2312"/>
          <w:sz w:val="32"/>
          <w:szCs w:val="32"/>
          <w:highlight w:val="none"/>
          <w:lang w:val="en-US" w:eastAsia="zh-CN"/>
        </w:rPr>
        <w:t>5</w:t>
      </w:r>
      <w:r>
        <w:rPr>
          <w:rFonts w:hint="default" w:ascii="Times New Roman" w:hAnsi="Times New Roman" w:eastAsia="仿宋_GB2312"/>
          <w:sz w:val="32"/>
          <w:szCs w:val="32"/>
          <w:highlight w:val="none"/>
          <w:lang w:val="en-US" w:eastAsia="zh-CN"/>
        </w:rPr>
        <w:t>年我校纳入绩效自评范围的</w:t>
      </w:r>
      <w:r>
        <w:rPr>
          <w:rFonts w:hint="eastAsia" w:ascii="Times New Roman" w:hAnsi="Times New Roman" w:eastAsia="仿宋_GB2312"/>
          <w:sz w:val="32"/>
          <w:szCs w:val="32"/>
          <w:highlight w:val="none"/>
          <w:lang w:val="en-US" w:eastAsia="zh-CN"/>
        </w:rPr>
        <w:t>项目</w:t>
      </w:r>
      <w:r>
        <w:rPr>
          <w:rFonts w:hint="default" w:ascii="Times New Roman" w:hAnsi="Times New Roman" w:eastAsia="仿宋_GB2312"/>
          <w:sz w:val="32"/>
          <w:szCs w:val="32"/>
          <w:highlight w:val="none"/>
          <w:lang w:val="en-US" w:eastAsia="zh-CN"/>
        </w:rPr>
        <w:t>支出预算资金总额为</w:t>
      </w:r>
      <w:r>
        <w:rPr>
          <w:rFonts w:hint="eastAsia" w:ascii="Times New Roman" w:hAnsi="Times New Roman" w:eastAsia="仿宋_GB2312"/>
          <w:sz w:val="32"/>
          <w:szCs w:val="32"/>
          <w:highlight w:val="none"/>
          <w:lang w:val="en-US" w:eastAsia="zh-CN"/>
        </w:rPr>
        <w:t>180</w:t>
      </w:r>
      <w:r>
        <w:rPr>
          <w:rFonts w:hint="default" w:ascii="Times New Roman" w:hAnsi="Times New Roman" w:eastAsia="仿宋_GB2312"/>
          <w:sz w:val="32"/>
          <w:szCs w:val="32"/>
          <w:highlight w:val="none"/>
          <w:lang w:val="en-US" w:eastAsia="zh-CN"/>
        </w:rPr>
        <w:t>万元，</w:t>
      </w:r>
      <w:r>
        <w:rPr>
          <w:rFonts w:hint="eastAsia" w:ascii="Times New Roman" w:hAnsi="Times New Roman" w:eastAsia="仿宋_GB2312"/>
          <w:sz w:val="32"/>
          <w:szCs w:val="32"/>
          <w:highlight w:val="none"/>
          <w:lang w:val="en-US" w:eastAsia="zh-CN"/>
        </w:rPr>
        <w:t>为</w:t>
      </w:r>
      <w:r>
        <w:rPr>
          <w:rFonts w:hint="default" w:ascii="Times New Roman" w:hAnsi="Times New Roman" w:eastAsia="仿宋_GB2312"/>
          <w:sz w:val="32"/>
          <w:szCs w:val="32"/>
          <w:highlight w:val="none"/>
          <w:lang w:val="en-US" w:eastAsia="zh-CN"/>
        </w:rPr>
        <w:t>按项目管理的商品和服务支出。202</w:t>
      </w:r>
      <w:r>
        <w:rPr>
          <w:rFonts w:hint="eastAsia" w:ascii="Times New Roman" w:hAnsi="Times New Roman" w:eastAsia="仿宋_GB2312"/>
          <w:sz w:val="32"/>
          <w:szCs w:val="32"/>
          <w:highlight w:val="none"/>
          <w:lang w:val="en-US" w:eastAsia="zh-CN"/>
        </w:rPr>
        <w:t>5</w:t>
      </w:r>
      <w:r>
        <w:rPr>
          <w:rFonts w:hint="default" w:ascii="Times New Roman" w:hAnsi="Times New Roman" w:eastAsia="仿宋_GB2312"/>
          <w:sz w:val="32"/>
          <w:szCs w:val="32"/>
          <w:highlight w:val="none"/>
          <w:lang w:val="en-US" w:eastAsia="zh-CN"/>
        </w:rPr>
        <w:t>年度实际</w:t>
      </w:r>
      <w:r>
        <w:rPr>
          <w:rFonts w:hint="eastAsia" w:ascii="Times New Roman" w:hAnsi="Times New Roman" w:eastAsia="仿宋_GB2312"/>
          <w:sz w:val="32"/>
          <w:szCs w:val="32"/>
          <w:highlight w:val="none"/>
          <w:lang w:val="en-US" w:eastAsia="zh-CN"/>
        </w:rPr>
        <w:t>项目</w:t>
      </w:r>
      <w:r>
        <w:rPr>
          <w:rFonts w:hint="default" w:ascii="Times New Roman" w:hAnsi="Times New Roman" w:eastAsia="仿宋_GB2312"/>
          <w:sz w:val="32"/>
          <w:szCs w:val="32"/>
          <w:highlight w:val="none"/>
          <w:lang w:val="en-US" w:eastAsia="zh-CN"/>
        </w:rPr>
        <w:t>支出</w:t>
      </w:r>
      <w:r>
        <w:rPr>
          <w:rFonts w:hint="eastAsia" w:ascii="Times New Roman" w:hAnsi="Times New Roman" w:eastAsia="仿宋_GB2312"/>
          <w:sz w:val="32"/>
          <w:szCs w:val="32"/>
          <w:highlight w:val="none"/>
          <w:lang w:val="en-US" w:eastAsia="zh-CN"/>
        </w:rPr>
        <w:t>154.09</w:t>
      </w:r>
      <w:r>
        <w:rPr>
          <w:rFonts w:hint="default" w:ascii="Times New Roman" w:hAnsi="Times New Roman" w:eastAsia="仿宋_GB2312"/>
          <w:sz w:val="32"/>
          <w:szCs w:val="32"/>
          <w:highlight w:val="none"/>
          <w:lang w:val="en-US" w:eastAsia="zh-CN"/>
        </w:rPr>
        <w:t>万元</w:t>
      </w:r>
      <w:r>
        <w:rPr>
          <w:rFonts w:hint="eastAsia" w:ascii="Times New Roman" w:hAnsi="Times New Roman" w:eastAsia="仿宋_GB2312"/>
          <w:sz w:val="32"/>
          <w:szCs w:val="32"/>
          <w:highlight w:val="none"/>
          <w:lang w:val="en-US" w:eastAsia="zh-CN"/>
        </w:rPr>
        <w:t>，</w:t>
      </w:r>
      <w:r>
        <w:rPr>
          <w:rFonts w:hint="eastAsia" w:ascii="仿宋_GB2312" w:hAnsi="仿宋" w:eastAsia="仿宋_GB2312" w:cs="Times New Roman"/>
          <w:sz w:val="32"/>
          <w:szCs w:val="32"/>
          <w:highlight w:val="none"/>
          <w:lang w:val="en-US" w:eastAsia="zh-CN"/>
        </w:rPr>
        <w:t>主要为我校财政专户非税成本支出</w:t>
      </w:r>
      <w:r>
        <w:rPr>
          <w:rFonts w:hint="eastAsia" w:ascii="Times New Roman" w:hAnsi="Times New Roman" w:eastAsia="仿宋_GB2312"/>
          <w:sz w:val="32"/>
          <w:szCs w:val="32"/>
          <w:highlight w:val="none"/>
          <w:lang w:val="en-US" w:eastAsia="zh-CN"/>
        </w:rPr>
        <w:t>。</w:t>
      </w:r>
    </w:p>
    <w:p w14:paraId="214BF759">
      <w:pPr>
        <w:pStyle w:val="13"/>
        <w:spacing w:line="570" w:lineRule="exact"/>
        <w:ind w:firstLine="640"/>
        <w:rPr>
          <w:rFonts w:hint="eastAsia" w:ascii="Times New Roman" w:hAnsi="Times New Roman" w:eastAsia="仿宋_GB2312"/>
          <w:color w:val="000000"/>
          <w:sz w:val="32"/>
          <w:szCs w:val="32"/>
          <w:lang w:eastAsia="zh-CN"/>
        </w:rPr>
      </w:pPr>
      <w:r>
        <w:rPr>
          <w:rFonts w:ascii="Times New Roman" w:hAnsi="Times New Roman" w:eastAsia="黑体"/>
          <w:sz w:val="32"/>
          <w:szCs w:val="32"/>
        </w:rPr>
        <w:t>三、政府性基金预算支出情况</w:t>
      </w:r>
      <w:r>
        <w:rPr>
          <w:rFonts w:hint="eastAsia" w:ascii="Times New Roman" w:hAnsi="Times New Roman" w:eastAsia="黑体"/>
          <w:sz w:val="32"/>
          <w:szCs w:val="32"/>
        </w:rPr>
        <w:t>。</w:t>
      </w:r>
      <w:r>
        <w:rPr>
          <w:rFonts w:hint="eastAsia" w:ascii="Times New Roman" w:hAnsi="Times New Roman" w:eastAsia="仿宋_GB2312"/>
          <w:color w:val="000000"/>
          <w:sz w:val="32"/>
          <w:szCs w:val="32"/>
        </w:rPr>
        <w:t>我单位无政府性基金预算支出情况</w:t>
      </w:r>
      <w:r>
        <w:rPr>
          <w:rFonts w:hint="eastAsia" w:ascii="Times New Roman" w:hAnsi="Times New Roman" w:eastAsia="仿宋_GB2312"/>
          <w:color w:val="000000"/>
          <w:sz w:val="32"/>
          <w:szCs w:val="32"/>
          <w:lang w:eastAsia="zh-CN"/>
        </w:rPr>
        <w:t>。</w:t>
      </w:r>
    </w:p>
    <w:p w14:paraId="1A7D11A1">
      <w:pPr>
        <w:pStyle w:val="13"/>
        <w:spacing w:line="570" w:lineRule="exact"/>
        <w:ind w:firstLine="640"/>
        <w:rPr>
          <w:rFonts w:hint="eastAsia" w:ascii="Times New Roman" w:hAnsi="Times New Roman" w:eastAsia="仿宋_GB2312"/>
          <w:sz w:val="32"/>
          <w:szCs w:val="32"/>
          <w:lang w:eastAsia="zh-CN"/>
        </w:rPr>
      </w:pPr>
      <w:r>
        <w:rPr>
          <w:rFonts w:ascii="Times New Roman" w:hAnsi="Times New Roman" w:eastAsia="黑体"/>
          <w:sz w:val="32"/>
          <w:szCs w:val="32"/>
        </w:rPr>
        <w:t>四、国有资本经营预算支出情况</w:t>
      </w:r>
      <w:r>
        <w:rPr>
          <w:rFonts w:hint="eastAsia" w:ascii="Times New Roman" w:hAnsi="Times New Roman" w:eastAsia="黑体"/>
          <w:sz w:val="32"/>
          <w:szCs w:val="32"/>
        </w:rPr>
        <w:t>。</w:t>
      </w:r>
      <w:r>
        <w:rPr>
          <w:rFonts w:hint="eastAsia" w:ascii="Times New Roman" w:hAnsi="Times New Roman" w:eastAsia="仿宋_GB2312"/>
          <w:color w:val="000000"/>
          <w:sz w:val="32"/>
          <w:szCs w:val="32"/>
        </w:rPr>
        <w:t>我单位无国有资本经营预算支出情况</w:t>
      </w:r>
      <w:r>
        <w:rPr>
          <w:rFonts w:hint="eastAsia" w:ascii="Times New Roman" w:hAnsi="Times New Roman" w:eastAsia="仿宋_GB2312"/>
          <w:color w:val="000000"/>
          <w:sz w:val="32"/>
          <w:szCs w:val="32"/>
          <w:lang w:eastAsia="zh-CN"/>
        </w:rPr>
        <w:t>。</w:t>
      </w:r>
    </w:p>
    <w:p w14:paraId="7B9B1E8D">
      <w:pPr>
        <w:pStyle w:val="13"/>
        <w:spacing w:line="570" w:lineRule="exact"/>
        <w:ind w:firstLine="640"/>
        <w:rPr>
          <w:rFonts w:hint="eastAsia" w:ascii="Times New Roman" w:hAnsi="Times New Roman" w:eastAsia="仿宋_GB2312"/>
          <w:sz w:val="32"/>
          <w:szCs w:val="32"/>
          <w:lang w:eastAsia="zh-CN"/>
        </w:rPr>
      </w:pPr>
      <w:r>
        <w:rPr>
          <w:rFonts w:ascii="Times New Roman" w:hAnsi="Times New Roman" w:eastAsia="黑体"/>
          <w:sz w:val="32"/>
          <w:szCs w:val="32"/>
        </w:rPr>
        <w:t>五、社会保险基金预算支出情况</w:t>
      </w:r>
      <w:r>
        <w:rPr>
          <w:rFonts w:hint="eastAsia" w:ascii="Times New Roman" w:hAnsi="Times New Roman" w:eastAsia="黑体"/>
          <w:sz w:val="32"/>
          <w:szCs w:val="32"/>
        </w:rPr>
        <w:t>。</w:t>
      </w:r>
      <w:r>
        <w:rPr>
          <w:rFonts w:hint="eastAsia" w:ascii="Times New Roman" w:hAnsi="Times New Roman" w:eastAsia="仿宋_GB2312"/>
          <w:color w:val="000000"/>
          <w:sz w:val="32"/>
          <w:szCs w:val="32"/>
        </w:rPr>
        <w:t>我单位无社会保险基金预算支出情况</w:t>
      </w:r>
      <w:r>
        <w:rPr>
          <w:rFonts w:hint="eastAsia" w:ascii="Times New Roman" w:hAnsi="Times New Roman" w:eastAsia="仿宋_GB2312"/>
          <w:color w:val="000000"/>
          <w:sz w:val="32"/>
          <w:szCs w:val="32"/>
          <w:lang w:eastAsia="zh-CN"/>
        </w:rPr>
        <w:t>。</w:t>
      </w:r>
    </w:p>
    <w:p w14:paraId="7C5F38DA">
      <w:pPr>
        <w:spacing w:line="570" w:lineRule="exact"/>
        <w:ind w:firstLine="640" w:firstLineChars="200"/>
        <w:rPr>
          <w:rFonts w:eastAsia="黑体"/>
          <w:sz w:val="32"/>
          <w:szCs w:val="32"/>
        </w:rPr>
      </w:pPr>
      <w:r>
        <w:rPr>
          <w:rFonts w:eastAsia="黑体"/>
          <w:sz w:val="32"/>
          <w:szCs w:val="32"/>
        </w:rPr>
        <w:t>六、部门整体支出绩效情况</w:t>
      </w:r>
    </w:p>
    <w:p w14:paraId="2DA23B39">
      <w:pPr>
        <w:pStyle w:val="18"/>
        <w:keepNext w:val="0"/>
        <w:keepLines w:val="0"/>
        <w:pageBreakBefore w:val="0"/>
        <w:widowControl/>
        <w:kinsoku/>
        <w:wordWrap/>
        <w:overflowPunct/>
        <w:topLinePunct w:val="0"/>
        <w:autoSpaceDN/>
        <w:bidi w:val="0"/>
        <w:adjustRightInd/>
        <w:spacing w:line="580" w:lineRule="exact"/>
        <w:ind w:left="0" w:firstLine="640" w:firstLineChars="200"/>
        <w:jc w:val="both"/>
        <w:textAlignment w:val="auto"/>
        <w:rPr>
          <w:rFonts w:hint="eastAsia" w:ascii="楷体_GB2312" w:hAnsi="Times New Roman" w:eastAsia="楷体_GB2312" w:cs="楷体_GB2312"/>
          <w:b w:val="0"/>
          <w:bCs w:val="0"/>
          <w:color w:val="auto"/>
          <w:kern w:val="2"/>
          <w:sz w:val="32"/>
          <w:szCs w:val="32"/>
          <w:highlight w:val="none"/>
          <w:shd w:val="clear" w:color="auto" w:fill="auto"/>
          <w:lang w:val="en-US" w:eastAsia="zh-CN" w:bidi="ar-SA"/>
        </w:rPr>
      </w:pPr>
      <w:r>
        <w:rPr>
          <w:rFonts w:hint="default" w:ascii="楷体_GB2312" w:hAnsi="Times New Roman" w:eastAsia="楷体_GB2312" w:cs="楷体_GB2312"/>
          <w:b w:val="0"/>
          <w:bCs w:val="0"/>
          <w:color w:val="auto"/>
          <w:kern w:val="2"/>
          <w:sz w:val="32"/>
          <w:szCs w:val="32"/>
          <w:highlight w:val="none"/>
          <w:shd w:val="clear" w:color="auto" w:fill="auto"/>
          <w:lang w:val="en-US" w:eastAsia="zh-CN" w:bidi="ar-SA"/>
        </w:rPr>
        <w:t>（一）运行成本</w:t>
      </w:r>
    </w:p>
    <w:p w14:paraId="41F6381E">
      <w:pPr>
        <w:pStyle w:val="18"/>
        <w:keepNext w:val="0"/>
        <w:keepLines w:val="0"/>
        <w:pageBreakBefore w:val="0"/>
        <w:widowControl/>
        <w:kinsoku/>
        <w:wordWrap/>
        <w:overflowPunct/>
        <w:topLinePunct w:val="0"/>
        <w:autoSpaceDN/>
        <w:bidi w:val="0"/>
        <w:adjustRightInd/>
        <w:spacing w:line="580" w:lineRule="exact"/>
        <w:ind w:left="0" w:firstLine="640" w:firstLineChars="200"/>
        <w:jc w:val="both"/>
        <w:textAlignment w:val="auto"/>
        <w:rPr>
          <w:rFonts w:hint="default" w:ascii="Times New Roman" w:hAnsi="Times New Roman" w:eastAsia="仿宋_GB2312" w:cs="Times New Roman"/>
          <w:kern w:val="2"/>
          <w:sz w:val="32"/>
          <w:szCs w:val="32"/>
          <w:highlight w:val="none"/>
          <w:lang w:val="en-US" w:eastAsia="zh-CN" w:bidi="ar"/>
        </w:rPr>
      </w:pPr>
      <w:r>
        <w:rPr>
          <w:rFonts w:hint="default" w:ascii="Times New Roman" w:hAnsi="Times New Roman" w:eastAsia="仿宋_GB2312" w:cs="Times New Roman"/>
          <w:kern w:val="2"/>
          <w:sz w:val="32"/>
          <w:szCs w:val="32"/>
          <w:highlight w:val="none"/>
          <w:lang w:val="en-US" w:eastAsia="zh-CN" w:bidi="ar"/>
        </w:rPr>
        <w:t>202</w:t>
      </w:r>
      <w:r>
        <w:rPr>
          <w:rFonts w:hint="eastAsia" w:ascii="Times New Roman" w:hAnsi="Times New Roman" w:eastAsia="仿宋_GB2312" w:cs="Times New Roman"/>
          <w:kern w:val="2"/>
          <w:sz w:val="32"/>
          <w:szCs w:val="32"/>
          <w:highlight w:val="none"/>
          <w:lang w:val="en-US" w:eastAsia="zh-CN" w:bidi="ar"/>
        </w:rPr>
        <w:t>5</w:t>
      </w:r>
      <w:r>
        <w:rPr>
          <w:rFonts w:hint="default" w:ascii="Times New Roman" w:hAnsi="Times New Roman" w:eastAsia="仿宋_GB2312" w:cs="Times New Roman"/>
          <w:kern w:val="2"/>
          <w:sz w:val="32"/>
          <w:szCs w:val="32"/>
          <w:highlight w:val="none"/>
          <w:lang w:val="en-US" w:eastAsia="zh-CN" w:bidi="ar"/>
        </w:rPr>
        <w:t>年预算总收入</w:t>
      </w:r>
      <w:r>
        <w:rPr>
          <w:rFonts w:hint="eastAsia" w:ascii="Times New Roman" w:hAnsi="Times New Roman" w:eastAsia="仿宋_GB2312" w:cs="Times New Roman"/>
          <w:kern w:val="0"/>
          <w:sz w:val="32"/>
          <w:szCs w:val="32"/>
          <w:highlight w:val="none"/>
          <w:lang w:val="en-US" w:eastAsia="zh-CN" w:bidi="ar-SA"/>
        </w:rPr>
        <w:t>788.14</w:t>
      </w:r>
      <w:r>
        <w:rPr>
          <w:rFonts w:hint="default" w:ascii="Times New Roman" w:hAnsi="Times New Roman" w:eastAsia="仿宋_GB2312" w:cs="Times New Roman"/>
          <w:kern w:val="2"/>
          <w:sz w:val="32"/>
          <w:szCs w:val="32"/>
          <w:highlight w:val="none"/>
          <w:lang w:val="en-US" w:eastAsia="zh-CN" w:bidi="ar"/>
        </w:rPr>
        <w:t>万元，实际收入</w:t>
      </w:r>
      <w:r>
        <w:rPr>
          <w:rFonts w:hint="eastAsia" w:ascii="Times New Roman" w:hAnsi="Times New Roman" w:eastAsia="仿宋_GB2312" w:cs="Times New Roman"/>
          <w:kern w:val="0"/>
          <w:sz w:val="32"/>
          <w:szCs w:val="32"/>
          <w:highlight w:val="none"/>
          <w:lang w:val="en-US" w:eastAsia="zh-CN" w:bidi="ar-SA"/>
        </w:rPr>
        <w:t>816.01</w:t>
      </w:r>
      <w:r>
        <w:rPr>
          <w:rFonts w:hint="default" w:ascii="Times New Roman" w:hAnsi="Times New Roman" w:eastAsia="仿宋_GB2312" w:cs="Times New Roman"/>
          <w:kern w:val="2"/>
          <w:sz w:val="32"/>
          <w:szCs w:val="32"/>
          <w:highlight w:val="none"/>
          <w:lang w:val="en-US" w:eastAsia="zh-CN" w:bidi="ar"/>
        </w:rPr>
        <w:t>万元。202</w:t>
      </w:r>
      <w:r>
        <w:rPr>
          <w:rFonts w:hint="eastAsia" w:ascii="Times New Roman" w:hAnsi="Times New Roman" w:eastAsia="仿宋_GB2312" w:cs="Times New Roman"/>
          <w:kern w:val="2"/>
          <w:sz w:val="32"/>
          <w:szCs w:val="32"/>
          <w:highlight w:val="none"/>
          <w:lang w:val="en-US" w:eastAsia="zh-CN" w:bidi="ar"/>
        </w:rPr>
        <w:t>5</w:t>
      </w:r>
      <w:r>
        <w:rPr>
          <w:rFonts w:hint="default" w:ascii="Times New Roman" w:hAnsi="Times New Roman" w:eastAsia="仿宋_GB2312" w:cs="Times New Roman"/>
          <w:kern w:val="2"/>
          <w:sz w:val="32"/>
          <w:szCs w:val="32"/>
          <w:highlight w:val="none"/>
          <w:lang w:val="en-US" w:eastAsia="zh-CN" w:bidi="ar"/>
        </w:rPr>
        <w:t>年预算支出</w:t>
      </w:r>
      <w:r>
        <w:rPr>
          <w:rFonts w:hint="eastAsia" w:ascii="Times New Roman" w:hAnsi="Times New Roman" w:eastAsia="仿宋_GB2312" w:cs="Times New Roman"/>
          <w:kern w:val="0"/>
          <w:sz w:val="32"/>
          <w:szCs w:val="32"/>
          <w:highlight w:val="none"/>
          <w:lang w:val="en-US" w:eastAsia="zh-CN" w:bidi="ar-SA"/>
        </w:rPr>
        <w:t>788.14</w:t>
      </w:r>
      <w:r>
        <w:rPr>
          <w:rFonts w:hint="default" w:ascii="Times New Roman" w:hAnsi="Times New Roman" w:eastAsia="仿宋_GB2312" w:cs="Times New Roman"/>
          <w:kern w:val="2"/>
          <w:sz w:val="32"/>
          <w:szCs w:val="32"/>
          <w:highlight w:val="none"/>
          <w:lang w:val="en-US" w:eastAsia="zh-CN" w:bidi="ar"/>
        </w:rPr>
        <w:t>万元，实际支出</w:t>
      </w:r>
      <w:r>
        <w:rPr>
          <w:rFonts w:hint="eastAsia" w:ascii="Times New Roman" w:hAnsi="Times New Roman" w:eastAsia="仿宋_GB2312" w:cs="Times New Roman"/>
          <w:kern w:val="0"/>
          <w:sz w:val="32"/>
          <w:szCs w:val="32"/>
          <w:highlight w:val="none"/>
          <w:lang w:val="en-US" w:eastAsia="zh-CN" w:bidi="ar-SA"/>
        </w:rPr>
        <w:t>816.01</w:t>
      </w:r>
      <w:r>
        <w:rPr>
          <w:rFonts w:hint="default" w:ascii="Times New Roman" w:hAnsi="Times New Roman" w:eastAsia="仿宋_GB2312" w:cs="Times New Roman"/>
          <w:kern w:val="2"/>
          <w:sz w:val="32"/>
          <w:szCs w:val="32"/>
          <w:highlight w:val="none"/>
          <w:lang w:val="en-US" w:eastAsia="zh-CN" w:bidi="ar"/>
        </w:rPr>
        <w:t>万元。全年预算执行率</w:t>
      </w:r>
      <w:r>
        <w:rPr>
          <w:rFonts w:hint="eastAsia" w:ascii="Times New Roman" w:hAnsi="Times New Roman" w:eastAsia="仿宋_GB2312" w:cs="Times New Roman"/>
          <w:kern w:val="2"/>
          <w:sz w:val="32"/>
          <w:szCs w:val="32"/>
          <w:highlight w:val="none"/>
          <w:lang w:val="en-US" w:eastAsia="zh-CN" w:bidi="ar"/>
        </w:rPr>
        <w:t>103.54</w:t>
      </w:r>
      <w:r>
        <w:rPr>
          <w:rFonts w:hint="default" w:ascii="Times New Roman" w:hAnsi="Times New Roman" w:eastAsia="仿宋_GB2312" w:cs="Times New Roman"/>
          <w:kern w:val="2"/>
          <w:sz w:val="32"/>
          <w:szCs w:val="32"/>
          <w:highlight w:val="none"/>
          <w:lang w:val="en-US" w:eastAsia="zh-CN" w:bidi="ar"/>
        </w:rPr>
        <w:t>%。</w:t>
      </w:r>
    </w:p>
    <w:p w14:paraId="6D61CD05">
      <w:pPr>
        <w:pStyle w:val="18"/>
        <w:keepNext w:val="0"/>
        <w:keepLines w:val="0"/>
        <w:pageBreakBefore w:val="0"/>
        <w:widowControl/>
        <w:kinsoku/>
        <w:wordWrap/>
        <w:overflowPunct/>
        <w:topLinePunct w:val="0"/>
        <w:autoSpaceDN/>
        <w:bidi w:val="0"/>
        <w:adjustRightInd/>
        <w:spacing w:line="580" w:lineRule="exact"/>
        <w:ind w:left="0" w:firstLine="640" w:firstLineChars="200"/>
        <w:jc w:val="both"/>
        <w:textAlignment w:val="auto"/>
        <w:rPr>
          <w:rFonts w:hint="default" w:ascii="Times New Roman" w:hAnsi="Times New Roman" w:eastAsia="仿宋_GB2312" w:cs="Times New Roman"/>
          <w:kern w:val="2"/>
          <w:sz w:val="32"/>
          <w:szCs w:val="32"/>
          <w:highlight w:val="none"/>
          <w:lang w:val="en-US" w:eastAsia="zh-CN" w:bidi="ar"/>
        </w:rPr>
      </w:pPr>
      <w:r>
        <w:rPr>
          <w:rFonts w:hint="default" w:ascii="Times New Roman" w:hAnsi="Times New Roman" w:eastAsia="仿宋_GB2312" w:cs="Times New Roman"/>
          <w:kern w:val="2"/>
          <w:sz w:val="32"/>
          <w:szCs w:val="32"/>
          <w:highlight w:val="none"/>
          <w:lang w:val="en-US" w:eastAsia="zh-CN" w:bidi="ar"/>
        </w:rPr>
        <w:t>基本支出使用管理情况</w:t>
      </w:r>
      <w:r>
        <w:rPr>
          <w:rFonts w:hint="eastAsia" w:ascii="Times New Roman" w:hAnsi="Times New Roman" w:eastAsia="仿宋_GB2312" w:cs="Times New Roman"/>
          <w:kern w:val="2"/>
          <w:sz w:val="32"/>
          <w:szCs w:val="32"/>
          <w:highlight w:val="none"/>
          <w:lang w:val="en-US" w:eastAsia="zh-CN" w:bidi="ar"/>
        </w:rPr>
        <w:t>：</w:t>
      </w:r>
      <w:r>
        <w:rPr>
          <w:rFonts w:hint="default" w:ascii="Times New Roman" w:hAnsi="Times New Roman" w:eastAsia="仿宋_GB2312" w:cs="Times New Roman"/>
          <w:kern w:val="2"/>
          <w:sz w:val="32"/>
          <w:szCs w:val="32"/>
          <w:highlight w:val="none"/>
          <w:lang w:val="en-US" w:eastAsia="zh-CN" w:bidi="ar"/>
        </w:rPr>
        <w:t>202</w:t>
      </w:r>
      <w:r>
        <w:rPr>
          <w:rFonts w:hint="eastAsia" w:ascii="Times New Roman" w:hAnsi="Times New Roman" w:eastAsia="仿宋_GB2312" w:cs="Times New Roman"/>
          <w:kern w:val="2"/>
          <w:sz w:val="32"/>
          <w:szCs w:val="32"/>
          <w:highlight w:val="none"/>
          <w:lang w:val="en-US" w:eastAsia="zh-CN" w:bidi="ar"/>
        </w:rPr>
        <w:t>5</w:t>
      </w:r>
      <w:r>
        <w:rPr>
          <w:rFonts w:hint="default" w:ascii="Times New Roman" w:hAnsi="Times New Roman" w:eastAsia="仿宋_GB2312" w:cs="Times New Roman"/>
          <w:kern w:val="2"/>
          <w:sz w:val="32"/>
          <w:szCs w:val="32"/>
          <w:highlight w:val="none"/>
          <w:lang w:val="en-US" w:eastAsia="zh-CN" w:bidi="ar"/>
        </w:rPr>
        <w:t>年，我</w:t>
      </w:r>
      <w:r>
        <w:rPr>
          <w:rFonts w:hint="eastAsia" w:ascii="Times New Roman" w:hAnsi="Times New Roman" w:eastAsia="仿宋_GB2312" w:cs="Times New Roman"/>
          <w:kern w:val="2"/>
          <w:sz w:val="32"/>
          <w:szCs w:val="32"/>
          <w:highlight w:val="none"/>
          <w:lang w:val="en-US" w:eastAsia="zh-CN" w:bidi="ar"/>
        </w:rPr>
        <w:t>校</w:t>
      </w:r>
      <w:r>
        <w:rPr>
          <w:rFonts w:hint="default" w:ascii="Times New Roman" w:hAnsi="Times New Roman" w:eastAsia="仿宋_GB2312" w:cs="Times New Roman"/>
          <w:kern w:val="2"/>
          <w:sz w:val="32"/>
          <w:szCs w:val="32"/>
          <w:highlight w:val="none"/>
          <w:lang w:val="en-US" w:eastAsia="zh-CN" w:bidi="ar"/>
        </w:rPr>
        <w:t>基本支出年终决算</w:t>
      </w:r>
      <w:r>
        <w:rPr>
          <w:rFonts w:hint="eastAsia" w:ascii="Times New Roman" w:hAnsi="Times New Roman" w:eastAsia="仿宋_GB2312" w:cs="Times New Roman"/>
          <w:sz w:val="32"/>
          <w:szCs w:val="32"/>
          <w:highlight w:val="none"/>
          <w:lang w:val="en-US" w:eastAsia="zh-CN"/>
        </w:rPr>
        <w:t>661.92</w:t>
      </w:r>
      <w:r>
        <w:rPr>
          <w:rFonts w:hint="default" w:ascii="Times New Roman" w:hAnsi="Times New Roman" w:eastAsia="仿宋_GB2312" w:cs="Times New Roman"/>
          <w:kern w:val="2"/>
          <w:sz w:val="32"/>
          <w:szCs w:val="32"/>
          <w:highlight w:val="none"/>
          <w:lang w:val="en-US" w:eastAsia="zh-CN" w:bidi="ar"/>
        </w:rPr>
        <w:t>万元。公用经费中，“三公”经费预算数</w:t>
      </w:r>
      <w:r>
        <w:rPr>
          <w:rFonts w:hint="eastAsia" w:ascii="Times New Roman" w:hAnsi="Times New Roman" w:eastAsia="仿宋_GB2312" w:cs="Times New Roman"/>
          <w:kern w:val="2"/>
          <w:sz w:val="32"/>
          <w:szCs w:val="32"/>
          <w:highlight w:val="none"/>
          <w:lang w:val="en-US" w:eastAsia="zh-CN" w:bidi="ar"/>
        </w:rPr>
        <w:t>0.5</w:t>
      </w:r>
      <w:r>
        <w:rPr>
          <w:rFonts w:hint="default" w:ascii="Times New Roman" w:hAnsi="Times New Roman" w:eastAsia="仿宋_GB2312" w:cs="Times New Roman"/>
          <w:kern w:val="2"/>
          <w:sz w:val="32"/>
          <w:szCs w:val="32"/>
          <w:highlight w:val="none"/>
          <w:lang w:val="en-US" w:eastAsia="zh-CN" w:bidi="ar"/>
        </w:rPr>
        <w:t>万元，实际支出</w:t>
      </w:r>
      <w:r>
        <w:rPr>
          <w:rFonts w:hint="eastAsia" w:ascii="Times New Roman" w:hAnsi="Times New Roman" w:eastAsia="仿宋_GB2312" w:cs="Times New Roman"/>
          <w:kern w:val="2"/>
          <w:sz w:val="32"/>
          <w:szCs w:val="32"/>
          <w:highlight w:val="none"/>
          <w:lang w:val="en-US" w:eastAsia="zh-CN" w:bidi="ar"/>
        </w:rPr>
        <w:t>0</w:t>
      </w:r>
      <w:r>
        <w:rPr>
          <w:rFonts w:hint="default" w:ascii="Times New Roman" w:hAnsi="Times New Roman" w:eastAsia="仿宋_GB2312" w:cs="Times New Roman"/>
          <w:kern w:val="2"/>
          <w:sz w:val="32"/>
          <w:szCs w:val="32"/>
          <w:highlight w:val="none"/>
          <w:lang w:val="en-US" w:eastAsia="zh-CN" w:bidi="ar"/>
        </w:rPr>
        <w:t>万元，</w:t>
      </w:r>
      <w:r>
        <w:rPr>
          <w:rFonts w:hint="eastAsia" w:ascii="Times New Roman" w:hAnsi="Times New Roman" w:eastAsia="仿宋_GB2312" w:cs="Times New Roman"/>
          <w:kern w:val="2"/>
          <w:sz w:val="32"/>
          <w:szCs w:val="32"/>
          <w:highlight w:val="none"/>
          <w:lang w:val="en-US" w:eastAsia="zh-CN" w:bidi="ar"/>
        </w:rPr>
        <w:t>与上年持平，本年度未产生公务接待费用</w:t>
      </w:r>
      <w:r>
        <w:rPr>
          <w:rFonts w:hint="default" w:ascii="Times New Roman" w:hAnsi="Times New Roman" w:eastAsia="仿宋_GB2312" w:cs="Times New Roman"/>
          <w:kern w:val="2"/>
          <w:sz w:val="32"/>
          <w:szCs w:val="32"/>
          <w:highlight w:val="none"/>
          <w:lang w:val="en-US" w:eastAsia="zh-CN" w:bidi="ar"/>
        </w:rPr>
        <w:t>。</w:t>
      </w:r>
    </w:p>
    <w:p w14:paraId="2DD8638B">
      <w:pPr>
        <w:pStyle w:val="13"/>
        <w:spacing w:line="570" w:lineRule="exact"/>
        <w:ind w:firstLine="640"/>
        <w:outlineLvl w:val="1"/>
        <w:rPr>
          <w:rFonts w:hint="eastAsia" w:ascii="Times New Roman" w:hAnsi="Times New Roman" w:eastAsia="仿宋_GB2312" w:cs="Times New Roman"/>
          <w:sz w:val="32"/>
          <w:szCs w:val="32"/>
          <w:highlight w:val="yellow"/>
          <w:lang w:val="en-US" w:eastAsia="zh-CN"/>
        </w:rPr>
      </w:pPr>
      <w:r>
        <w:rPr>
          <w:rFonts w:hint="default" w:ascii="仿宋_GB2312" w:hAnsi="Times New Roman" w:eastAsia="仿宋_GB2312" w:cs="仿宋_GB2312"/>
          <w:kern w:val="2"/>
          <w:sz w:val="32"/>
          <w:szCs w:val="32"/>
          <w:highlight w:val="none"/>
          <w:lang w:val="en-US" w:eastAsia="zh-CN" w:bidi="ar"/>
        </w:rPr>
        <w:t>项目支出使用管理情况</w:t>
      </w:r>
      <w:r>
        <w:rPr>
          <w:rFonts w:hint="eastAsia" w:ascii="仿宋_GB2312" w:hAnsi="Times New Roman" w:eastAsia="仿宋_GB2312" w:cs="仿宋_GB2312"/>
          <w:kern w:val="2"/>
          <w:sz w:val="32"/>
          <w:szCs w:val="32"/>
          <w:highlight w:val="none"/>
          <w:lang w:val="en-US" w:eastAsia="zh-CN" w:bidi="ar"/>
        </w:rPr>
        <w:t>：</w:t>
      </w:r>
      <w:r>
        <w:rPr>
          <w:rFonts w:hint="default" w:ascii="Times New Roman" w:hAnsi="Times New Roman" w:eastAsia="仿宋_GB2312"/>
          <w:sz w:val="32"/>
          <w:szCs w:val="32"/>
          <w:highlight w:val="none"/>
          <w:lang w:val="en-US" w:eastAsia="zh-CN"/>
        </w:rPr>
        <w:t>202</w:t>
      </w:r>
      <w:r>
        <w:rPr>
          <w:rFonts w:hint="eastAsia" w:ascii="Times New Roman" w:hAnsi="Times New Roman" w:eastAsia="仿宋_GB2312"/>
          <w:sz w:val="32"/>
          <w:szCs w:val="32"/>
          <w:highlight w:val="none"/>
          <w:lang w:val="en-US" w:eastAsia="zh-CN"/>
        </w:rPr>
        <w:t>5</w:t>
      </w:r>
      <w:r>
        <w:rPr>
          <w:rFonts w:hint="default" w:ascii="Times New Roman" w:hAnsi="Times New Roman" w:eastAsia="仿宋_GB2312"/>
          <w:sz w:val="32"/>
          <w:szCs w:val="32"/>
          <w:highlight w:val="none"/>
          <w:lang w:val="en-US" w:eastAsia="zh-CN"/>
        </w:rPr>
        <w:t>年</w:t>
      </w:r>
      <w:r>
        <w:rPr>
          <w:rFonts w:hint="eastAsia" w:ascii="Times New Roman" w:hAnsi="Times New Roman" w:eastAsia="仿宋_GB2312"/>
          <w:sz w:val="32"/>
          <w:szCs w:val="32"/>
          <w:highlight w:val="none"/>
          <w:lang w:val="en-US" w:eastAsia="zh-CN"/>
        </w:rPr>
        <w:t>，</w:t>
      </w:r>
      <w:r>
        <w:rPr>
          <w:rFonts w:hint="default" w:ascii="Times New Roman" w:hAnsi="Times New Roman" w:eastAsia="仿宋_GB2312"/>
          <w:sz w:val="32"/>
          <w:szCs w:val="32"/>
          <w:highlight w:val="none"/>
          <w:lang w:val="en-US" w:eastAsia="zh-CN"/>
        </w:rPr>
        <w:t>我校</w:t>
      </w:r>
      <w:r>
        <w:rPr>
          <w:rFonts w:hint="eastAsia" w:ascii="Times New Roman" w:hAnsi="Times New Roman" w:eastAsia="仿宋_GB2312"/>
          <w:sz w:val="32"/>
          <w:szCs w:val="32"/>
          <w:highlight w:val="none"/>
          <w:lang w:val="en-US" w:eastAsia="zh-CN"/>
        </w:rPr>
        <w:t>项目支出年终决算154.09万元，比上年132.88万元增加21.21万元，</w:t>
      </w:r>
      <w:r>
        <w:rPr>
          <w:rFonts w:hint="eastAsia" w:ascii="仿宋_GB2312" w:hAnsi="仿宋" w:eastAsia="仿宋_GB2312" w:cs="Times New Roman"/>
          <w:sz w:val="32"/>
          <w:szCs w:val="32"/>
          <w:highlight w:val="none"/>
          <w:lang w:val="en-US" w:eastAsia="zh-CN"/>
        </w:rPr>
        <w:t>主要是因为</w:t>
      </w:r>
      <w:r>
        <w:rPr>
          <w:rFonts w:hint="eastAsia" w:ascii="Times New Roman" w:hAnsi="Times New Roman" w:eastAsia="仿宋_GB2312"/>
          <w:sz w:val="32"/>
          <w:szCs w:val="32"/>
          <w:highlight w:val="none"/>
          <w:lang w:val="en-US" w:eastAsia="zh-CN"/>
        </w:rPr>
        <w:t>本年度新警培训时间比去年加长、培训人数增多</w:t>
      </w:r>
      <w:r>
        <w:rPr>
          <w:rFonts w:hint="eastAsia" w:ascii="Times New Roman" w:hAnsi="Times New Roman" w:eastAsia="仿宋_GB2312" w:cs="Times New Roman"/>
          <w:sz w:val="32"/>
          <w:szCs w:val="32"/>
          <w:highlight w:val="none"/>
          <w:lang w:val="en-US" w:eastAsia="zh-CN"/>
        </w:rPr>
        <w:t>。</w:t>
      </w:r>
    </w:p>
    <w:p w14:paraId="3BA719B6">
      <w:pPr>
        <w:pStyle w:val="18"/>
        <w:keepNext w:val="0"/>
        <w:keepLines w:val="0"/>
        <w:pageBreakBefore w:val="0"/>
        <w:widowControl/>
        <w:kinsoku/>
        <w:wordWrap/>
        <w:overflowPunct/>
        <w:topLinePunct w:val="0"/>
        <w:autoSpaceDN/>
        <w:bidi w:val="0"/>
        <w:adjustRightInd/>
        <w:spacing w:line="580" w:lineRule="exact"/>
        <w:ind w:left="0" w:firstLine="640" w:firstLineChars="200"/>
        <w:jc w:val="both"/>
        <w:textAlignment w:val="auto"/>
        <w:rPr>
          <w:rFonts w:hint="default" w:ascii="楷体_GB2312" w:hAnsi="Times New Roman" w:eastAsia="楷体_GB2312" w:cs="楷体_GB2312"/>
          <w:b w:val="0"/>
          <w:bCs w:val="0"/>
          <w:color w:val="auto"/>
          <w:kern w:val="2"/>
          <w:sz w:val="32"/>
          <w:szCs w:val="32"/>
          <w:shd w:val="clear" w:color="auto" w:fill="auto"/>
          <w:lang w:val="en-US" w:eastAsia="zh-CN" w:bidi="ar-SA"/>
        </w:rPr>
      </w:pPr>
      <w:r>
        <w:rPr>
          <w:rFonts w:hint="eastAsia" w:ascii="楷体_GB2312" w:hAnsi="Times New Roman" w:eastAsia="楷体_GB2312" w:cs="楷体_GB2312"/>
          <w:b w:val="0"/>
          <w:bCs w:val="0"/>
          <w:color w:val="auto"/>
          <w:kern w:val="2"/>
          <w:sz w:val="32"/>
          <w:szCs w:val="32"/>
          <w:shd w:val="clear" w:color="auto" w:fill="auto"/>
          <w:lang w:val="en-US" w:eastAsia="zh-CN" w:bidi="ar-SA"/>
        </w:rPr>
        <w:t>（二）</w:t>
      </w:r>
      <w:r>
        <w:rPr>
          <w:rFonts w:hint="default" w:ascii="楷体_GB2312" w:hAnsi="Times New Roman" w:eastAsia="楷体_GB2312" w:cs="楷体_GB2312"/>
          <w:b w:val="0"/>
          <w:bCs w:val="0"/>
          <w:color w:val="auto"/>
          <w:kern w:val="2"/>
          <w:sz w:val="32"/>
          <w:szCs w:val="32"/>
          <w:shd w:val="clear" w:color="auto" w:fill="auto"/>
          <w:lang w:val="en-US" w:eastAsia="zh-CN" w:bidi="ar-SA"/>
        </w:rPr>
        <w:t>管理效率</w:t>
      </w:r>
    </w:p>
    <w:p w14:paraId="25211D7E">
      <w:pPr>
        <w:pStyle w:val="13"/>
        <w:spacing w:line="570" w:lineRule="exact"/>
        <w:ind w:firstLine="640"/>
        <w:outlineLvl w:val="1"/>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val="0"/>
          <w:bCs w:val="0"/>
          <w:sz w:val="32"/>
          <w:szCs w:val="32"/>
          <w:highlight w:val="none"/>
          <w:lang w:val="en-US" w:eastAsia="zh-CN"/>
        </w:rPr>
        <w:t>1</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立足实战强本领。围绕提高全市公安机关新质战斗力这个主线，学校立足素质强警，突出实战实用实效导向，练就参训学员敢打必胜的真本领。在组教组训上，坚持从学堂本位向能力本位转变，从书本为中心向实战为中心提升，构建了具有实战效能的教育训练体系。在教学方式上，推行研究式</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讨论式</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案例式</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对抗式教学，学员训练参与率</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学习获得感持续提升。严格执行</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战训合一</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轮训轮值</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模式，将参训学员组成应急处突力量，7次参与今年永州主场</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湘超</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安保任务，共投入警力950人次，全力守护赛场安全，有效提升实战能力。</w:t>
      </w:r>
    </w:p>
    <w:p w14:paraId="18655B6A">
      <w:pPr>
        <w:pStyle w:val="13"/>
        <w:spacing w:line="570" w:lineRule="exact"/>
        <w:ind w:firstLine="640"/>
        <w:outlineLvl w:val="1"/>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val="0"/>
          <w:bCs w:val="0"/>
          <w:sz w:val="32"/>
          <w:szCs w:val="32"/>
          <w:highlight w:val="none"/>
          <w:lang w:val="en-US" w:eastAsia="zh-CN"/>
        </w:rPr>
        <w:t>2</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深耕课程提质量。课程是公安培训的核心基础，今年学校以</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需求为导向</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实用为核心</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创新为驱动</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持续完善课程体系，提升课程质量。建立警衔晋升培训班主干课程25个，课程更新率达23%，其中政治培训课程在培训总课时中的占比为42.1%，案例教学课程占总课程的18.4%，基础警务实战技能和体能课程占比为26.3%。课后规范课程评估流程，采用量化评分与定性评价相结合的方式，全年评估课程68个，让课程质量得到进一步整改提升。</w:t>
      </w:r>
    </w:p>
    <w:p w14:paraId="5B16200F">
      <w:pPr>
        <w:pStyle w:val="13"/>
        <w:spacing w:line="570" w:lineRule="exact"/>
        <w:ind w:firstLine="640"/>
        <w:outlineLvl w:val="1"/>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val="0"/>
          <w:bCs w:val="0"/>
          <w:sz w:val="32"/>
          <w:szCs w:val="32"/>
          <w:highlight w:val="none"/>
          <w:lang w:val="en-US" w:eastAsia="zh-CN"/>
        </w:rPr>
        <w:t>3</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建强基地固根基。始终突出实战化导向，聚焦战斗力标准，强化科技赋能，创新打造新质战斗力培训基地。今年以来，经省公安厅批准，学校申报建立了全省第二家有培训考证资质的警用无人驾驶航空器四级培训机构，挂牌成立全市警航战训基地，培养飞行教官2名，建设飞行场地2处，添置考试机机培训机8架，开办警航大比武培训班2期，全力服务低空经济，守护低空安全。打造了学校红十字应急救护智能化培训基地，添置全套AED</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自动体外除颤仪</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教学专用急救设施，联合市红十字会举办应急救护专题培训班2期，提升公安民警应对突发事件的应急救援能力，为服务群众打下坚实基础。</w:t>
      </w:r>
    </w:p>
    <w:p w14:paraId="6F188BE0">
      <w:pPr>
        <w:pStyle w:val="18"/>
        <w:keepNext w:val="0"/>
        <w:keepLines w:val="0"/>
        <w:pageBreakBefore w:val="0"/>
        <w:widowControl/>
        <w:kinsoku/>
        <w:wordWrap/>
        <w:overflowPunct/>
        <w:topLinePunct w:val="0"/>
        <w:autoSpaceDN/>
        <w:bidi w:val="0"/>
        <w:adjustRightInd/>
        <w:spacing w:line="580" w:lineRule="exact"/>
        <w:ind w:left="0" w:firstLine="640" w:firstLineChars="200"/>
        <w:jc w:val="both"/>
        <w:textAlignment w:val="auto"/>
        <w:rPr>
          <w:rFonts w:hint="default" w:ascii="楷体_GB2312" w:hAnsi="Times New Roman" w:eastAsia="楷体_GB2312" w:cs="楷体_GB2312"/>
          <w:b w:val="0"/>
          <w:bCs w:val="0"/>
          <w:color w:val="auto"/>
          <w:kern w:val="2"/>
          <w:sz w:val="32"/>
          <w:szCs w:val="32"/>
          <w:shd w:val="clear" w:color="auto" w:fill="auto"/>
          <w:lang w:val="en-US" w:eastAsia="zh-CN" w:bidi="ar-SA"/>
        </w:rPr>
      </w:pPr>
      <w:r>
        <w:rPr>
          <w:rFonts w:hint="default" w:ascii="楷体_GB2312" w:hAnsi="Times New Roman" w:eastAsia="楷体_GB2312" w:cs="楷体_GB2312"/>
          <w:b w:val="0"/>
          <w:bCs w:val="0"/>
          <w:color w:val="auto"/>
          <w:kern w:val="2"/>
          <w:sz w:val="32"/>
          <w:szCs w:val="32"/>
          <w:shd w:val="clear" w:color="auto" w:fill="auto"/>
          <w:lang w:val="en-US" w:eastAsia="zh-CN" w:bidi="ar-SA"/>
        </w:rPr>
        <w:t>（三）履职效能</w:t>
      </w:r>
    </w:p>
    <w:p w14:paraId="602020FD">
      <w:pPr>
        <w:pStyle w:val="13"/>
        <w:spacing w:line="570" w:lineRule="exact"/>
        <w:ind w:firstLine="640"/>
        <w:outlineLvl w:val="1"/>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val="0"/>
          <w:bCs w:val="0"/>
          <w:sz w:val="32"/>
          <w:szCs w:val="32"/>
          <w:highlight w:val="none"/>
          <w:lang w:val="en-US" w:eastAsia="zh-CN"/>
        </w:rPr>
        <w:t>1</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培训任务高效落实。始终坚守为党育人</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为国育才</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为警育剑的使命任务，将立德树人贯穿培训教学</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管理服务全过程各环节，锻造忠诚铁军。精塑</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教</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学</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研</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练</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战</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一体化人才培养模式</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提升实战化教学比重，聘请经验丰富</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作风过硬的实战教官走进课堂，将一线执法理念</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严格纪律要求</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宝贵实战经验融入教学培训，有效提升学员培训质量。根据全局年度培训计划，今年学校共承办各</w:t>
      </w:r>
      <w:r>
        <w:rPr>
          <w:rFonts w:hint="default" w:ascii="Times New Roman" w:hAnsi="Times New Roman" w:eastAsia="仿宋_GB2312" w:cs="Times New Roman"/>
          <w:sz w:val="32"/>
          <w:szCs w:val="32"/>
          <w:highlight w:val="none"/>
          <w:lang w:val="en-US" w:eastAsia="zh-CN"/>
        </w:rPr>
        <w:t>类培训班13期，其中，警衔晋升培训班4期，新警入警培训班1期，政治轮训班2期，其他各类专业</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发展和技能培训班6期，培训民警学员1700余人。</w:t>
      </w:r>
    </w:p>
    <w:p w14:paraId="437A9BDC">
      <w:pPr>
        <w:pStyle w:val="13"/>
        <w:spacing w:line="570" w:lineRule="exact"/>
        <w:ind w:firstLine="640"/>
        <w:outlineLvl w:val="1"/>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val="0"/>
          <w:bCs w:val="0"/>
          <w:sz w:val="32"/>
          <w:szCs w:val="32"/>
          <w:highlight w:val="none"/>
          <w:lang w:val="en-US" w:eastAsia="zh-CN"/>
        </w:rPr>
        <w:t>2</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乡村帮扶倾情倾力。根据市委组织部门安排，学校作为祁阳市观音滩镇凤凰村的后盾帮扶单位，聚焦乡村振兴战略倾情倾力开展帮扶，选派1名年轻骨干担当驻村第一书记，共筹措驻村帮扶专项资金15万余元，助凤凰村成功脱掉</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组织涣散村</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帽子。今年5月，学校又勇挑重担，选派了2名年轻骨干到新田县枧头村水楼脚村分别担当驻村第一书记</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队员，为村里机耕道</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桥梁</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消防塘建设筹措帮扶资金5万余元，积极为全市重点工作贡献力量。今年初，学校再次被评为</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全市优秀驻村帮扶单位</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1名同志被评为</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全市优秀驻村帮扶个人</w:t>
      </w:r>
      <w:r>
        <w:rPr>
          <w:rFonts w:hint="eastAsia" w:ascii="Times New Roman" w:hAnsi="Times New Roman" w:eastAsia="仿宋_GB2312" w:cs="Times New Roman"/>
          <w:b w:val="0"/>
          <w:bCs w:val="0"/>
          <w:sz w:val="32"/>
          <w:szCs w:val="32"/>
          <w:highlight w:val="none"/>
          <w:lang w:val="en-US" w:eastAsia="zh-CN"/>
        </w:rPr>
        <w:t>”。</w:t>
      </w:r>
    </w:p>
    <w:p w14:paraId="31363E19">
      <w:pPr>
        <w:pStyle w:val="13"/>
        <w:spacing w:line="570" w:lineRule="exact"/>
        <w:ind w:firstLine="640"/>
        <w:outlineLvl w:val="1"/>
        <w:rPr>
          <w:rFonts w:hint="default" w:ascii="Times New Roman" w:hAnsi="Times New Roman" w:eastAsia="仿宋_GB2312" w:cs="Times New Roman"/>
          <w:sz w:val="32"/>
          <w:szCs w:val="32"/>
          <w:highlight w:val="yellow"/>
          <w:lang w:val="en-US" w:eastAsia="zh-CN"/>
        </w:rPr>
      </w:pPr>
      <w:r>
        <w:rPr>
          <w:rFonts w:hint="default" w:ascii="Times New Roman" w:hAnsi="Times New Roman" w:eastAsia="仿宋_GB2312" w:cs="Times New Roman"/>
          <w:b w:val="0"/>
          <w:bCs w:val="0"/>
          <w:sz w:val="32"/>
          <w:szCs w:val="32"/>
          <w:highlight w:val="none"/>
          <w:lang w:val="en-US" w:eastAsia="zh-CN"/>
        </w:rPr>
        <w:t>3</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文明创建联动共建。今年校委会专题研究了文明创建工作，积极与社区开展联动共建活动，每天安排人员参加社区文明劝导志愿服务。大力支持联点逸云社区和驻地湖塘社区文明创建工作，克服经费紧张困难，想法设法筹集专项经费5万元支援长冲社区和湖塘社区的文明创建工作。同时，学校在成功创建为全市文明单位的基础上，聚焦立德树人，培育文明新风，组织开展</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警营文化节</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书香校园</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等形式多样活动，倡导勤俭节约风尚，积极开展节水</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节电</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节粮宣传教育，为全市公安教育培训事业高质量发展提供了强有力的思想保证和精神动力。</w:t>
      </w:r>
    </w:p>
    <w:p w14:paraId="61385745">
      <w:pPr>
        <w:pStyle w:val="13"/>
        <w:spacing w:line="570" w:lineRule="exact"/>
        <w:ind w:firstLine="640"/>
        <w:rPr>
          <w:rFonts w:ascii="Times New Roman" w:hAnsi="Times New Roman" w:eastAsia="黑体"/>
          <w:sz w:val="32"/>
          <w:szCs w:val="32"/>
        </w:rPr>
      </w:pPr>
      <w:r>
        <w:rPr>
          <w:rFonts w:ascii="Times New Roman" w:hAnsi="Times New Roman" w:eastAsia="黑体"/>
          <w:sz w:val="32"/>
          <w:szCs w:val="32"/>
        </w:rPr>
        <w:t>七、存在的问题及原因分析</w:t>
      </w:r>
    </w:p>
    <w:p w14:paraId="1EA7620A">
      <w:pPr>
        <w:spacing w:line="570" w:lineRule="exact"/>
        <w:ind w:firstLine="640" w:firstLineChars="200"/>
        <w:jc w:val="both"/>
        <w:rPr>
          <w:rFonts w:hint="eastAsia" w:eastAsia="仿宋_GB2312"/>
          <w:color w:val="000000"/>
          <w:sz w:val="32"/>
          <w:szCs w:val="32"/>
        </w:rPr>
      </w:pPr>
      <w:r>
        <w:rPr>
          <w:rFonts w:hint="eastAsia" w:eastAsia="仿宋_GB2312"/>
          <w:color w:val="000000"/>
          <w:sz w:val="32"/>
          <w:szCs w:val="32"/>
        </w:rPr>
        <w:t>评价结果运用不充分</w:t>
      </w:r>
      <w:r>
        <w:rPr>
          <w:rFonts w:hint="eastAsia" w:eastAsia="仿宋_GB2312"/>
          <w:color w:val="000000"/>
          <w:sz w:val="32"/>
          <w:szCs w:val="32"/>
          <w:lang w:eastAsia="zh-CN"/>
        </w:rPr>
        <w:t>，</w:t>
      </w:r>
      <w:r>
        <w:rPr>
          <w:rFonts w:hint="eastAsia" w:eastAsia="仿宋_GB2312"/>
          <w:color w:val="000000"/>
          <w:sz w:val="32"/>
          <w:szCs w:val="32"/>
        </w:rPr>
        <w:t>推动作用有局限。预算绩效评价结果运用只是停留在反映情况、发现问题、督促整改等较低层面</w:t>
      </w:r>
      <w:r>
        <w:rPr>
          <w:rFonts w:hint="eastAsia" w:eastAsia="仿宋_GB2312"/>
          <w:color w:val="000000"/>
          <w:sz w:val="32"/>
          <w:szCs w:val="32"/>
          <w:lang w:eastAsia="zh-CN"/>
        </w:rPr>
        <w:t>。</w:t>
      </w:r>
      <w:r>
        <w:rPr>
          <w:rFonts w:hint="eastAsia" w:eastAsia="仿宋_GB2312"/>
          <w:color w:val="000000"/>
          <w:sz w:val="32"/>
          <w:szCs w:val="32"/>
        </w:rPr>
        <w:t>主要原因是绩效管理与年度预算编制结合得不够紧密,预算绩效结果的透明度不太高、绩效评价结果不能更快更多地转化成管理措施。</w:t>
      </w:r>
    </w:p>
    <w:p w14:paraId="2CC5D822">
      <w:pPr>
        <w:spacing w:line="570" w:lineRule="exact"/>
        <w:ind w:firstLine="640" w:firstLineChars="200"/>
        <w:rPr>
          <w:rFonts w:eastAsia="黑体"/>
          <w:sz w:val="32"/>
          <w:szCs w:val="32"/>
        </w:rPr>
      </w:pPr>
      <w:r>
        <w:rPr>
          <w:rFonts w:eastAsia="黑体"/>
          <w:sz w:val="32"/>
          <w:szCs w:val="32"/>
        </w:rPr>
        <w:t>八、下一步改进措施</w:t>
      </w:r>
    </w:p>
    <w:p w14:paraId="793BECD2">
      <w:pPr>
        <w:keepNext w:val="0"/>
        <w:keepLines w:val="0"/>
        <w:pageBreakBefore w:val="0"/>
        <w:widowControl w:val="0"/>
        <w:suppressLineNumbers w:val="0"/>
        <w:kinsoku/>
        <w:wordWrap/>
        <w:overflowPunct/>
        <w:topLinePunct w:val="0"/>
        <w:autoSpaceDN/>
        <w:bidi w:val="0"/>
        <w:adjustRightInd/>
        <w:spacing w:before="0" w:beforeAutospacing="0" w:after="0" w:afterAutospacing="0" w:line="580" w:lineRule="exact"/>
        <w:ind w:left="0" w:right="0" w:firstLine="640" w:firstLineChars="200"/>
        <w:jc w:val="both"/>
        <w:textAlignment w:val="auto"/>
        <w:rPr>
          <w:rFonts w:hint="default" w:ascii="楷体_GB2312" w:hAnsi="Times New Roman" w:eastAsia="楷体_GB2312" w:cs="楷体_GB2312"/>
          <w:b w:val="0"/>
          <w:bCs w:val="0"/>
          <w:kern w:val="2"/>
          <w:sz w:val="32"/>
          <w:szCs w:val="32"/>
          <w:lang w:val="en-US" w:eastAsia="zh-CN" w:bidi="ar"/>
        </w:rPr>
      </w:pPr>
      <w:r>
        <w:rPr>
          <w:rFonts w:hint="default" w:ascii="楷体_GB2312" w:hAnsi="Times New Roman" w:eastAsia="楷体_GB2312" w:cs="楷体_GB2312"/>
          <w:b w:val="0"/>
          <w:bCs w:val="0"/>
          <w:kern w:val="2"/>
          <w:sz w:val="32"/>
          <w:szCs w:val="32"/>
          <w:lang w:val="en-US" w:eastAsia="zh-CN" w:bidi="ar"/>
        </w:rPr>
        <w:t>（一）强化预算编制</w:t>
      </w:r>
    </w:p>
    <w:p w14:paraId="4D73E592">
      <w:pPr>
        <w:keepNext w:val="0"/>
        <w:keepLines w:val="0"/>
        <w:pageBreakBefore w:val="0"/>
        <w:widowControl w:val="0"/>
        <w:suppressLineNumbers w:val="0"/>
        <w:kinsoku/>
        <w:wordWrap/>
        <w:overflowPunct/>
        <w:topLinePunct w:val="0"/>
        <w:autoSpaceDE w:val="0"/>
        <w:autoSpaceDN/>
        <w:bidi w:val="0"/>
        <w:adjustRightInd/>
        <w:spacing w:before="0" w:beforeAutospacing="0" w:after="0" w:afterAutospacing="0" w:line="580" w:lineRule="exact"/>
        <w:ind w:left="0" w:right="0" w:firstLine="640" w:firstLineChars="200"/>
        <w:jc w:val="both"/>
        <w:textAlignment w:val="auto"/>
        <w:rPr>
          <w:rFonts w:hint="default" w:ascii="楷体_GB2312" w:eastAsia="楷体_GB2312" w:cs="楷体_GB2312"/>
          <w:b w:val="0"/>
          <w:bCs w:val="0"/>
          <w:kern w:val="2"/>
          <w:sz w:val="32"/>
          <w:szCs w:val="32"/>
        </w:rPr>
      </w:pPr>
      <w:r>
        <w:rPr>
          <w:rFonts w:hint="default" w:ascii="仿宋_GB2312" w:hAnsi="Times New Roman" w:eastAsia="仿宋_GB2312" w:cs="仿宋_GB2312"/>
          <w:b w:val="0"/>
          <w:bCs w:val="0"/>
          <w:kern w:val="2"/>
          <w:sz w:val="32"/>
          <w:szCs w:val="32"/>
          <w:lang w:val="en-US" w:eastAsia="zh-CN" w:bidi="ar"/>
        </w:rPr>
        <w:t>进一步加强预算编制管理，严格按照预算编制制度的规定和要求，根据年度工作规划和工作重心，科学合理编制预算，覆盖要全面，尽量减少调整预算次数，确保预算编制的完整性、合理性和严谨性。</w:t>
      </w:r>
    </w:p>
    <w:p w14:paraId="4D5896CC">
      <w:pPr>
        <w:keepNext w:val="0"/>
        <w:keepLines w:val="0"/>
        <w:pageBreakBefore w:val="0"/>
        <w:widowControl w:val="0"/>
        <w:suppressLineNumbers w:val="0"/>
        <w:kinsoku/>
        <w:wordWrap/>
        <w:overflowPunct/>
        <w:topLinePunct w:val="0"/>
        <w:autoSpaceDN/>
        <w:bidi w:val="0"/>
        <w:adjustRightInd/>
        <w:spacing w:before="0" w:beforeAutospacing="0" w:after="0" w:afterAutospacing="0" w:line="580" w:lineRule="exact"/>
        <w:ind w:left="0" w:right="0" w:firstLine="640" w:firstLineChars="200"/>
        <w:jc w:val="both"/>
        <w:textAlignment w:val="auto"/>
        <w:rPr>
          <w:rFonts w:hint="default" w:ascii="楷体_GB2312" w:hAnsi="Times New Roman" w:eastAsia="楷体_GB2312" w:cs="楷体_GB2312"/>
          <w:b w:val="0"/>
          <w:bCs w:val="0"/>
          <w:kern w:val="2"/>
          <w:sz w:val="32"/>
          <w:szCs w:val="32"/>
          <w:lang w:val="en-US" w:eastAsia="zh-CN" w:bidi="ar"/>
        </w:rPr>
      </w:pPr>
      <w:r>
        <w:rPr>
          <w:rFonts w:hint="default" w:ascii="楷体_GB2312" w:hAnsi="Times New Roman" w:eastAsia="楷体_GB2312" w:cs="楷体_GB2312"/>
          <w:b w:val="0"/>
          <w:bCs w:val="0"/>
          <w:kern w:val="2"/>
          <w:sz w:val="32"/>
          <w:szCs w:val="32"/>
          <w:lang w:val="en-US" w:eastAsia="zh-CN" w:bidi="ar"/>
        </w:rPr>
        <w:t>（二）优化资源配置</w:t>
      </w:r>
    </w:p>
    <w:p w14:paraId="3FEF6480">
      <w:pPr>
        <w:spacing w:line="570" w:lineRule="exact"/>
        <w:ind w:firstLine="640" w:firstLineChars="200"/>
        <w:jc w:val="both"/>
        <w:rPr>
          <w:rFonts w:eastAsia="黑体"/>
          <w:sz w:val="32"/>
          <w:szCs w:val="32"/>
        </w:rPr>
      </w:pPr>
      <w:r>
        <w:rPr>
          <w:rFonts w:hint="default" w:ascii="仿宋_GB2312" w:hAnsi="Times New Roman" w:eastAsia="仿宋_GB2312" w:cs="仿宋_GB2312"/>
          <w:b w:val="0"/>
          <w:bCs w:val="0"/>
          <w:kern w:val="2"/>
          <w:sz w:val="32"/>
          <w:szCs w:val="32"/>
          <w:lang w:val="en-US" w:eastAsia="zh-CN" w:bidi="ar"/>
        </w:rPr>
        <w:t>充分发挥资产管理专员作用，并定期组织清查。提高资</w:t>
      </w:r>
      <w:r>
        <w:rPr>
          <w:rFonts w:hint="default" w:ascii="仿宋_GB2312" w:hAnsi="Times New Roman" w:eastAsia="仿宋_GB2312" w:cs="仿宋_GB2312"/>
          <w:kern w:val="2"/>
          <w:sz w:val="32"/>
          <w:szCs w:val="32"/>
          <w:lang w:val="en-US" w:eastAsia="zh-CN" w:bidi="ar"/>
        </w:rPr>
        <w:t>产使用效率，调整固定资产规模配置和结构配置，实现两者最优组合，达到配置效能最大化。</w:t>
      </w:r>
    </w:p>
    <w:p w14:paraId="3E1C85B6">
      <w:pPr>
        <w:spacing w:line="570" w:lineRule="exact"/>
        <w:ind w:firstLine="640" w:firstLineChars="200"/>
        <w:rPr>
          <w:rFonts w:eastAsia="黑体"/>
          <w:sz w:val="32"/>
          <w:szCs w:val="32"/>
        </w:rPr>
      </w:pPr>
      <w:r>
        <w:rPr>
          <w:rFonts w:eastAsia="黑体"/>
          <w:sz w:val="32"/>
          <w:szCs w:val="32"/>
        </w:rPr>
        <w:t>九、部门整体支出绩效自评结果拟应用和公开情况</w:t>
      </w:r>
    </w:p>
    <w:p w14:paraId="2C9A32B9">
      <w:pPr>
        <w:keepNext w:val="0"/>
        <w:keepLines w:val="0"/>
        <w:pageBreakBefore w:val="0"/>
        <w:widowControl w:val="0"/>
        <w:suppressLineNumbers w:val="0"/>
        <w:kinsoku/>
        <w:wordWrap/>
        <w:overflowPunct/>
        <w:topLinePunct w:val="0"/>
        <w:autoSpaceDN/>
        <w:bidi w:val="0"/>
        <w:adjustRightInd/>
        <w:snapToGrid w:val="0"/>
        <w:spacing w:before="0" w:beforeAutospacing="0" w:after="0" w:afterAutospacing="0" w:line="580" w:lineRule="exact"/>
        <w:ind w:left="0" w:right="0" w:firstLine="640" w:firstLineChars="200"/>
        <w:jc w:val="both"/>
        <w:textAlignment w:val="auto"/>
        <w:rPr>
          <w:rFonts w:eastAsia="黑体"/>
          <w:sz w:val="32"/>
          <w:szCs w:val="32"/>
        </w:rPr>
      </w:pPr>
      <w:r>
        <w:rPr>
          <w:rFonts w:hint="default" w:ascii="仿宋_GB2312" w:hAnsi="Times New Roman" w:eastAsia="仿宋_GB2312" w:cs="仿宋_GB2312"/>
          <w:kern w:val="2"/>
          <w:sz w:val="32"/>
          <w:szCs w:val="32"/>
          <w:lang w:val="en-US" w:eastAsia="zh-CN" w:bidi="ar"/>
        </w:rPr>
        <w:t>202</w:t>
      </w:r>
      <w:r>
        <w:rPr>
          <w:rFonts w:hint="eastAsia" w:ascii="仿宋_GB2312" w:hAnsi="Times New Roman" w:eastAsia="仿宋_GB2312" w:cs="仿宋_GB2312"/>
          <w:kern w:val="2"/>
          <w:sz w:val="32"/>
          <w:szCs w:val="32"/>
          <w:lang w:val="en-US" w:eastAsia="zh-CN" w:bidi="ar"/>
        </w:rPr>
        <w:t>5</w:t>
      </w:r>
      <w:r>
        <w:rPr>
          <w:rFonts w:hint="default" w:ascii="仿宋_GB2312" w:hAnsi="Times New Roman" w:eastAsia="仿宋_GB2312" w:cs="仿宋_GB2312"/>
          <w:kern w:val="2"/>
          <w:sz w:val="32"/>
          <w:szCs w:val="32"/>
          <w:lang w:val="en-US" w:eastAsia="zh-CN" w:bidi="ar"/>
        </w:rPr>
        <w:t>年，我单位按照年度预算绩效工作要点和工作计划，通过部署开展事前绩效评估、绩效目标填报、绩效自评、事中绩效监控、实施重点项目和部门整体支出绩效评价，开展绩效指标和标准体系建设，完善绩效评价制度，多层次开展绩效培训，稳步推进预算绩效管理工作，初步构建了全方位、全过程、全覆盖的预算绩效管理体系，取得了阶段性的成效。为提高预算绩效信息的透明度，在政府门户网站决算公开中统一公开自评工作开展情况和项目绩效目标完成情况，稳步推动了绩效信息向社会公开。</w:t>
      </w:r>
    </w:p>
    <w:p w14:paraId="3AEE0A73">
      <w:pPr>
        <w:numPr>
          <w:ilvl w:val="0"/>
          <w:numId w:val="2"/>
        </w:numPr>
        <w:spacing w:line="570" w:lineRule="exact"/>
        <w:ind w:firstLine="640" w:firstLineChars="200"/>
        <w:rPr>
          <w:rFonts w:eastAsia="黑体"/>
          <w:sz w:val="32"/>
          <w:szCs w:val="32"/>
        </w:rPr>
      </w:pPr>
      <w:r>
        <w:rPr>
          <w:rFonts w:eastAsia="黑体"/>
          <w:sz w:val="32"/>
          <w:szCs w:val="32"/>
        </w:rPr>
        <w:t>其他需要说明的</w:t>
      </w:r>
      <w:r>
        <w:rPr>
          <w:rFonts w:hint="eastAsia" w:eastAsia="黑体"/>
          <w:sz w:val="32"/>
          <w:szCs w:val="32"/>
          <w:lang w:eastAsia="zh-CN"/>
        </w:rPr>
        <w:t>情况</w:t>
      </w:r>
    </w:p>
    <w:p w14:paraId="65370A80">
      <w:pPr>
        <w:keepNext w:val="0"/>
        <w:keepLines w:val="0"/>
        <w:pageBreakBefore w:val="0"/>
        <w:widowControl w:val="0"/>
        <w:suppressLineNumbers w:val="0"/>
        <w:kinsoku/>
        <w:wordWrap/>
        <w:overflowPunct/>
        <w:topLinePunct w:val="0"/>
        <w:autoSpaceDN/>
        <w:bidi w:val="0"/>
        <w:adjustRightInd/>
        <w:snapToGrid w:val="0"/>
        <w:spacing w:before="0" w:beforeAutospacing="0" w:after="0" w:afterAutospacing="0" w:line="580" w:lineRule="exact"/>
        <w:ind w:left="0" w:right="0" w:firstLine="640" w:firstLineChars="200"/>
        <w:jc w:val="both"/>
        <w:textAlignment w:val="auto"/>
        <w:rPr>
          <w:rFonts w:hint="eastAsia" w:ascii="仿宋_GB2312" w:hAnsi="Times New Roman" w:eastAsia="仿宋_GB2312" w:cs="仿宋_GB2312"/>
          <w:kern w:val="2"/>
          <w:sz w:val="32"/>
          <w:szCs w:val="32"/>
          <w:lang w:val="en-US" w:eastAsia="zh-CN" w:bidi="ar"/>
        </w:rPr>
      </w:pPr>
      <w:r>
        <w:rPr>
          <w:rFonts w:hint="eastAsia" w:ascii="仿宋_GB2312" w:hAnsi="Times New Roman" w:eastAsia="仿宋_GB2312" w:cs="仿宋_GB2312"/>
          <w:kern w:val="2"/>
          <w:sz w:val="32"/>
          <w:szCs w:val="32"/>
          <w:lang w:val="en-US" w:eastAsia="zh-CN" w:bidi="ar"/>
        </w:rPr>
        <w:t>无</w:t>
      </w:r>
    </w:p>
    <w:p w14:paraId="055684C0">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38BED4">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64AC8">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27DF2">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E6047A">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6E6047A">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F36BBB"/>
    <w:multiLevelType w:val="singleLevel"/>
    <w:tmpl w:val="9FF36BBB"/>
    <w:lvl w:ilvl="0" w:tentative="0">
      <w:start w:val="10"/>
      <w:numFmt w:val="chineseCounting"/>
      <w:suff w:val="nothing"/>
      <w:lvlText w:val="%1、"/>
      <w:lvlJc w:val="left"/>
      <w:rPr>
        <w:rFonts w:hint="eastAsia"/>
      </w:rPr>
    </w:lvl>
  </w:abstractNum>
  <w:abstractNum w:abstractNumId="1">
    <w:nsid w:val="D9E3DA24"/>
    <w:multiLevelType w:val="singleLevel"/>
    <w:tmpl w:val="D9E3DA24"/>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16C35836"/>
    <w:rsid w:val="1D97DEFF"/>
    <w:rsid w:val="1DFF72E5"/>
    <w:rsid w:val="1EFC6F07"/>
    <w:rsid w:val="1FC47C74"/>
    <w:rsid w:val="210B52D2"/>
    <w:rsid w:val="2FDF85B8"/>
    <w:rsid w:val="2FFFEE04"/>
    <w:rsid w:val="34DF85B0"/>
    <w:rsid w:val="3B8F36BC"/>
    <w:rsid w:val="3F36419B"/>
    <w:rsid w:val="46145323"/>
    <w:rsid w:val="491FF225"/>
    <w:rsid w:val="4FFD214C"/>
    <w:rsid w:val="5777D4F5"/>
    <w:rsid w:val="593F7996"/>
    <w:rsid w:val="59DD8326"/>
    <w:rsid w:val="59E6628D"/>
    <w:rsid w:val="5DEF592A"/>
    <w:rsid w:val="5FC6BB1E"/>
    <w:rsid w:val="5FF720F1"/>
    <w:rsid w:val="67FF5C0B"/>
    <w:rsid w:val="682E50FB"/>
    <w:rsid w:val="6B433C63"/>
    <w:rsid w:val="6EFC0924"/>
    <w:rsid w:val="6FB74722"/>
    <w:rsid w:val="6FEF8B7E"/>
    <w:rsid w:val="71A6591B"/>
    <w:rsid w:val="737D59BA"/>
    <w:rsid w:val="77C37683"/>
    <w:rsid w:val="79D19834"/>
    <w:rsid w:val="79F4772F"/>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4"/>
    <w:semiHidden/>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4"/>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 w:type="paragraph" w:customStyle="1" w:styleId="18">
    <w:name w:val="列出段落"/>
    <w:basedOn w:val="1"/>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Calibri" w:hAnsi="Calibri" w:cs="Calibri"/>
      <w:kern w:val="0"/>
      <w:sz w:val="28"/>
      <w:szCs w:val="28"/>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32</Pages>
  <Words>1773</Words>
  <Characters>1828</Characters>
  <Lines>69</Lines>
  <Paragraphs>19</Paragraphs>
  <TotalTime>3</TotalTime>
  <ScaleCrop>false</ScaleCrop>
  <LinksUpToDate>false</LinksUpToDate>
  <CharactersWithSpaces>2581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麦阁</cp:lastModifiedBy>
  <cp:lastPrinted>2024-08-10T02:20:00Z</cp:lastPrinted>
  <dcterms:modified xsi:type="dcterms:W3CDTF">2026-09-23T09:35:01Z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ECD8FCBA260F4049AFBBEC6509FCB3E4_13</vt:lpwstr>
  </property>
  <property fmtid="{D5CDD505-2E9C-101B-9397-08002B2CF9AE}" pid="4" name="KSOTemplateDocerSaveRecord">
    <vt:lpwstr>eyJoZGlkIjoiMDk0NTg0OTI3NzY5N2MxYzQ1MWQxOGM2OWZlMzFkYWYiLCJ1c2VySWQiOiI0MTY5ODgzMTgifQ==</vt:lpwstr>
  </property>
</Properties>
</file>