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DF559">
      <w:pPr>
        <w:pStyle w:val="14"/>
        <w:jc w:val="center"/>
        <w:rPr>
          <w:rFonts w:ascii="Times New Roman" w:hAnsi="Times New Roman" w:cs="Times New Roman"/>
          <w:sz w:val="56"/>
          <w:szCs w:val="56"/>
        </w:rPr>
      </w:pPr>
    </w:p>
    <w:p w14:paraId="710D104F">
      <w:pPr>
        <w:pStyle w:val="14"/>
        <w:jc w:val="center"/>
        <w:rPr>
          <w:rFonts w:ascii="Times New Roman" w:hAnsi="Times New Roman" w:cs="Times New Roman"/>
          <w:sz w:val="84"/>
          <w:szCs w:val="84"/>
        </w:rPr>
      </w:pPr>
    </w:p>
    <w:p w14:paraId="72362356">
      <w:pPr>
        <w:pStyle w:val="14"/>
        <w:jc w:val="center"/>
        <w:rPr>
          <w:rFonts w:ascii="Times New Roman" w:hAnsi="Times New Roman" w:cs="Times New Roman"/>
          <w:sz w:val="84"/>
          <w:szCs w:val="84"/>
        </w:rPr>
      </w:pPr>
    </w:p>
    <w:p w14:paraId="41DA0F1A">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rPr>
        <w:t>5</w:t>
      </w:r>
      <w:r>
        <w:rPr>
          <w:rFonts w:ascii="Times New Roman" w:hAnsi="Times New Roman" w:eastAsia="方正小标宋简体" w:cs="Times New Roman"/>
          <w:sz w:val="72"/>
          <w:szCs w:val="72"/>
        </w:rPr>
        <w:t>年度</w:t>
      </w:r>
    </w:p>
    <w:p w14:paraId="02521DC1">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永州市应急救援队</w:t>
      </w:r>
      <w:r>
        <w:rPr>
          <w:rFonts w:ascii="Times New Roman" w:hAnsi="Times New Roman" w:eastAsia="方正小标宋简体" w:cs="Times New Roman"/>
          <w:sz w:val="72"/>
          <w:szCs w:val="72"/>
        </w:rPr>
        <w:t>部门决算</w:t>
      </w:r>
    </w:p>
    <w:p w14:paraId="12A04504">
      <w:pPr>
        <w:pStyle w:val="14"/>
        <w:jc w:val="both"/>
        <w:rPr>
          <w:rFonts w:ascii="Times New Roman" w:hAnsi="Times New Roman" w:cs="Times New Roman"/>
          <w:sz w:val="56"/>
          <w:szCs w:val="56"/>
        </w:rPr>
      </w:pPr>
    </w:p>
    <w:p w14:paraId="6795F17D">
      <w:pPr>
        <w:pStyle w:val="14"/>
        <w:rPr>
          <w:rFonts w:ascii="Times New Roman" w:hAnsi="Times New Roman" w:cs="Times New Roman"/>
          <w:sz w:val="56"/>
          <w:szCs w:val="56"/>
        </w:rPr>
      </w:pPr>
    </w:p>
    <w:p w14:paraId="29A9DE62">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8CA1B65">
      <w:pPr>
        <w:pStyle w:val="14"/>
        <w:spacing w:line="600" w:lineRule="exact"/>
        <w:jc w:val="both"/>
        <w:rPr>
          <w:rFonts w:ascii="Times New Roman" w:hAnsi="Times New Roman" w:cs="Times New Roman"/>
          <w:b/>
          <w:sz w:val="36"/>
          <w:szCs w:val="28"/>
        </w:rPr>
      </w:pPr>
    </w:p>
    <w:p w14:paraId="0324C0C5">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2968735">
      <w:pPr>
        <w:pStyle w:val="14"/>
        <w:spacing w:line="600" w:lineRule="exact"/>
        <w:jc w:val="center"/>
        <w:rPr>
          <w:rFonts w:ascii="Times New Roman" w:hAnsi="Times New Roman" w:cs="Times New Roman"/>
          <w:b/>
          <w:sz w:val="36"/>
          <w:szCs w:val="28"/>
        </w:rPr>
      </w:pPr>
    </w:p>
    <w:p w14:paraId="7B620BAC">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永州市应急救援队</w:t>
      </w:r>
      <w:r>
        <w:rPr>
          <w:rFonts w:ascii="Times New Roman" w:hAnsi="Times New Roman" w:cs="Times New Roman"/>
          <w:bCs/>
          <w:sz w:val="32"/>
          <w:szCs w:val="32"/>
        </w:rPr>
        <w:t>概况</w:t>
      </w:r>
    </w:p>
    <w:p w14:paraId="7419A09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076B11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F8DC24E">
      <w:pPr>
        <w:pStyle w:val="14"/>
        <w:spacing w:before="156" w:beforeLines="50" w:after="156" w:afterLines="50" w:line="600" w:lineRule="exact"/>
        <w:rPr>
          <w:rFonts w:hint="eastAsia" w:ascii="Times New Roman" w:hAnsi="Times New Roman" w:eastAsia="黑体" w:cs="Times New Roman"/>
          <w:b w:val="0"/>
          <w:bCs/>
          <w:color w:val="FF0000"/>
          <w:sz w:val="24"/>
          <w:szCs w:val="24"/>
          <w:lang w:eastAsia="zh-CN"/>
        </w:rPr>
      </w:pPr>
      <w:r>
        <w:rPr>
          <w:rFonts w:ascii="Times New Roman" w:hAnsi="Times New Roman" w:cs="Times New Roman"/>
          <w:bCs/>
          <w:sz w:val="32"/>
          <w:szCs w:val="32"/>
        </w:rPr>
        <w:t>第二部分 部门决算表</w:t>
      </w:r>
    </w:p>
    <w:p w14:paraId="55896B4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0E6D90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BD4F1C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B3946F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3C000E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9AC68C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351719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DF85A3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175947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A8BC5A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240F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C36D1D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28909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5C395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C6F14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BE4990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A3B13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B757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FEBDB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F099C8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FB375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E7E9F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A1AD60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4D4680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年度预算绩效管理情况的说明</w:t>
      </w:r>
    </w:p>
    <w:p w14:paraId="44D1F32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7921E0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1926F98">
      <w:pPr>
        <w:pStyle w:val="14"/>
        <w:spacing w:line="600" w:lineRule="exact"/>
        <w:rPr>
          <w:rFonts w:ascii="Times New Roman" w:hAnsi="Times New Roman" w:cs="Times New Roman"/>
          <w:bCs/>
          <w:sz w:val="28"/>
          <w:szCs w:val="28"/>
        </w:rPr>
      </w:pPr>
    </w:p>
    <w:p w14:paraId="0E1BB970">
      <w:pPr>
        <w:jc w:val="center"/>
        <w:rPr>
          <w:rFonts w:ascii="Times New Roman" w:hAnsi="Times New Roman" w:cs="Times New Roman"/>
          <w:sz w:val="72"/>
          <w:szCs w:val="72"/>
        </w:rPr>
      </w:pPr>
    </w:p>
    <w:p w14:paraId="5D89F710">
      <w:pPr>
        <w:jc w:val="center"/>
        <w:rPr>
          <w:rFonts w:ascii="Times New Roman" w:hAnsi="Times New Roman" w:cs="Times New Roman"/>
          <w:sz w:val="72"/>
          <w:szCs w:val="72"/>
        </w:rPr>
      </w:pPr>
    </w:p>
    <w:p w14:paraId="28F030E5">
      <w:pPr>
        <w:jc w:val="center"/>
        <w:rPr>
          <w:rFonts w:ascii="Times New Roman" w:hAnsi="Times New Roman" w:cs="Times New Roman"/>
          <w:sz w:val="72"/>
          <w:szCs w:val="72"/>
        </w:rPr>
      </w:pPr>
    </w:p>
    <w:p w14:paraId="7698C9C9">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C424103">
      <w:pPr>
        <w:rPr>
          <w:rFonts w:ascii="Times New Roman" w:hAnsi="Times New Roman" w:eastAsia="方正小标宋_GBK" w:cs="Times New Roman"/>
          <w:sz w:val="72"/>
          <w:szCs w:val="72"/>
        </w:rPr>
      </w:pPr>
    </w:p>
    <w:p w14:paraId="08286F6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B17EF5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永州市应急救援队</w:t>
      </w:r>
      <w:r>
        <w:rPr>
          <w:rFonts w:ascii="Times New Roman" w:hAnsi="Times New Roman" w:eastAsia="方正小标宋_GBK" w:cs="Times New Roman"/>
          <w:sz w:val="52"/>
          <w:szCs w:val="52"/>
        </w:rPr>
        <w:t>概况</w:t>
      </w:r>
    </w:p>
    <w:p w14:paraId="51479A15">
      <w:pPr>
        <w:pStyle w:val="5"/>
        <w:ind w:left="0" w:leftChars="0" w:firstLine="0" w:firstLineChars="0"/>
        <w:rPr>
          <w:rFonts w:ascii="Times New Roman" w:hAnsi="Times New Roman" w:cs="Times New Roman"/>
        </w:rPr>
      </w:pPr>
    </w:p>
    <w:p w14:paraId="5B31E31E">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C8DBB71">
      <w:pPr>
        <w:snapToGrid w:val="0"/>
        <w:spacing w:line="52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1．主要职能。</w:t>
      </w:r>
    </w:p>
    <w:p w14:paraId="37E83DE0">
      <w:pPr>
        <w:spacing w:line="560" w:lineRule="exact"/>
        <w:ind w:firstLine="320" w:firstLineChars="100"/>
        <w:rPr>
          <w:rFonts w:hint="eastAsia" w:ascii="仿宋" w:hAnsi="仿宋" w:eastAsia="仿宋" w:cs="Times New Roman"/>
          <w:sz w:val="32"/>
          <w:szCs w:val="32"/>
        </w:rPr>
      </w:pPr>
      <w:r>
        <w:rPr>
          <w:rFonts w:hint="eastAsia" w:ascii="仿宋" w:hAnsi="仿宋" w:eastAsia="仿宋" w:cs="Times New Roman"/>
          <w:sz w:val="32"/>
          <w:szCs w:val="32"/>
          <w:lang w:eastAsia="zh-CN"/>
        </w:rPr>
        <w:t>（</w:t>
      </w:r>
      <w:r>
        <w:rPr>
          <w:rFonts w:hint="eastAsia" w:ascii="仿宋" w:hAnsi="仿宋" w:eastAsia="仿宋" w:cs="Times New Roman"/>
          <w:sz w:val="32"/>
          <w:szCs w:val="32"/>
        </w:rPr>
        <w:t>1</w:t>
      </w:r>
      <w:r>
        <w:rPr>
          <w:rFonts w:hint="eastAsia" w:ascii="仿宋" w:hAnsi="仿宋" w:eastAsia="仿宋" w:cs="Times New Roman"/>
          <w:sz w:val="32"/>
          <w:szCs w:val="32"/>
          <w:lang w:eastAsia="zh-CN"/>
        </w:rPr>
        <w:t>）</w:t>
      </w:r>
      <w:r>
        <w:rPr>
          <w:rFonts w:hint="eastAsia" w:ascii="仿宋" w:hAnsi="仿宋" w:eastAsia="仿宋" w:cs="Times New Roman"/>
          <w:sz w:val="32"/>
          <w:szCs w:val="32"/>
        </w:rPr>
        <w:t>参与较大及以上的地震、洪涝灾害、地质灾害（崩塌、滑坡、泥石流、森林火灾</w:t>
      </w:r>
      <w:r>
        <w:rPr>
          <w:rFonts w:hint="eastAsia" w:ascii="仿宋" w:hAnsi="仿宋" w:eastAsia="仿宋" w:cs="Times New Roman"/>
          <w:sz w:val="32"/>
          <w:szCs w:val="32"/>
          <w:lang w:val="en-US" w:eastAsia="zh-CN"/>
        </w:rPr>
        <w:t>)</w:t>
      </w:r>
      <w:r>
        <w:rPr>
          <w:rFonts w:hint="eastAsia" w:ascii="仿宋" w:hAnsi="仿宋" w:eastAsia="仿宋" w:cs="Times New Roman"/>
          <w:sz w:val="32"/>
          <w:szCs w:val="32"/>
        </w:rPr>
        <w:t>等自然灾害的抢险救援任务及其它安全技术工作。</w:t>
      </w:r>
    </w:p>
    <w:p w14:paraId="4CEDF6F2">
      <w:pPr>
        <w:spacing w:line="560" w:lineRule="exact"/>
        <w:ind w:firstLine="320" w:firstLineChars="100"/>
        <w:rPr>
          <w:rFonts w:hint="eastAsia" w:ascii="仿宋" w:hAnsi="仿宋" w:eastAsia="仿宋" w:cs="Times New Roman"/>
          <w:sz w:val="32"/>
          <w:szCs w:val="32"/>
        </w:rPr>
      </w:pPr>
      <w:r>
        <w:rPr>
          <w:rFonts w:hint="eastAsia" w:ascii="仿宋" w:hAnsi="仿宋" w:eastAsia="仿宋" w:cs="Times New Roman"/>
          <w:sz w:val="32"/>
          <w:szCs w:val="32"/>
          <w:lang w:eastAsia="zh-CN"/>
        </w:rPr>
        <w:t>（</w:t>
      </w:r>
      <w:r>
        <w:rPr>
          <w:rFonts w:hint="eastAsia" w:ascii="仿宋" w:hAnsi="仿宋" w:eastAsia="仿宋" w:cs="Times New Roman"/>
          <w:sz w:val="32"/>
          <w:szCs w:val="32"/>
        </w:rPr>
        <w:t>2</w:t>
      </w:r>
      <w:r>
        <w:rPr>
          <w:rFonts w:hint="eastAsia" w:ascii="仿宋" w:hAnsi="仿宋" w:eastAsia="仿宋" w:cs="Times New Roman"/>
          <w:sz w:val="32"/>
          <w:szCs w:val="32"/>
          <w:lang w:eastAsia="zh-CN"/>
        </w:rPr>
        <w:t>）</w:t>
      </w:r>
      <w:r>
        <w:rPr>
          <w:rFonts w:hint="eastAsia" w:ascii="仿宋" w:hAnsi="仿宋" w:eastAsia="仿宋" w:cs="Times New Roman"/>
          <w:sz w:val="32"/>
          <w:szCs w:val="32"/>
        </w:rPr>
        <w:t>参与较大及以上的道路交通事故、建设工程事故、建（构）筑物事故、水上事故、矿山事故、危险化学品事故等生产安全事故的抢险救援任务及其它安全技术工作。</w:t>
      </w:r>
    </w:p>
    <w:p w14:paraId="6853F21A">
      <w:pPr>
        <w:widowControl/>
        <w:spacing w:line="600" w:lineRule="exact"/>
        <w:rPr>
          <w:rFonts w:hint="eastAsia" w:ascii="仿宋" w:hAnsi="仿宋" w:eastAsia="仿宋" w:cs="Times New Roman"/>
          <w:sz w:val="32"/>
          <w:szCs w:val="32"/>
        </w:rPr>
      </w:pPr>
      <w:r>
        <w:rPr>
          <w:rFonts w:hint="eastAsia" w:ascii="仿宋" w:hAnsi="仿宋" w:eastAsia="仿宋" w:cs="Times New Roman"/>
          <w:sz w:val="32"/>
          <w:szCs w:val="32"/>
          <w:lang w:eastAsia="zh-CN"/>
        </w:rPr>
        <w:t>（</w:t>
      </w:r>
      <w:r>
        <w:rPr>
          <w:rFonts w:hint="eastAsia" w:ascii="仿宋" w:hAnsi="仿宋" w:eastAsia="仿宋" w:cs="Times New Roman"/>
          <w:sz w:val="32"/>
          <w:szCs w:val="32"/>
        </w:rPr>
        <w:t>3</w:t>
      </w:r>
      <w:r>
        <w:rPr>
          <w:rFonts w:hint="eastAsia" w:ascii="仿宋" w:hAnsi="仿宋" w:eastAsia="仿宋" w:cs="Times New Roman"/>
          <w:sz w:val="32"/>
          <w:szCs w:val="32"/>
          <w:lang w:eastAsia="zh-CN"/>
        </w:rPr>
        <w:t>）</w:t>
      </w:r>
      <w:r>
        <w:rPr>
          <w:rFonts w:hint="eastAsia" w:ascii="仿宋" w:hAnsi="仿宋" w:eastAsia="仿宋" w:cs="Times New Roman"/>
          <w:sz w:val="32"/>
          <w:szCs w:val="32"/>
        </w:rPr>
        <w:t>承担市应急救援指挥机构和主管部门交办的其他应急救援工作。</w:t>
      </w:r>
    </w:p>
    <w:p w14:paraId="32A98D3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FD68EBD">
      <w:pPr>
        <w:numPr>
          <w:ilvl w:val="0"/>
          <w:numId w:val="0"/>
        </w:numPr>
        <w:spacing w:line="56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32094971">
      <w:pPr>
        <w:rPr>
          <w:rFonts w:hint="default" w:ascii="仿宋_GB2312" w:hAnsi="Times New Roman" w:eastAsia="仿宋_GB2312" w:cs="Times New Roman"/>
          <w:sz w:val="32"/>
          <w:szCs w:val="32"/>
          <w:lang w:val="en-US" w:eastAsia="zh-CN"/>
        </w:rPr>
      </w:pPr>
      <w:r>
        <w:rPr>
          <w:rFonts w:hint="eastAsia" w:ascii="Times New Roman" w:hAnsi="Times New Roman" w:eastAsia="仿宋_GB2312" w:cs="Times New Roman"/>
          <w:bCs/>
          <w:color w:val="auto"/>
          <w:kern w:val="0"/>
          <w:sz w:val="32"/>
          <w:szCs w:val="32"/>
          <w:lang w:eastAsia="zh-CN"/>
        </w:rPr>
        <w:t>永州市应急救援队</w:t>
      </w:r>
      <w:r>
        <w:rPr>
          <w:rFonts w:hint="eastAsia" w:ascii="仿宋_GB2312" w:eastAsia="仿宋_GB2312"/>
          <w:sz w:val="32"/>
          <w:szCs w:val="32"/>
        </w:rPr>
        <w:t>为正科级全额拨款事业单位，</w:t>
      </w:r>
      <w:r>
        <w:rPr>
          <w:rFonts w:hint="eastAsia" w:ascii="仿宋_GB2312" w:hAnsi="Times New Roman" w:eastAsia="仿宋_GB2312" w:cs="Times New Roman"/>
          <w:sz w:val="32"/>
          <w:szCs w:val="32"/>
        </w:rPr>
        <w:t>编制内实有人员</w:t>
      </w:r>
      <w:r>
        <w:rPr>
          <w:rFonts w:hint="eastAsia" w:ascii="仿宋_GB2312" w:hAnsi="Times New Roman" w:eastAsia="仿宋_GB2312" w:cs="Times New Roman"/>
          <w:sz w:val="32"/>
          <w:szCs w:val="32"/>
          <w:lang w:val="en-US" w:eastAsia="zh-CN"/>
        </w:rPr>
        <w:t>22</w:t>
      </w:r>
      <w:r>
        <w:rPr>
          <w:rFonts w:hint="eastAsia" w:ascii="仿宋_GB2312" w:hAnsi="Times New Roman" w:eastAsia="仿宋_GB2312" w:cs="Times New Roman"/>
          <w:sz w:val="32"/>
          <w:szCs w:val="32"/>
        </w:rPr>
        <w:t>人（其中公务员</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人，参照公务员法管理事业人员</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人，事业管理人员和专业技术人员</w:t>
      </w:r>
      <w:r>
        <w:rPr>
          <w:rFonts w:hint="eastAsia" w:ascii="仿宋_GB2312" w:hAnsi="Times New Roman" w:eastAsia="仿宋_GB2312" w:cs="Times New Roman"/>
          <w:sz w:val="32"/>
          <w:szCs w:val="32"/>
          <w:lang w:val="en-US" w:eastAsia="zh-CN"/>
        </w:rPr>
        <w:t>6</w:t>
      </w:r>
      <w:r>
        <w:rPr>
          <w:rFonts w:hint="eastAsia" w:ascii="仿宋_GB2312" w:hAnsi="Times New Roman" w:eastAsia="仿宋_GB2312" w:cs="Times New Roman"/>
          <w:sz w:val="32"/>
          <w:szCs w:val="32"/>
        </w:rPr>
        <w:t>人、机关和事业工人</w:t>
      </w:r>
      <w:r>
        <w:rPr>
          <w:rFonts w:hint="eastAsia" w:ascii="仿宋_GB2312" w:hAnsi="Times New Roman" w:eastAsia="仿宋_GB2312" w:cs="Times New Roman"/>
          <w:sz w:val="32"/>
          <w:szCs w:val="32"/>
          <w:lang w:val="en-US" w:eastAsia="zh-CN"/>
        </w:rPr>
        <w:t>16</w:t>
      </w:r>
      <w:r>
        <w:rPr>
          <w:rFonts w:hint="eastAsia" w:ascii="仿宋_GB2312" w:hAnsi="Times New Roman" w:eastAsia="仿宋_GB2312" w:cs="Times New Roman"/>
          <w:sz w:val="32"/>
          <w:szCs w:val="32"/>
        </w:rPr>
        <w:t>人、经费自理人员</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人）；其他人员</w:t>
      </w:r>
      <w:r>
        <w:rPr>
          <w:rFonts w:hint="eastAsia" w:ascii="仿宋_GB2312" w:hAnsi="Times New Roman" w:eastAsia="仿宋_GB2312" w:cs="Times New Roman"/>
          <w:color w:val="auto"/>
          <w:sz w:val="32"/>
          <w:szCs w:val="32"/>
          <w:lang w:val="en-US" w:eastAsia="zh-CN"/>
        </w:rPr>
        <w:t>27</w:t>
      </w:r>
      <w:r>
        <w:rPr>
          <w:rFonts w:hint="eastAsia" w:ascii="仿宋_GB2312" w:hAnsi="Times New Roman" w:eastAsia="仿宋_GB2312" w:cs="Times New Roman"/>
          <w:sz w:val="32"/>
          <w:szCs w:val="32"/>
        </w:rPr>
        <w:t>人（其中财政拨款开支人员</w:t>
      </w:r>
      <w:r>
        <w:rPr>
          <w:rFonts w:hint="eastAsia" w:ascii="仿宋_GB2312" w:hAnsi="Times New Roman" w:eastAsia="仿宋_GB2312" w:cs="Times New Roman"/>
          <w:sz w:val="32"/>
          <w:szCs w:val="32"/>
          <w:lang w:val="en-US" w:eastAsia="zh-CN"/>
        </w:rPr>
        <w:t>29</w:t>
      </w:r>
      <w:r>
        <w:rPr>
          <w:rFonts w:hint="eastAsia" w:ascii="仿宋_GB2312" w:hAnsi="Times New Roman" w:eastAsia="仿宋_GB2312" w:cs="Times New Roman"/>
          <w:sz w:val="32"/>
          <w:szCs w:val="32"/>
        </w:rPr>
        <w:t>人、经费自理人员</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退休</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人。车辆编制为</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台。</w:t>
      </w:r>
    </w:p>
    <w:p w14:paraId="6D0033D0">
      <w:pPr>
        <w:numPr>
          <w:ilvl w:val="0"/>
          <w:numId w:val="0"/>
        </w:numPr>
        <w:spacing w:line="560" w:lineRule="exact"/>
        <w:ind w:firstLine="640" w:firstLineChars="200"/>
        <w:rPr>
          <w:rFonts w:hint="eastAsia" w:ascii="Times New Roman" w:hAnsi="Times New Roman" w:eastAsia="仿宋_GB2312" w:cs="Times New Roman"/>
          <w:color w:val="0000FF"/>
          <w:sz w:val="32"/>
          <w:szCs w:val="32"/>
          <w:lang w:val="en-US" w:eastAsia="zh-CN"/>
        </w:rPr>
      </w:pPr>
    </w:p>
    <w:p w14:paraId="3844CB3F">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43021FA3">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永州市应急救援队</w:t>
      </w:r>
      <w:r>
        <w:rPr>
          <w:rFonts w:ascii="Times New Roman" w:hAnsi="Times New Roman" w:eastAsia="仿宋_GB2312" w:cs="Times New Roman"/>
          <w:bCs/>
          <w:kern w:val="0"/>
          <w:sz w:val="32"/>
          <w:szCs w:val="32"/>
        </w:rPr>
        <w:t>202</w:t>
      </w:r>
      <w:r>
        <w:rPr>
          <w:rFonts w:hint="default" w:ascii="Times New Roman" w:hAnsi="Times New Roman" w:eastAsia="仿宋_GB2312" w:cs="Times New Roman"/>
          <w:bCs/>
          <w:kern w:val="0"/>
          <w:sz w:val="32"/>
          <w:szCs w:val="32"/>
          <w:lang w:val="en-US"/>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kern w:val="2"/>
          <w:sz w:val="32"/>
          <w:szCs w:val="32"/>
          <w:lang w:val="en-US" w:eastAsia="zh-CN" w:bidi="ar-SA"/>
        </w:rPr>
        <w:t>永州市应急救援队</w:t>
      </w:r>
      <w:r>
        <w:rPr>
          <w:rFonts w:hint="eastAsia" w:ascii="Times New Roman" w:hAnsi="Times New Roman" w:eastAsia="仿宋_GB2312" w:cs="Times New Roman"/>
          <w:color w:val="auto"/>
          <w:sz w:val="32"/>
          <w:szCs w:val="32"/>
          <w:highlight w:val="none"/>
          <w:lang w:eastAsia="zh-CN"/>
        </w:rPr>
        <w:t>是二级预算单位，因此，纳入</w:t>
      </w:r>
      <w:r>
        <w:rPr>
          <w:rFonts w:hint="eastAsia" w:ascii="Times New Roman" w:hAnsi="Times New Roman" w:eastAsia="仿宋_GB2312" w:cs="Times New Roman"/>
          <w:color w:val="auto"/>
          <w:sz w:val="32"/>
          <w:szCs w:val="32"/>
          <w:highlight w:val="none"/>
          <w:lang w:val="en-US" w:eastAsia="zh-CN"/>
        </w:rPr>
        <w:t>2025</w:t>
      </w:r>
      <w:r>
        <w:rPr>
          <w:rFonts w:hint="eastAsia" w:ascii="Times New Roman" w:hAnsi="Times New Roman" w:eastAsia="仿宋_GB2312" w:cs="Times New Roman"/>
          <w:color w:val="auto"/>
          <w:sz w:val="32"/>
          <w:szCs w:val="32"/>
          <w:highlight w:val="none"/>
          <w:lang w:eastAsia="zh-CN"/>
        </w:rPr>
        <w:t>年部门决算编制范围的为永州市应急救援队本级。</w:t>
      </w:r>
    </w:p>
    <w:p w14:paraId="02844BD9">
      <w:pPr>
        <w:jc w:val="left"/>
        <w:rPr>
          <w:rFonts w:ascii="Times New Roman" w:hAnsi="Times New Roman" w:eastAsia="仿宋_GB2312" w:cs="Times New Roman"/>
          <w:sz w:val="28"/>
          <w:szCs w:val="32"/>
        </w:rPr>
      </w:pPr>
    </w:p>
    <w:p w14:paraId="76EE2F11">
      <w:pPr>
        <w:jc w:val="center"/>
        <w:rPr>
          <w:rFonts w:ascii="Times New Roman" w:hAnsi="Times New Roman" w:eastAsia="黑体" w:cs="Times New Roman"/>
          <w:sz w:val="28"/>
          <w:szCs w:val="28"/>
        </w:rPr>
      </w:pPr>
    </w:p>
    <w:p w14:paraId="720A391D">
      <w:pPr>
        <w:jc w:val="center"/>
        <w:rPr>
          <w:rFonts w:ascii="Times New Roman" w:hAnsi="Times New Roman" w:eastAsia="黑体" w:cs="Times New Roman"/>
          <w:sz w:val="28"/>
          <w:szCs w:val="28"/>
        </w:rPr>
      </w:pPr>
    </w:p>
    <w:p w14:paraId="7121846A">
      <w:pPr>
        <w:jc w:val="center"/>
        <w:rPr>
          <w:rFonts w:ascii="Times New Roman" w:hAnsi="Times New Roman" w:eastAsia="黑体" w:cs="Times New Roman"/>
          <w:sz w:val="28"/>
          <w:szCs w:val="28"/>
        </w:rPr>
      </w:pPr>
    </w:p>
    <w:p w14:paraId="685FD43F">
      <w:pPr>
        <w:jc w:val="center"/>
        <w:rPr>
          <w:rFonts w:ascii="Times New Roman" w:hAnsi="Times New Roman" w:eastAsia="黑体" w:cs="Times New Roman"/>
          <w:sz w:val="28"/>
          <w:szCs w:val="28"/>
        </w:rPr>
      </w:pPr>
    </w:p>
    <w:p w14:paraId="3BE24533">
      <w:pPr>
        <w:jc w:val="center"/>
        <w:rPr>
          <w:rFonts w:ascii="Times New Roman" w:hAnsi="Times New Roman" w:eastAsia="黑体" w:cs="Times New Roman"/>
          <w:sz w:val="28"/>
          <w:szCs w:val="28"/>
        </w:rPr>
      </w:pPr>
    </w:p>
    <w:p w14:paraId="4A9BE7D0">
      <w:pPr>
        <w:pStyle w:val="9"/>
        <w:rPr>
          <w:rFonts w:ascii="Times New Roman" w:hAnsi="Times New Roman" w:cs="Times New Roman"/>
        </w:rPr>
      </w:pPr>
    </w:p>
    <w:p w14:paraId="2F4A90BA">
      <w:pPr>
        <w:pStyle w:val="5"/>
        <w:sectPr>
          <w:footerReference r:id="rId6" w:type="default"/>
          <w:pgSz w:w="11906" w:h="16838"/>
          <w:pgMar w:top="1417" w:right="1588" w:bottom="1417" w:left="1588" w:header="851" w:footer="992" w:gutter="0"/>
          <w:pgNumType w:start="1"/>
          <w:cols w:space="425" w:num="1"/>
          <w:docGrid w:type="lines" w:linePitch="312" w:charSpace="0"/>
        </w:sectPr>
      </w:pPr>
    </w:p>
    <w:p w14:paraId="449DDE77">
      <w:pPr>
        <w:pStyle w:val="14"/>
        <w:numPr>
          <w:ilvl w:val="0"/>
          <w:numId w:val="0"/>
        </w:numPr>
        <w:jc w:val="center"/>
        <w:rPr>
          <w:rFonts w:ascii="Times New Roman" w:hAnsi="Times New Roman" w:eastAsia="方正小标宋_GBK" w:cs="Times New Roman"/>
          <w:sz w:val="52"/>
          <w:szCs w:val="52"/>
        </w:rPr>
      </w:pPr>
    </w:p>
    <w:p w14:paraId="22701445">
      <w:pPr>
        <w:pStyle w:val="14"/>
        <w:numPr>
          <w:ilvl w:val="0"/>
          <w:numId w:val="0"/>
        </w:numPr>
        <w:jc w:val="center"/>
        <w:rPr>
          <w:rFonts w:ascii="Times New Roman" w:hAnsi="Times New Roman" w:eastAsia="方正小标宋_GBK" w:cs="Times New Roman"/>
          <w:sz w:val="52"/>
          <w:szCs w:val="52"/>
        </w:rPr>
      </w:pPr>
    </w:p>
    <w:p w14:paraId="405E4210">
      <w:pPr>
        <w:pStyle w:val="14"/>
        <w:numPr>
          <w:ilvl w:val="0"/>
          <w:numId w:val="2"/>
        </w:numPr>
        <w:jc w:val="center"/>
        <w:rPr>
          <w:rFonts w:ascii="Times New Roman" w:hAnsi="Times New Roman" w:eastAsia="方正小标宋_GBK" w:cs="Times New Roman"/>
          <w:sz w:val="52"/>
          <w:szCs w:val="52"/>
        </w:rPr>
      </w:pPr>
    </w:p>
    <w:p w14:paraId="5C518531">
      <w:pPr>
        <w:pStyle w:val="14"/>
        <w:numPr>
          <w:ilvl w:val="0"/>
          <w:numId w:val="0"/>
        </w:numPr>
        <w:ind w:firstLine="2860" w:firstLineChars="55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25C109AD">
      <w:pPr>
        <w:pStyle w:val="14"/>
        <w:numPr>
          <w:ilvl w:val="0"/>
          <w:numId w:val="0"/>
        </w:numPr>
        <w:ind w:firstLine="2860" w:firstLineChars="550"/>
        <w:jc w:val="both"/>
        <w:rPr>
          <w:rFonts w:ascii="Times New Roman" w:hAnsi="Times New Roman" w:eastAsia="方正小标宋_GBK" w:cs="Times New Roman"/>
          <w:sz w:val="52"/>
          <w:szCs w:val="52"/>
        </w:rPr>
      </w:pPr>
    </w:p>
    <w:p w14:paraId="0E125145">
      <w:pPr>
        <w:widowControl/>
        <w:spacing w:line="600" w:lineRule="exact"/>
        <w:rPr>
          <w:rFonts w:ascii="Times New Roman" w:hAnsi="Times New Roman" w:eastAsia="方正小标宋_GBK" w:cs="Times New Roman"/>
          <w:sz w:val="70"/>
          <w:szCs w:val="70"/>
        </w:rPr>
      </w:pPr>
      <w:r>
        <w:rPr>
          <w:rFonts w:hint="eastAsia" w:ascii="Times New Roman" w:hAnsi="Times New Roman" w:eastAsia="黑体" w:cs="Times New Roman"/>
          <w:bCs/>
          <w:kern w:val="0"/>
          <w:sz w:val="44"/>
          <w:szCs w:val="44"/>
          <w:lang w:val="en-US" w:eastAsia="zh-CN"/>
        </w:rPr>
        <w:t>详见《附件1：202</w:t>
      </w:r>
      <w:r>
        <w:rPr>
          <w:rFonts w:hint="default" w:ascii="Times New Roman" w:hAnsi="Times New Roman" w:eastAsia="黑体" w:cs="Times New Roman"/>
          <w:bCs/>
          <w:kern w:val="0"/>
          <w:sz w:val="44"/>
          <w:szCs w:val="44"/>
          <w:lang w:val="en-US" w:eastAsia="zh-CN"/>
        </w:rPr>
        <w:t>5</w:t>
      </w:r>
      <w:r>
        <w:rPr>
          <w:rFonts w:hint="eastAsia" w:ascii="Times New Roman" w:hAnsi="Times New Roman" w:eastAsia="黑体" w:cs="Times New Roman"/>
          <w:bCs/>
          <w:kern w:val="0"/>
          <w:sz w:val="44"/>
          <w:szCs w:val="44"/>
          <w:lang w:val="en-US" w:eastAsia="zh-CN"/>
        </w:rPr>
        <w:t>年度部门决算公开表》</w:t>
      </w:r>
    </w:p>
    <w:p w14:paraId="5335F959">
      <w:pPr>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FF0000"/>
          <w:sz w:val="32"/>
          <w:szCs w:val="32"/>
          <w:lang w:val="en-US" w:eastAsia="zh-CN"/>
        </w:rPr>
        <w:br w:type="page"/>
      </w:r>
    </w:p>
    <w:p w14:paraId="20D4F46A">
      <w:pPr>
        <w:pStyle w:val="14"/>
        <w:overflowPunct w:val="0"/>
        <w:autoSpaceDE/>
        <w:autoSpaceDN/>
        <w:spacing w:line="600" w:lineRule="exact"/>
        <w:ind w:firstLine="640" w:firstLineChars="200"/>
        <w:jc w:val="both"/>
        <w:rPr>
          <w:rFonts w:hint="default" w:ascii="Times New Roman" w:hAnsi="Times New Roman" w:eastAsia="仿宋_GB2312" w:cs="Times New Roman"/>
          <w:color w:val="FF0000"/>
          <w:sz w:val="32"/>
          <w:szCs w:val="32"/>
          <w:lang w:val="en-US" w:eastAsia="zh-CN"/>
        </w:rPr>
      </w:pPr>
    </w:p>
    <w:p w14:paraId="47D6D594">
      <w:pPr>
        <w:jc w:val="center"/>
        <w:rPr>
          <w:rFonts w:ascii="Times New Roman" w:hAnsi="Times New Roman" w:eastAsia="黑体" w:cs="Times New Roman"/>
          <w:sz w:val="28"/>
          <w:szCs w:val="28"/>
        </w:rPr>
      </w:pPr>
    </w:p>
    <w:p w14:paraId="731054D7">
      <w:pPr>
        <w:pStyle w:val="14"/>
        <w:jc w:val="both"/>
        <w:rPr>
          <w:rFonts w:ascii="Times New Roman" w:hAnsi="Times New Roman" w:eastAsia="方正小标宋_GBK" w:cs="Times New Roman"/>
          <w:sz w:val="72"/>
          <w:szCs w:val="72"/>
        </w:rPr>
      </w:pPr>
    </w:p>
    <w:p w14:paraId="5A69ECB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5567F3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default" w:ascii="Times New Roman" w:hAnsi="Times New Roman" w:eastAsia="方正小标宋_GBK" w:cs="Times New Roman"/>
          <w:sz w:val="52"/>
          <w:szCs w:val="52"/>
          <w:lang w:val="en-US"/>
        </w:rPr>
        <w:t>5</w:t>
      </w:r>
      <w:r>
        <w:rPr>
          <w:rFonts w:ascii="Times New Roman" w:hAnsi="Times New Roman" w:eastAsia="方正小标宋_GBK" w:cs="Times New Roman"/>
          <w:sz w:val="52"/>
          <w:szCs w:val="52"/>
        </w:rPr>
        <w:t>年度部门决算情况说明</w:t>
      </w:r>
    </w:p>
    <w:p w14:paraId="02EDE17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E28488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4B40F0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万元。与上年相比，增加</w:t>
      </w:r>
      <w:r>
        <w:rPr>
          <w:rFonts w:hint="eastAsia" w:ascii="仿宋_GB2312" w:hAnsi="仿宋" w:eastAsia="仿宋_GB2312" w:cs="Times New Roman"/>
          <w:sz w:val="32"/>
          <w:szCs w:val="32"/>
          <w:lang w:val="en-US" w:eastAsia="zh-CN"/>
        </w:rPr>
        <w:t>54.08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w:t>
      </w:r>
      <w:r>
        <w:rPr>
          <w:rFonts w:hint="eastAsia" w:ascii="仿宋_GB2312" w:hAnsi="仿宋" w:eastAsia="仿宋_GB2312" w:cs="Times New Roman"/>
          <w:sz w:val="32"/>
          <w:szCs w:val="32"/>
          <w:lang w:val="en-US" w:eastAsia="zh-CN"/>
        </w:rPr>
        <w:t>年新增车库大棚工程项目。</w:t>
      </w:r>
    </w:p>
    <w:p w14:paraId="12EF0324">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w:t>
      </w:r>
      <w:r>
        <w:rPr>
          <w:rFonts w:hint="eastAsia" w:ascii="仿宋_GB2312" w:hAnsi="仿宋" w:eastAsia="仿宋_GB2312" w:cs="Times New Roman"/>
          <w:sz w:val="32"/>
          <w:szCs w:val="32"/>
          <w:lang w:val="en-US" w:eastAsia="zh-CN"/>
        </w:rPr>
        <w:t>年新增车库大棚工程项目。</w:t>
      </w:r>
    </w:p>
    <w:p w14:paraId="0A9EFFA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BDA0056">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55E377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BFB5BA2">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569.88</w:t>
      </w:r>
      <w:r>
        <w:rPr>
          <w:rFonts w:ascii="Times New Roman" w:hAnsi="Times New Roman" w:eastAsia="仿宋_GB2312" w:cs="Times New Roman"/>
          <w:sz w:val="32"/>
          <w:szCs w:val="32"/>
        </w:rPr>
        <w:t>万元，占</w:t>
      </w:r>
      <w:r>
        <w:rPr>
          <w:rFonts w:hint="eastAsia" w:ascii="Times New Roman" w:hAnsi="Times New Roman" w:eastAsia="仿宋_GB2312" w:cs="Times New Roman"/>
          <w:color w:val="auto"/>
          <w:sz w:val="32"/>
          <w:szCs w:val="32"/>
          <w:lang w:val="en-US" w:eastAsia="zh-CN"/>
        </w:rPr>
        <w:t>93.32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40.78</w:t>
      </w:r>
      <w:r>
        <w:rPr>
          <w:rFonts w:ascii="Times New Roman" w:hAnsi="Times New Roman" w:eastAsia="仿宋_GB2312" w:cs="Times New Roman"/>
          <w:sz w:val="32"/>
          <w:szCs w:val="32"/>
        </w:rPr>
        <w:t>万元，占</w:t>
      </w:r>
      <w:r>
        <w:rPr>
          <w:rFonts w:hint="eastAsia" w:ascii="Times New Roman" w:hAnsi="Times New Roman" w:eastAsia="仿宋_GB2312" w:cs="Times New Roman"/>
          <w:color w:val="auto"/>
          <w:sz w:val="32"/>
          <w:szCs w:val="32"/>
          <w:lang w:val="en-US" w:eastAsia="zh-CN"/>
        </w:rPr>
        <w:t>6.68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DB90CE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60A890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收入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lang w:val="en-US" w:eastAsia="zh-CN"/>
        </w:rPr>
        <w:t>2025年新增车库大棚工程项目。</w:t>
      </w:r>
    </w:p>
    <w:p w14:paraId="132DBB3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lang w:val="en-US" w:eastAsia="zh-CN"/>
        </w:rPr>
        <w:t>2025年新增车库大棚工程项目。</w:t>
      </w:r>
    </w:p>
    <w:p w14:paraId="6AA670D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5BECEF35">
      <w:pPr>
        <w:pStyle w:val="14"/>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一般公共预算财政拨款支出决算情况说明</w:t>
      </w:r>
    </w:p>
    <w:p w14:paraId="0153468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677BC6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54.08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lang w:val="en-US" w:eastAsia="zh-CN"/>
        </w:rPr>
        <w:t>2025年新增车库大棚工程项目，</w:t>
      </w:r>
      <w:r>
        <w:rPr>
          <w:rFonts w:hint="eastAsia" w:ascii="仿宋_GB2312" w:hAnsi="仿宋" w:eastAsia="仿宋_GB2312" w:cs="Times New Roman"/>
          <w:sz w:val="32"/>
          <w:szCs w:val="32"/>
        </w:rPr>
        <w:t>本单位社保基数调整以及人员工资调增</w:t>
      </w:r>
      <w:r>
        <w:rPr>
          <w:rFonts w:hint="eastAsia" w:ascii="仿宋_GB2312" w:hAnsi="仿宋" w:eastAsia="仿宋_GB2312" w:cs="Times New Roman"/>
          <w:sz w:val="32"/>
          <w:szCs w:val="32"/>
          <w:lang w:val="en-US" w:eastAsia="zh-CN"/>
        </w:rPr>
        <w:t>。</w:t>
      </w:r>
    </w:p>
    <w:p w14:paraId="0EAA0EB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1471FE9">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万元，主要用于以下方面：、</w:t>
      </w:r>
      <w:r>
        <w:rPr>
          <w:rFonts w:hint="eastAsia" w:ascii="Times New Roman" w:hAnsi="Times New Roman" w:eastAsia="仿宋_GB2312"/>
          <w:color w:val="000000" w:themeColor="text1"/>
          <w:sz w:val="32"/>
          <w:szCs w:val="32"/>
          <w:lang w:eastAsia="zh-CN"/>
          <w14:textFill>
            <w14:solidFill>
              <w14:schemeClr w14:val="tx1"/>
            </w14:solidFill>
          </w14:textFill>
        </w:rPr>
        <w:t>机关事业单位基本养老保险缴费支出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38.62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6.32</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lang w:eastAsia="zh-CN"/>
        </w:rPr>
        <w:t>行政事业单位医疗</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12.68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lang w:val="en-US" w:eastAsia="zh-CN"/>
        </w:rPr>
        <w:t>住房保障支出（类）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25.74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黑体"/>
          <w:b w:val="0"/>
          <w:bCs w:val="0"/>
          <w:color w:val="auto"/>
          <w:kern w:val="0"/>
          <w:sz w:val="32"/>
          <w:szCs w:val="32"/>
          <w:lang w:val="en-US" w:eastAsia="zh-CN" w:bidi="ar-SA"/>
        </w:rPr>
        <w:t>灾害防治及应急管理支出（类）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533.62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87.38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E0C2AD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846A37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549.3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111.17</w:t>
      </w:r>
      <w:r>
        <w:rPr>
          <w:rFonts w:ascii="Times New Roman" w:hAnsi="Times New Roman" w:eastAsia="仿宋_GB2312" w:cs="Times New Roman"/>
          <w:sz w:val="32"/>
          <w:szCs w:val="32"/>
        </w:rPr>
        <w:t>%，其中：</w:t>
      </w:r>
    </w:p>
    <w:p w14:paraId="6277F29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olor w:val="000000" w:themeColor="text1"/>
          <w:sz w:val="32"/>
          <w:szCs w:val="32"/>
          <w:lang w:eastAsia="zh-CN"/>
          <w14:textFill>
            <w14:solidFill>
              <w14:schemeClr w14:val="tx1"/>
            </w14:solidFill>
          </w14:textFill>
        </w:rPr>
        <w:t>社会保障和就业支出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其他行政事业单位养老支出</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死亡抚恤</w:t>
      </w:r>
      <w:r>
        <w:rPr>
          <w:rFonts w:hint="eastAsia" w:ascii="Times New Roman" w:hAnsi="Times New Roman" w:eastAsia="仿宋_GB2312"/>
          <w:color w:val="000000" w:themeColor="text1"/>
          <w:sz w:val="32"/>
          <w:szCs w:val="32"/>
          <w14:textFill>
            <w14:solidFill>
              <w14:schemeClr w14:val="tx1"/>
            </w14:solidFill>
          </w14:textFill>
        </w:rPr>
        <w:t>（项）</w:t>
      </w:r>
      <w:r>
        <w:rPr>
          <w:rFonts w:ascii="Times New Roman" w:hAnsi="Times New Roman" w:eastAsia="仿宋_GB2312" w:cs="Times New Roman"/>
          <w:sz w:val="32"/>
          <w:szCs w:val="32"/>
        </w:rPr>
        <w:t>。</w:t>
      </w:r>
    </w:p>
    <w:p w14:paraId="0C7BB16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129.42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2025年新增一名在职在编人员，</w:t>
      </w:r>
      <w:r>
        <w:rPr>
          <w:rFonts w:hint="eastAsia" w:ascii="仿宋_GB2312" w:hAnsi="仿宋" w:eastAsia="仿宋_GB2312" w:cs="Times New Roman"/>
          <w:sz w:val="32"/>
          <w:szCs w:val="32"/>
        </w:rPr>
        <w:t>单位社保基数调整以及人员工资调增</w:t>
      </w:r>
      <w:r>
        <w:rPr>
          <w:rFonts w:hint="eastAsia" w:ascii="Times New Roman" w:hAnsi="Times New Roman" w:eastAsia="仿宋_GB2312" w:cs="Times New Roman"/>
          <w:sz w:val="32"/>
          <w:szCs w:val="32"/>
          <w:lang w:val="en-US" w:eastAsia="zh-CN"/>
        </w:rPr>
        <w:t>。</w:t>
      </w:r>
    </w:p>
    <w:p w14:paraId="49ED96C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黑体"/>
          <w:color w:val="auto"/>
          <w:kern w:val="0"/>
          <w:sz w:val="32"/>
          <w:szCs w:val="32"/>
          <w:lang w:val="en-US" w:eastAsia="zh-CN" w:bidi="ar-SA"/>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（款）事业单位医疗（项）</w:t>
      </w:r>
      <w:r>
        <w:rPr>
          <w:rFonts w:ascii="Times New Roman" w:hAnsi="Times New Roman" w:eastAsia="仿宋_GB2312" w:cs="Times New Roman"/>
          <w:sz w:val="32"/>
          <w:szCs w:val="32"/>
        </w:rPr>
        <w:t>。</w:t>
      </w:r>
    </w:p>
    <w:p w14:paraId="31CFE2A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101.93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2025年新增一名在职在编人员，</w:t>
      </w:r>
      <w:r>
        <w:rPr>
          <w:rFonts w:hint="eastAsia" w:ascii="仿宋_GB2312" w:hAnsi="仿宋" w:eastAsia="仿宋_GB2312" w:cs="Times New Roman"/>
          <w:sz w:val="32"/>
          <w:szCs w:val="32"/>
        </w:rPr>
        <w:t>单位社保基数调整以及人员工资调增</w:t>
      </w:r>
      <w:r>
        <w:rPr>
          <w:rFonts w:hint="eastAsia" w:ascii="Times New Roman" w:hAnsi="Times New Roman" w:eastAsia="仿宋_GB2312" w:cs="Times New Roman"/>
          <w:sz w:val="32"/>
          <w:szCs w:val="32"/>
          <w:lang w:val="en-US" w:eastAsia="zh-CN"/>
        </w:rPr>
        <w:t>。</w:t>
      </w:r>
    </w:p>
    <w:p w14:paraId="63DB05CB">
      <w:pPr>
        <w:pStyle w:val="14"/>
        <w:numPr>
          <w:ilvl w:val="0"/>
          <w:numId w:val="4"/>
        </w:numPr>
        <w:overflowPunct w:val="0"/>
        <w:autoSpaceDE/>
        <w:autoSpaceDN/>
        <w:spacing w:line="600" w:lineRule="exact"/>
        <w:ind w:left="0" w:leftChars="0" w:firstLine="640" w:firstLineChars="200"/>
        <w:jc w:val="both"/>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住房保障支出（类）住房改革支出（款）住房公积金（项）。</w:t>
      </w:r>
    </w:p>
    <w:p w14:paraId="142C2A9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101.34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2025年新增一名在职在编人员，</w:t>
      </w:r>
      <w:r>
        <w:rPr>
          <w:rFonts w:hint="eastAsia" w:ascii="仿宋_GB2312" w:hAnsi="仿宋" w:eastAsia="仿宋_GB2312" w:cs="Times New Roman"/>
          <w:sz w:val="32"/>
          <w:szCs w:val="32"/>
        </w:rPr>
        <w:t>单位社保基数调整以及人员工资调增</w:t>
      </w:r>
      <w:r>
        <w:rPr>
          <w:rFonts w:hint="eastAsia" w:ascii="Times New Roman" w:hAnsi="Times New Roman" w:eastAsia="仿宋_GB2312" w:cs="Times New Roman"/>
          <w:sz w:val="32"/>
          <w:szCs w:val="32"/>
          <w:lang w:val="en-US" w:eastAsia="zh-CN"/>
        </w:rPr>
        <w:t>。</w:t>
      </w:r>
    </w:p>
    <w:p w14:paraId="096E56D4">
      <w:pPr>
        <w:pStyle w:val="14"/>
        <w:numPr>
          <w:ilvl w:val="0"/>
          <w:numId w:val="4"/>
        </w:numPr>
        <w:overflowPunct w:val="0"/>
        <w:autoSpaceDE/>
        <w:autoSpaceDN/>
        <w:spacing w:line="600" w:lineRule="exact"/>
        <w:ind w:left="0" w:leftChars="0" w:firstLine="640" w:firstLineChars="200"/>
        <w:jc w:val="both"/>
        <w:rPr>
          <w:rFonts w:hint="eastAsia" w:ascii="Times New Roman" w:hAnsi="Times New Roman" w:eastAsia="仿宋_GB2312" w:cs="黑体"/>
          <w:b w:val="0"/>
          <w:bCs w:val="0"/>
          <w:color w:val="auto"/>
          <w:kern w:val="0"/>
          <w:sz w:val="32"/>
          <w:szCs w:val="32"/>
          <w:lang w:val="en-US" w:eastAsia="zh-CN" w:bidi="ar-SA"/>
        </w:rPr>
      </w:pPr>
      <w:r>
        <w:rPr>
          <w:rFonts w:hint="eastAsia" w:ascii="Times New Roman" w:hAnsi="Times New Roman" w:eastAsia="仿宋_GB2312" w:cs="黑体"/>
          <w:b w:val="0"/>
          <w:bCs w:val="0"/>
          <w:color w:val="auto"/>
          <w:kern w:val="0"/>
          <w:sz w:val="32"/>
          <w:szCs w:val="32"/>
          <w:lang w:val="en-US" w:eastAsia="zh-CN" w:bidi="ar-SA"/>
        </w:rPr>
        <w:t>灾害防治及应急管理支出（类）应急管理事务（款）应急救援（项）</w:t>
      </w:r>
    </w:p>
    <w:p w14:paraId="29341E7D">
      <w:pPr>
        <w:pStyle w:val="14"/>
        <w:overflowPunct w:val="0"/>
        <w:autoSpaceDE/>
        <w:autoSpaceDN/>
        <w:spacing w:line="600" w:lineRule="exact"/>
        <w:ind w:firstLine="640" w:firstLineChars="200"/>
        <w:jc w:val="both"/>
        <w:rPr>
          <w:rFonts w:hint="eastAsia" w:ascii="Times New Roman" w:hAnsi="Times New Roman" w:eastAsia="仿宋_GB2312"/>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481.62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533.62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110.8</w:t>
      </w:r>
      <w:r>
        <w:rPr>
          <w:rFonts w:ascii="Times New Roman" w:hAnsi="Times New Roman" w:eastAsia="仿宋_GB2312" w:cs="Times New Roman"/>
          <w:sz w:val="32"/>
          <w:szCs w:val="32"/>
        </w:rPr>
        <w:t>%，决算数大于年初预算数的主要原因是：</w:t>
      </w:r>
      <w:r>
        <w:rPr>
          <w:rFonts w:hint="eastAsia" w:ascii="仿宋_GB2312" w:hAnsi="仿宋" w:eastAsia="仿宋_GB2312" w:cs="Times New Roman"/>
          <w:sz w:val="32"/>
          <w:szCs w:val="32"/>
          <w:lang w:val="en-US" w:eastAsia="zh-CN"/>
        </w:rPr>
        <w:t>2025年新增车库大棚工程项目</w:t>
      </w:r>
    </w:p>
    <w:p w14:paraId="779F4CE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5A119B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610.66</w:t>
      </w:r>
      <w:r>
        <w:rPr>
          <w:rFonts w:ascii="Times New Roman" w:hAnsi="Times New Roman" w:eastAsia="仿宋_GB2312" w:cs="Times New Roman"/>
          <w:sz w:val="32"/>
          <w:szCs w:val="32"/>
        </w:rPr>
        <w:t>万元，其中：</w:t>
      </w:r>
    </w:p>
    <w:p w14:paraId="3FB02235">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b/>
          <w:bCs/>
          <w:sz w:val="32"/>
          <w:szCs w:val="32"/>
        </w:rPr>
        <w:t>人员经费</w:t>
      </w:r>
      <w:r>
        <w:rPr>
          <w:rFonts w:hint="eastAsia" w:ascii="仿宋_GB2312" w:hAnsi="仿宋" w:eastAsia="仿宋_GB2312"/>
          <w:sz w:val="32"/>
          <w:szCs w:val="32"/>
          <w:lang w:val="en-US" w:eastAsia="zh-CN"/>
        </w:rPr>
        <w:t>374.16</w:t>
      </w:r>
      <w:r>
        <w:rPr>
          <w:rFonts w:ascii="Times New Roman" w:hAnsi="Times New Roman" w:eastAsia="仿宋_GB2312" w:cs="Times New Roman"/>
          <w:sz w:val="32"/>
          <w:szCs w:val="32"/>
        </w:rPr>
        <w:t>万元，占基本支出的</w:t>
      </w:r>
      <w:r>
        <w:rPr>
          <w:rFonts w:hint="eastAsia" w:ascii="仿宋_GB2312" w:hAnsi="仿宋" w:eastAsia="仿宋_GB2312" w:cs="Times New Roman"/>
          <w:sz w:val="32"/>
          <w:szCs w:val="32"/>
          <w:lang w:val="en-US" w:eastAsia="zh-CN"/>
        </w:rPr>
        <w:t>61.27</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、机关事业单位基本养老保险缴费、医疗保险缴费、其他社会保障缴费、住房公积金、其他工资福利支出</w:t>
      </w:r>
      <w:r>
        <w:rPr>
          <w:rFonts w:ascii="Times New Roman" w:hAnsi="Times New Roman" w:eastAsia="仿宋_GB2312" w:cs="Times New Roman"/>
          <w:sz w:val="32"/>
          <w:szCs w:val="32"/>
        </w:rPr>
        <w:t>。</w:t>
      </w:r>
    </w:p>
    <w:p w14:paraId="518CF22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仿宋_GB2312" w:hAnsi="仿宋" w:eastAsia="仿宋_GB2312" w:cs="Times New Roman"/>
          <w:sz w:val="32"/>
          <w:szCs w:val="32"/>
        </w:rPr>
        <w:t>195.72</w:t>
      </w:r>
      <w:r>
        <w:rPr>
          <w:rFonts w:ascii="Times New Roman" w:hAnsi="Times New Roman" w:eastAsia="仿宋_GB2312" w:cs="Times New Roman"/>
          <w:sz w:val="32"/>
          <w:szCs w:val="32"/>
        </w:rPr>
        <w:t>万元，占基本支出的</w:t>
      </w:r>
      <w:r>
        <w:rPr>
          <w:rFonts w:hint="eastAsia" w:ascii="仿宋_GB2312" w:hAnsi="仿宋" w:eastAsia="仿宋_GB2312" w:cs="Times New Roman"/>
          <w:sz w:val="32"/>
          <w:szCs w:val="32"/>
          <w:lang w:val="en-US" w:eastAsia="zh-CN"/>
        </w:rPr>
        <w:t>32.05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 xml:space="preserve"> 差旅费</w:t>
      </w:r>
      <w:r>
        <w:rPr>
          <w:rFonts w:hint="eastAsia" w:ascii="Times New Roman" w:hAnsi="Times New Roman" w:eastAsia="仿宋_GB2312" w:cs="Times New Roman"/>
          <w:sz w:val="32"/>
          <w:szCs w:val="32"/>
          <w:lang w:eastAsia="zh-CN"/>
        </w:rPr>
        <w:t>、公务接待费、劳务费、工会经费、福利费、公务用车运行维护费、其他商品和服务支出。</w:t>
      </w:r>
    </w:p>
    <w:p w14:paraId="14F83083">
      <w:pPr>
        <w:pStyle w:val="14"/>
        <w:numPr>
          <w:ilvl w:val="0"/>
          <w:numId w:val="0"/>
        </w:numPr>
        <w:overflowPunct w:val="0"/>
        <w:autoSpaceDE/>
        <w:autoSpaceDN/>
        <w:spacing w:line="600" w:lineRule="exact"/>
        <w:ind w:leftChars="200" w:firstLine="320" w:firstLineChars="1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七、</w:t>
      </w:r>
      <w:r>
        <w:rPr>
          <w:rFonts w:ascii="Times New Roman" w:hAnsi="Times New Roman" w:cs="Times New Roman"/>
          <w:bCs/>
          <w:sz w:val="32"/>
          <w:szCs w:val="32"/>
        </w:rPr>
        <w:t>财政拨款“三公”经费支出决算情况说明</w:t>
      </w:r>
    </w:p>
    <w:p w14:paraId="378B110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34293AB">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23.94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98.52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%。小于预算数的主要原因是</w:t>
      </w:r>
      <w:r>
        <w:rPr>
          <w:rFonts w:hint="eastAsia" w:ascii="Times New Roman" w:hAnsi="Times New Roman" w:eastAsia="仿宋_GB2312"/>
          <w:sz w:val="32"/>
          <w:szCs w:val="32"/>
          <w:lang w:eastAsia="zh-CN"/>
        </w:rPr>
        <w:t>缩减开支，厉行节约</w:t>
      </w:r>
      <w:r>
        <w:rPr>
          <w:rFonts w:hint="eastAsia" w:ascii="Times New Roman" w:hAnsi="Times New Roman" w:eastAsia="仿宋_GB2312"/>
          <w:sz w:val="32"/>
          <w:szCs w:val="32"/>
        </w:rPr>
        <w:t>。</w:t>
      </w:r>
    </w:p>
    <w:p w14:paraId="4519122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0A8381B">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color w:val="auto"/>
          <w:sz w:val="32"/>
          <w:szCs w:val="32"/>
          <w:lang w:val="en-US" w:eastAsia="zh-CN"/>
        </w:rPr>
        <w:t>202</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年度我单位未开展因公出国（境）活动。</w:t>
      </w:r>
    </w:p>
    <w:p w14:paraId="00E8EF8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23.94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99.75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%。其中：</w:t>
      </w:r>
    </w:p>
    <w:p w14:paraId="71EBB165">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本单位无更新公务用车。</w:t>
      </w:r>
    </w:p>
    <w:p w14:paraId="09101C1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23.94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车辆保险、车俩运维</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99.75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%。小于预算数的主要原因是</w:t>
      </w:r>
      <w:r>
        <w:rPr>
          <w:rFonts w:hint="eastAsia" w:ascii="Times New Roman" w:hAnsi="Times New Roman" w:eastAsia="仿宋_GB2312"/>
          <w:sz w:val="32"/>
          <w:szCs w:val="32"/>
          <w:lang w:eastAsia="zh-CN"/>
        </w:rPr>
        <w:t>缩减开支，厉行节约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辆。</w:t>
      </w:r>
    </w:p>
    <w:p w14:paraId="0E66E2D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76.67</w:t>
      </w:r>
      <w:r>
        <w:rPr>
          <w:rFonts w:ascii="Times New Roman" w:hAnsi="Times New Roman" w:eastAsia="仿宋_GB2312" w:cs="Times New Roman"/>
          <w:sz w:val="32"/>
          <w:szCs w:val="32"/>
        </w:rPr>
        <w:t>%。决算小于预算数的主要原因是</w:t>
      </w:r>
      <w:r>
        <w:rPr>
          <w:rFonts w:hint="eastAsia" w:ascii="Times New Roman" w:hAnsi="Times New Roman" w:eastAsia="仿宋_GB2312"/>
          <w:sz w:val="32"/>
          <w:szCs w:val="32"/>
          <w:lang w:eastAsia="zh-CN"/>
        </w:rPr>
        <w:t>缩减开支，厉行节约</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240AB20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49CB101">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年度本单位无政府性基金收支。</w:t>
      </w:r>
    </w:p>
    <w:p w14:paraId="253ABC0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EDDE4B9">
      <w:pPr>
        <w:pStyle w:val="14"/>
        <w:overflowPunct w:val="0"/>
        <w:autoSpaceDE/>
        <w:autoSpaceDN/>
        <w:spacing w:line="600" w:lineRule="exact"/>
        <w:ind w:firstLine="960" w:firstLineChars="3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本单位属于公益一类事业单位，不属于行政单位和参照公务员法管理事业单位，无机关运行经费。</w:t>
      </w:r>
    </w:p>
    <w:p w14:paraId="7728C0B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F4E8C6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3.76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3次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p>
    <w:p w14:paraId="2DBCD553">
      <w:pPr>
        <w:pStyle w:val="14"/>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十一、关于政府采购支出说明</w:t>
      </w:r>
    </w:p>
    <w:p w14:paraId="5DDB26D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A63767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E807FD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73B2F3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rPr>
        <w:t>5</w:t>
      </w:r>
      <w:r>
        <w:rPr>
          <w:rFonts w:ascii="Times New Roman" w:hAnsi="Times New Roman" w:cs="Times New Roman"/>
          <w:bCs/>
          <w:color w:val="auto"/>
          <w:sz w:val="32"/>
          <w:szCs w:val="32"/>
        </w:rPr>
        <w:t>年度预算绩效情况的说明</w:t>
      </w:r>
    </w:p>
    <w:p w14:paraId="713C9EFC">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6B9DBB15">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根据市委、市政府的有关要求，在市应急管理局局党委的领导下，在全队干部职工的共同努力下，</w:t>
      </w:r>
      <w:r>
        <w:rPr>
          <w:rFonts w:hint="eastAsia" w:ascii="Times New Roman" w:hAnsi="Times New Roman" w:eastAsia="仿宋_GB2312" w:cs="Times New Roman"/>
          <w:kern w:val="0"/>
          <w:sz w:val="32"/>
          <w:szCs w:val="32"/>
          <w:lang w:val="en-US" w:eastAsia="zh-CN"/>
        </w:rPr>
        <w:t>2025</w:t>
      </w:r>
      <w:r>
        <w:rPr>
          <w:rFonts w:hint="eastAsia" w:ascii="Times New Roman" w:hAnsi="Times New Roman" w:eastAsia="仿宋_GB2312" w:cs="Times New Roman"/>
          <w:kern w:val="0"/>
          <w:sz w:val="32"/>
          <w:szCs w:val="32"/>
        </w:rPr>
        <w:t>年度，我队圆满地完成了市委、市政府以及上级主管部门交办的工作任务,通过项目的实施，增强了全队的战斗力和凝聚力，干部职工的自救和互救意识提高，保障了应急救援等业务的开展，提升了全市应急救援水平，最大限度地减少人员伤亡，取得了较好的经济效益和社会效益。通过专项支出绩效评价表打分，我队自评等级为“优秀”。</w:t>
      </w:r>
    </w:p>
    <w:p w14:paraId="3AC6131A">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（二）绩效评价结果。一是绩效自评结果。</w:t>
      </w:r>
    </w:p>
    <w:p w14:paraId="08392191">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（一）本单位财务管理、绩效管理、决算组织、编报、审核情况。正常开展。</w:t>
      </w:r>
    </w:p>
    <w:p w14:paraId="6729872F">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（二）本单位决算及绩效信息公开工作开展情况。</w:t>
      </w:r>
    </w:p>
    <w:p w14:paraId="51042B69">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2025</w:t>
      </w:r>
      <w:r>
        <w:rPr>
          <w:rFonts w:hint="eastAsia" w:ascii="Times New Roman" w:hAnsi="Times New Roman" w:eastAsia="仿宋_GB2312" w:cs="Times New Roman"/>
          <w:kern w:val="0"/>
          <w:sz w:val="32"/>
          <w:szCs w:val="32"/>
        </w:rPr>
        <w:t>年决算、202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年预算绩效申报已挂网公开。</w:t>
      </w:r>
    </w:p>
    <w:p w14:paraId="1B8C9A30">
      <w:pPr>
        <w:overflowPunct w:val="0"/>
        <w:spacing w:line="600" w:lineRule="exact"/>
        <w:ind w:firstLine="640" w:firstLineChars="200"/>
        <w:rPr>
          <w:rFonts w:ascii="Times New Roman" w:hAnsi="Times New Roman" w:eastAsia="仿宋_GB2312" w:cs="Times New Roman"/>
          <w:b w:val="0"/>
          <w:bCs w:val="0"/>
          <w:kern w:val="0"/>
          <w:sz w:val="32"/>
          <w:szCs w:val="32"/>
          <w:lang w:val="zh-CN"/>
        </w:rPr>
      </w:pPr>
      <w:r>
        <w:rPr>
          <w:rFonts w:ascii="Times New Roman" w:hAnsi="Times New Roman" w:eastAsia="仿宋_GB2312" w:cs="Times New Roman"/>
          <w:b/>
          <w:bCs/>
          <w:kern w:val="0"/>
          <w:sz w:val="32"/>
          <w:szCs w:val="32"/>
        </w:rPr>
        <w:t>（三）评价结果应用情况。</w:t>
      </w:r>
      <w:r>
        <w:rPr>
          <w:rFonts w:hint="eastAsia" w:ascii="Times New Roman" w:hAnsi="Times New Roman" w:eastAsia="仿宋_GB2312" w:cs="Times New Roman"/>
          <w:b w:val="0"/>
          <w:bCs w:val="0"/>
          <w:kern w:val="0"/>
          <w:sz w:val="32"/>
          <w:szCs w:val="32"/>
          <w:lang w:val="zh-CN"/>
        </w:rPr>
        <w:t>1.要加强预算管理，严格执行《预算法》。</w:t>
      </w:r>
    </w:p>
    <w:p w14:paraId="3CE055F5">
      <w:pPr>
        <w:overflowPunct w:val="0"/>
        <w:spacing w:line="600" w:lineRule="exact"/>
        <w:ind w:firstLine="640" w:firstLineChars="200"/>
        <w:rPr>
          <w:rFonts w:ascii="Times New Roman" w:hAnsi="Times New Roman" w:eastAsia="仿宋_GB2312" w:cs="Times New Roman"/>
          <w:kern w:val="0"/>
          <w:sz w:val="32"/>
          <w:szCs w:val="32"/>
          <w:lang w:val="zh-CN"/>
        </w:rPr>
      </w:pPr>
      <w:r>
        <w:rPr>
          <w:rFonts w:hint="eastAsia" w:ascii="Times New Roman" w:hAnsi="Times New Roman" w:eastAsia="仿宋_GB2312" w:cs="Times New Roman"/>
          <w:kern w:val="0"/>
          <w:sz w:val="32"/>
          <w:szCs w:val="32"/>
          <w:lang w:val="zh-CN"/>
        </w:rPr>
        <w:t>在预算金额内严格控制费用的支出，控制超支现象的发生。在费用报账支付时，要严格审核，控制费用跨年度报账，确保费用核算的及时性和完整性；按照费用的实际使用用途进行资金支付和财务列报，严格按照行政事业单位会计制度进行财务核算。</w:t>
      </w:r>
    </w:p>
    <w:p w14:paraId="6279BEAE">
      <w:pPr>
        <w:overflowPunct w:val="0"/>
        <w:spacing w:line="600" w:lineRule="exact"/>
        <w:ind w:firstLine="640" w:firstLineChars="200"/>
        <w:rPr>
          <w:rFonts w:ascii="Times New Roman" w:hAnsi="Times New Roman" w:eastAsia="仿宋_GB2312" w:cs="Times New Roman"/>
          <w:kern w:val="0"/>
          <w:sz w:val="32"/>
          <w:szCs w:val="32"/>
          <w:lang w:val="zh-CN"/>
        </w:rPr>
      </w:pPr>
      <w:r>
        <w:rPr>
          <w:rFonts w:hint="eastAsia" w:ascii="Times New Roman" w:hAnsi="Times New Roman" w:eastAsia="仿宋_GB2312" w:cs="Times New Roman"/>
          <w:kern w:val="0"/>
          <w:sz w:val="32"/>
          <w:szCs w:val="32"/>
          <w:lang w:val="zh-CN"/>
        </w:rPr>
        <w:t>2.规范财务处理,提高财务信息质量</w:t>
      </w:r>
    </w:p>
    <w:p w14:paraId="2A9D22F0">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zh-CN"/>
        </w:rPr>
        <w:t>严格按照《会计法》、《行政单位会计制度》、《行政单位财务规则》等规定执行财务核算，并结合实际情况、完整、准确地披露相关信息，做到决算与预算衔接。</w:t>
      </w:r>
    </w:p>
    <w:p w14:paraId="49E0B5AA">
      <w:pPr>
        <w:overflowPunct w:val="0"/>
        <w:spacing w:line="600" w:lineRule="exact"/>
        <w:ind w:firstLine="640" w:firstLineChars="200"/>
        <w:rPr>
          <w:rFonts w:ascii="Times New Roman" w:hAnsi="Times New Roman" w:eastAsia="仿宋_GB2312" w:cs="Times New Roman"/>
          <w:b/>
          <w:bCs/>
          <w:kern w:val="0"/>
          <w:sz w:val="32"/>
          <w:szCs w:val="32"/>
        </w:rPr>
      </w:pPr>
    </w:p>
    <w:p w14:paraId="66C57ABA">
      <w:pPr>
        <w:pStyle w:val="14"/>
        <w:jc w:val="center"/>
        <w:rPr>
          <w:rFonts w:ascii="Times New Roman" w:hAnsi="Times New Roman" w:eastAsia="方正小标宋_GBK" w:cs="Times New Roman"/>
          <w:sz w:val="52"/>
          <w:szCs w:val="52"/>
        </w:rPr>
      </w:pPr>
      <w:r>
        <w:rPr>
          <w:rFonts w:ascii="Times New Roman" w:hAnsi="Times New Roman" w:cs="Times New Roman"/>
          <w:sz w:val="72"/>
          <w:szCs w:val="72"/>
        </w:rPr>
        <w:br w:type="column"/>
      </w:r>
      <w:r>
        <w:rPr>
          <w:rFonts w:ascii="Times New Roman" w:hAnsi="Times New Roman" w:eastAsia="方正小标宋_GBK" w:cs="Times New Roman"/>
          <w:sz w:val="52"/>
          <w:szCs w:val="52"/>
        </w:rPr>
        <w:t>第四部分    名词解释</w:t>
      </w:r>
      <w:bookmarkStart w:id="0" w:name="_GoBack"/>
      <w:bookmarkEnd w:id="0"/>
    </w:p>
    <w:p w14:paraId="63B76F65">
      <w:pPr>
        <w:widowControl/>
        <w:jc w:val="left"/>
        <w:rPr>
          <w:rFonts w:ascii="Times New Roman" w:hAnsi="Times New Roman" w:cs="Times New Roman"/>
          <w:color w:val="000000"/>
          <w:kern w:val="0"/>
          <w:sz w:val="32"/>
          <w:szCs w:val="32"/>
        </w:rPr>
      </w:pPr>
    </w:p>
    <w:p w14:paraId="6830D1E4">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1.一般公共预算：对以税收为主体的财政收入，安排用于保障和改善民生、推动经济社会发展、维护国家安全、维持国家机构正常运转等方面的收支预算。</w:t>
      </w:r>
    </w:p>
    <w:p w14:paraId="7C7F9D6F">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2.政府性基金预算：对依照法律、行政法规的规定在一定期限内向特定对象征收、收取或者以其他方式筹集的资金，专项用于特定公共事业发展的收支预算。</w:t>
      </w:r>
    </w:p>
    <w:p w14:paraId="7CF0ECD6">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非税收入：指各级国家机关、事业单位、社会团体以及其他组织，依据有关法律、行政法规，履行管理职能、行使国有资产或者国有资源所有权、提供特定服务或者以政府名义征收、收取、提取、罚没、追缴、募集的税收以外的财政性资金。</w:t>
      </w:r>
    </w:p>
    <w:p w14:paraId="70C34DA7">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4.基本支出：指为保障单位机构正常运转、完成日常工作任务而发生的各项支出。</w:t>
      </w:r>
    </w:p>
    <w:p w14:paraId="62CF794E">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5.项目支出：指单位为完成特定行政工作任务或事业发展目标而发生的支出。</w:t>
      </w:r>
    </w:p>
    <w:p w14:paraId="280C0F4B">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6</w:t>
      </w:r>
      <w:r>
        <w:rPr>
          <w:rFonts w:hint="eastAsia" w:ascii="Times New Roman" w:hAnsi="Times New Roman" w:eastAsia="仿宋_GB2312" w:cs="Times New Roman"/>
          <w:color w:val="auto"/>
          <w:kern w:val="0"/>
          <w:sz w:val="32"/>
          <w:szCs w:val="32"/>
          <w:lang w:val="en" w:eastAsia="zh-CN" w:bidi="ar-SA"/>
        </w:rPr>
        <w:t>.</w:t>
      </w:r>
      <w:r>
        <w:rPr>
          <w:rFonts w:hint="eastAsia" w:ascii="Times New Roman" w:hAnsi="Times New Roman" w:eastAsia="仿宋_GB2312" w:cs="Times New Roman"/>
          <w:color w:val="auto"/>
          <w:kern w:val="0"/>
          <w:sz w:val="32"/>
          <w:szCs w:val="32"/>
          <w:lang w:val="en-US" w:eastAsia="zh-CN" w:bidi="ar-SA"/>
        </w:rPr>
        <w:t>机关运行经费：指各部门的公用经费，包括办公及印刷费、邮电费、差旅费、会议费、福利费、日常维修费、专用资料及一般设备购置费、办公用房水电费、办公用房取暖费、办公用房物业管理费、公务用车运行维护费以及其他费用。</w:t>
      </w:r>
    </w:p>
    <w:p w14:paraId="4F34F289">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7</w:t>
      </w:r>
      <w:r>
        <w:rPr>
          <w:rFonts w:hint="eastAsia" w:ascii="Times New Roman" w:hAnsi="Times New Roman" w:eastAsia="仿宋_GB2312" w:cs="Times New Roman"/>
          <w:color w:val="auto"/>
          <w:kern w:val="0"/>
          <w:sz w:val="32"/>
          <w:szCs w:val="32"/>
          <w:lang w:val="en" w:eastAsia="zh-CN" w:bidi="ar-SA"/>
        </w:rPr>
        <w:t>.</w:t>
      </w:r>
      <w:r>
        <w:rPr>
          <w:rFonts w:hint="eastAsia" w:ascii="Times New Roman" w:hAnsi="Times New Roman" w:eastAsia="仿宋_GB2312" w:cs="Times New Roman"/>
          <w:color w:val="auto"/>
          <w:kern w:val="0"/>
          <w:sz w:val="32"/>
          <w:szCs w:val="32"/>
          <w:lang w:val="en-US" w:eastAsia="zh-CN" w:bidi="ar-SA"/>
        </w:rPr>
        <w:t>“三公”经费：纳入市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7CF2E9D">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8.其他名词解释：1.若本单位有涉及专业性较强的名词，需对专业性较强的名词进行解释。2.对收入科目及部分支出科目的名词解释。（可参考《2021年政府收支分类科目》中的相关收支科目的说明）</w:t>
      </w:r>
    </w:p>
    <w:p w14:paraId="4572BF2F">
      <w:pPr>
        <w:pStyle w:val="14"/>
        <w:jc w:val="center"/>
        <w:rPr>
          <w:rFonts w:ascii="Times New Roman" w:hAnsi="Times New Roman" w:cs="Times New Roman"/>
          <w:sz w:val="72"/>
          <w:szCs w:val="72"/>
        </w:rPr>
      </w:pPr>
    </w:p>
    <w:p w14:paraId="5D1B03D7">
      <w:pPr>
        <w:pStyle w:val="14"/>
        <w:jc w:val="center"/>
        <w:rPr>
          <w:rFonts w:hint="eastAsia" w:ascii="Times New Roman" w:hAnsi="Times New Roman" w:eastAsia="黑体" w:cs="Times New Roman"/>
          <w:sz w:val="72"/>
          <w:szCs w:val="72"/>
          <w:lang w:eastAsia="zh-CN"/>
        </w:rPr>
      </w:pPr>
    </w:p>
    <w:p w14:paraId="13548F0D">
      <w:pPr>
        <w:pStyle w:val="14"/>
        <w:jc w:val="center"/>
        <w:rPr>
          <w:rFonts w:ascii="Times New Roman" w:hAnsi="Times New Roman" w:cs="Times New Roman"/>
          <w:sz w:val="72"/>
          <w:szCs w:val="72"/>
        </w:rPr>
      </w:pPr>
    </w:p>
    <w:p w14:paraId="3B707CE7">
      <w:pPr>
        <w:pStyle w:val="14"/>
        <w:jc w:val="center"/>
        <w:rPr>
          <w:rFonts w:ascii="Times New Roman" w:hAnsi="Times New Roman" w:cs="Times New Roman"/>
          <w:sz w:val="72"/>
          <w:szCs w:val="72"/>
        </w:rPr>
      </w:pPr>
    </w:p>
    <w:p w14:paraId="7084428A">
      <w:pPr>
        <w:pStyle w:val="14"/>
        <w:jc w:val="center"/>
        <w:rPr>
          <w:rFonts w:ascii="Times New Roman" w:hAnsi="Times New Roman" w:cs="Times New Roman"/>
          <w:sz w:val="72"/>
          <w:szCs w:val="72"/>
        </w:rPr>
      </w:pPr>
    </w:p>
    <w:p w14:paraId="4C0079E4">
      <w:pPr>
        <w:pStyle w:val="14"/>
        <w:jc w:val="center"/>
        <w:rPr>
          <w:rFonts w:ascii="Times New Roman" w:hAnsi="Times New Roman" w:cs="Times New Roman"/>
          <w:sz w:val="72"/>
          <w:szCs w:val="72"/>
        </w:rPr>
      </w:pPr>
    </w:p>
    <w:p w14:paraId="72C29D40">
      <w:pPr>
        <w:pStyle w:val="14"/>
        <w:jc w:val="center"/>
        <w:rPr>
          <w:rFonts w:ascii="Times New Roman" w:hAnsi="Times New Roman" w:cs="Times New Roman"/>
          <w:sz w:val="72"/>
          <w:szCs w:val="72"/>
        </w:rPr>
      </w:pPr>
    </w:p>
    <w:p w14:paraId="2B1A5604">
      <w:pPr>
        <w:pStyle w:val="14"/>
        <w:jc w:val="center"/>
        <w:rPr>
          <w:rFonts w:ascii="Times New Roman" w:hAnsi="Times New Roman" w:cs="Times New Roman"/>
          <w:sz w:val="72"/>
          <w:szCs w:val="72"/>
        </w:rPr>
      </w:pPr>
    </w:p>
    <w:p w14:paraId="58667E88">
      <w:pPr>
        <w:pStyle w:val="14"/>
        <w:jc w:val="both"/>
        <w:rPr>
          <w:rFonts w:ascii="Times New Roman" w:hAnsi="Times New Roman" w:cs="Times New Roman"/>
          <w:sz w:val="72"/>
          <w:szCs w:val="72"/>
        </w:rPr>
      </w:pPr>
    </w:p>
    <w:p w14:paraId="47E66B0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2127BA4">
      <w:pPr>
        <w:rPr>
          <w:rFonts w:ascii="Times New Roman" w:hAnsi="Times New Roman" w:cs="Times New Roman"/>
          <w:sz w:val="72"/>
          <w:szCs w:val="72"/>
        </w:rPr>
      </w:pPr>
    </w:p>
    <w:p w14:paraId="6BF79CD1">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年度部门(单位)整体支出绩效自评报告。</w:t>
      </w:r>
    </w:p>
    <w:p w14:paraId="0CBD6FA2">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为进一步规范预算管理，牢固树立绩效理念，切实提高资金使用效益，强化部门支出责任，根据文件要求，我队对2025年整体支出绩效评价，现将有关情况报告如下：</w:t>
      </w:r>
    </w:p>
    <w:p w14:paraId="77680E62">
      <w:pPr>
        <w:pStyle w:val="15"/>
        <w:spacing w:line="580" w:lineRule="exact"/>
        <w:ind w:firstLine="640"/>
      </w:pPr>
      <w:r>
        <w:rPr>
          <w:rFonts w:eastAsia="黑体"/>
          <w:bCs/>
          <w:kern w:val="0"/>
          <w:sz w:val="32"/>
          <w:szCs w:val="32"/>
        </w:rPr>
        <w:t>一</w:t>
      </w:r>
      <w:r>
        <w:rPr>
          <w:rFonts w:hint="eastAsia" w:ascii="Times New Roman" w:hAnsi="Times New Roman" w:eastAsia="黑体" w:cs="Times New Roman"/>
          <w:bCs/>
          <w:kern w:val="0"/>
          <w:sz w:val="32"/>
          <w:szCs w:val="32"/>
          <w:lang w:val="en-US" w:eastAsia="zh-CN" w:bidi="ar-SA"/>
        </w:rPr>
        <w:t>、</w:t>
      </w:r>
      <w:r>
        <w:rPr>
          <w:rFonts w:eastAsia="黑体"/>
          <w:sz w:val="32"/>
          <w:szCs w:val="32"/>
        </w:rPr>
        <w:t>部门（单位）基本情况</w:t>
      </w:r>
    </w:p>
    <w:p w14:paraId="657AAA47">
      <w:pPr>
        <w:widowControl/>
        <w:spacing w:line="600" w:lineRule="exact"/>
        <w:ind w:firstLine="627" w:firstLineChars="196"/>
        <w:jc w:val="left"/>
        <w:rPr>
          <w:rFonts w:eastAsia="黑体"/>
          <w:bCs/>
          <w:kern w:val="0"/>
          <w:sz w:val="32"/>
          <w:szCs w:val="32"/>
        </w:rPr>
      </w:pPr>
      <w:r>
        <w:rPr>
          <w:rFonts w:eastAsia="黑体"/>
          <w:bCs/>
          <w:kern w:val="0"/>
          <w:sz w:val="32"/>
          <w:szCs w:val="32"/>
        </w:rPr>
        <w:t>一、部门基本概况</w:t>
      </w:r>
    </w:p>
    <w:p w14:paraId="42F1D13B">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1．主要职能。</w:t>
      </w:r>
    </w:p>
    <w:p w14:paraId="5B0F89F6">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永州市应急救援队2020年4月按照市政府文件精神，转型为地方综合性应急救援队，从事安全生产事故和自然灾害事故的应急救援工作，现驻永州市冷水滩区泉陵路198号，实行军事化管理，集中住宿，24小时战备值班（值班电话：0746—8222008），隶属永州市应急管理局，是市财政全额拨款的公益一类事业单位， 2022年质量达标验收考核为三级应急救援独立中队（新标准），我队主要工作职责:</w:t>
      </w:r>
    </w:p>
    <w:p w14:paraId="6A36A6D1">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1参与较大及以上的地震、洪涝灾害、地质灾害（崩塌、滑坡、泥石流、森林火灾)等自然灾害的抢险救援任务及其它安全技术工作。</w:t>
      </w:r>
    </w:p>
    <w:p w14:paraId="240021A4">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2参与较大及以上的道路交通事故、建设工程事故、建（构）筑物事故、水上事故、矿山事故、危险化学品事故等生产安全事故的抢险救援任务及其它安全技术工作。</w:t>
      </w:r>
    </w:p>
    <w:p w14:paraId="4F5D6107">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3承担市应急救援指挥机构和主管部门交办的其他应急救援工作。</w:t>
      </w:r>
    </w:p>
    <w:p w14:paraId="28237CD4">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机构设置</w:t>
      </w:r>
    </w:p>
    <w:p w14:paraId="01F8F04E">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我队为正科级全额拨款事业单位，人员编制28人，实有在职编内人员22人，临聘人员27人，退休4人。车辆编制为8台，实有车辆8台(其中6台为应急业务救援车2台指挥车)。</w:t>
      </w:r>
    </w:p>
    <w:p w14:paraId="1F7FBC3B">
      <w:pPr>
        <w:pStyle w:val="15"/>
        <w:spacing w:line="570" w:lineRule="exact"/>
        <w:ind w:firstLine="640"/>
        <w:outlineLvl w:val="0"/>
        <w:rPr>
          <w:rFonts w:ascii="Times New Roman" w:hAnsi="Times New Roman" w:eastAsia="黑体"/>
          <w:sz w:val="32"/>
          <w:szCs w:val="32"/>
        </w:rPr>
      </w:pPr>
      <w:r>
        <w:rPr>
          <w:rFonts w:ascii="Times New Roman" w:hAnsi="Times New Roman" w:eastAsia="黑体"/>
          <w:sz w:val="32"/>
          <w:szCs w:val="32"/>
        </w:rPr>
        <w:t>二、一般公共预算支出情况</w:t>
      </w:r>
    </w:p>
    <w:p w14:paraId="1560B907">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（一）基本支出情况</w:t>
      </w:r>
    </w:p>
    <w:p w14:paraId="057F4F94">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2025年度整体支出610.66万元，其中：基本支出完成</w:t>
      </w:r>
      <w:r>
        <w:rPr>
          <w:rFonts w:hint="eastAsia" w:ascii="Times New Roman" w:hAnsi="Times New Roman" w:eastAsia="仿宋_GB2312" w:cs="Times New Roman"/>
          <w:sz w:val="32"/>
          <w:szCs w:val="32"/>
          <w:lang w:val="en-US" w:eastAsia="zh-CN"/>
        </w:rPr>
        <w:t>569.88</w:t>
      </w:r>
      <w:r>
        <w:rPr>
          <w:rFonts w:hint="eastAsia" w:ascii="Times New Roman" w:hAnsi="Times New Roman" w:eastAsia="仿宋_GB2312" w:cs="Times New Roman"/>
          <w:color w:val="auto"/>
          <w:kern w:val="0"/>
          <w:sz w:val="32"/>
          <w:szCs w:val="32"/>
          <w:lang w:val="en-US" w:eastAsia="zh-CN" w:bidi="ar-SA"/>
        </w:rPr>
        <w:t>万元。</w:t>
      </w:r>
    </w:p>
    <w:p w14:paraId="113670FB">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基本支出</w:t>
      </w:r>
      <w:r>
        <w:rPr>
          <w:rFonts w:hint="eastAsia" w:ascii="Times New Roman" w:hAnsi="Times New Roman" w:eastAsia="仿宋_GB2312" w:cs="Times New Roman"/>
          <w:sz w:val="32"/>
          <w:szCs w:val="32"/>
          <w:lang w:val="en-US" w:eastAsia="zh-CN"/>
        </w:rPr>
        <w:t>569.88</w:t>
      </w:r>
      <w:r>
        <w:rPr>
          <w:rFonts w:hint="eastAsia" w:ascii="Times New Roman" w:hAnsi="Times New Roman" w:eastAsia="仿宋_GB2312" w:cs="Times New Roman"/>
          <w:color w:val="auto"/>
          <w:kern w:val="0"/>
          <w:sz w:val="32"/>
          <w:szCs w:val="32"/>
          <w:lang w:val="en-US" w:eastAsia="zh-CN" w:bidi="ar-SA"/>
        </w:rPr>
        <w:t>万元，占全年总支出的93.32%，主要用于维持部门正常运转的人员经费和日常公用经费等，其中：工资福利374.16万元，占本年支出65.66%，商品和服务支出195.72万元，占本年支出34.34%。2025年“三公经费”决算支出23.94万元，本年度无公务接待费，</w:t>
      </w:r>
      <w:r>
        <w:rPr>
          <w:rFonts w:hint="eastAsia" w:ascii="Times New Roman" w:hAnsi="Times New Roman" w:eastAsia="仿宋_GB2312" w:cs="Times New Roman"/>
          <w:color w:val="auto"/>
          <w:kern w:val="0"/>
          <w:sz w:val="32"/>
          <w:szCs w:val="32"/>
          <w:lang w:val="zh-CN" w:eastAsia="zh-CN" w:bidi="ar-SA"/>
        </w:rPr>
        <w:t>只有公务用车运行维护费</w:t>
      </w:r>
      <w:r>
        <w:rPr>
          <w:rFonts w:hint="eastAsia" w:ascii="Times New Roman" w:hAnsi="Times New Roman"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zh-CN" w:eastAsia="zh-CN" w:bidi="ar-SA"/>
        </w:rPr>
        <w:t>无因公出国（境）费</w:t>
      </w:r>
      <w:r>
        <w:rPr>
          <w:rFonts w:hint="eastAsia" w:ascii="Times New Roman" w:hAnsi="Times New Roman" w:eastAsia="仿宋_GB2312" w:cs="Times New Roman"/>
          <w:color w:val="auto"/>
          <w:kern w:val="0"/>
          <w:sz w:val="32"/>
          <w:szCs w:val="32"/>
          <w:lang w:val="en-US" w:eastAsia="zh-CN" w:bidi="ar-SA"/>
        </w:rPr>
        <w:t>。</w:t>
      </w:r>
    </w:p>
    <w:p w14:paraId="160D6AC1">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项目支出情况</w:t>
      </w:r>
    </w:p>
    <w:p w14:paraId="18A98796">
      <w:pPr>
        <w:spacing w:line="600" w:lineRule="exact"/>
        <w:ind w:firstLine="636" w:firstLineChars="199"/>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2025年度我队专项资金40.78万元,主要用于队员培训费、</w:t>
      </w:r>
      <w:r>
        <w:rPr>
          <w:rFonts w:hint="eastAsia" w:ascii="仿宋_GB2312" w:hAnsi="仿宋" w:eastAsia="仿宋_GB2312" w:cs="Times New Roman"/>
          <w:sz w:val="32"/>
          <w:szCs w:val="32"/>
          <w:lang w:val="en-US" w:eastAsia="zh-CN"/>
        </w:rPr>
        <w:t>车库大棚工程项目建设</w:t>
      </w:r>
      <w:r>
        <w:rPr>
          <w:rFonts w:hint="eastAsia" w:ascii="Times New Roman" w:hAnsi="Times New Roman" w:eastAsia="仿宋_GB2312" w:cs="Times New Roman"/>
          <w:color w:val="auto"/>
          <w:kern w:val="0"/>
          <w:sz w:val="32"/>
          <w:szCs w:val="32"/>
          <w:highlight w:val="none"/>
          <w:lang w:val="en-US" w:eastAsia="zh-CN" w:bidi="ar-SA"/>
        </w:rPr>
        <w:t>。</w:t>
      </w:r>
    </w:p>
    <w:p w14:paraId="73C214EB">
      <w:pPr>
        <w:spacing w:line="600" w:lineRule="exact"/>
        <w:ind w:firstLine="636" w:firstLineChars="199"/>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2.专项资金实际使用情况分析</w:t>
      </w:r>
    </w:p>
    <w:p w14:paraId="78C86E37">
      <w:pPr>
        <w:spacing w:line="600" w:lineRule="exact"/>
        <w:ind w:firstLine="636" w:firstLineChars="199"/>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主要用于应急救援装备运维与指战员培（复）训经费、</w:t>
      </w:r>
      <w:r>
        <w:rPr>
          <w:rFonts w:hint="eastAsia" w:ascii="仿宋_GB2312" w:hAnsi="仿宋" w:eastAsia="仿宋_GB2312" w:cs="Times New Roman"/>
          <w:sz w:val="32"/>
          <w:szCs w:val="32"/>
          <w:lang w:val="en-US" w:eastAsia="zh-CN"/>
        </w:rPr>
        <w:t>车库大棚工程项目</w:t>
      </w:r>
      <w:r>
        <w:rPr>
          <w:rFonts w:hint="eastAsia" w:ascii="Times New Roman" w:hAnsi="Times New Roman" w:eastAsia="仿宋_GB2312" w:cs="Times New Roman"/>
          <w:color w:val="auto"/>
          <w:kern w:val="0"/>
          <w:sz w:val="32"/>
          <w:szCs w:val="32"/>
          <w:highlight w:val="none"/>
          <w:lang w:val="en-US" w:eastAsia="zh-CN" w:bidi="ar-SA"/>
        </w:rPr>
        <w:t>资金使用和管理方面，我队严格按照财政制度的相关要求，按照规定范围、标准和程序进行使用，确保了专项资金使用管理的规范性、安全性和有效性。</w:t>
      </w:r>
    </w:p>
    <w:p w14:paraId="7B62802B">
      <w:pPr>
        <w:pStyle w:val="15"/>
        <w:numPr>
          <w:ilvl w:val="0"/>
          <w:numId w:val="5"/>
        </w:numPr>
        <w:spacing w:line="570" w:lineRule="exact"/>
        <w:ind w:left="-10" w:leftChars="0" w:firstLine="640" w:firstLineChars="0"/>
        <w:jc w:val="left"/>
        <w:outlineLvl w:val="0"/>
        <w:rPr>
          <w:rFonts w:hint="eastAsia" w:ascii="Times New Roman" w:hAnsi="Times New Roman" w:eastAsia="黑体"/>
          <w:sz w:val="32"/>
          <w:szCs w:val="32"/>
        </w:rPr>
      </w:pP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14:paraId="09F8E895">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本单位无政府性基金预算支出情况。</w:t>
      </w:r>
    </w:p>
    <w:p w14:paraId="36AD6D88">
      <w:pPr>
        <w:pStyle w:val="15"/>
        <w:numPr>
          <w:ilvl w:val="0"/>
          <w:numId w:val="5"/>
        </w:numPr>
        <w:spacing w:line="570" w:lineRule="exact"/>
        <w:ind w:left="-10" w:leftChars="0" w:firstLine="640" w:firstLineChars="0"/>
        <w:jc w:val="left"/>
        <w:outlineLvl w:val="0"/>
        <w:rPr>
          <w:rFonts w:hint="eastAsia" w:ascii="Times New Roman" w:hAnsi="Times New Roman" w:eastAsia="黑体"/>
          <w:sz w:val="32"/>
          <w:szCs w:val="32"/>
        </w:rPr>
      </w:pP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14:paraId="470EC7F4">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本单位无国有资本经营预算支出情况。</w:t>
      </w:r>
    </w:p>
    <w:p w14:paraId="371B6104">
      <w:pPr>
        <w:pStyle w:val="15"/>
        <w:numPr>
          <w:ilvl w:val="0"/>
          <w:numId w:val="5"/>
        </w:numPr>
        <w:spacing w:line="570" w:lineRule="exact"/>
        <w:ind w:left="-10" w:leftChars="0" w:firstLine="640" w:firstLineChars="0"/>
        <w:jc w:val="left"/>
        <w:outlineLvl w:val="0"/>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14:paraId="462B5551">
      <w:pPr>
        <w:spacing w:line="600" w:lineRule="exact"/>
        <w:ind w:firstLine="636" w:firstLineChars="199"/>
        <w:rPr>
          <w:rFonts w:hint="eastAsia" w:ascii="Times New Roman" w:hAnsi="Times New Roman" w:eastAsia="仿宋_GB2312"/>
          <w:sz w:val="32"/>
          <w:szCs w:val="32"/>
          <w:lang w:eastAsia="zh-CN"/>
        </w:rPr>
      </w:pPr>
      <w:r>
        <w:rPr>
          <w:rFonts w:hint="eastAsia" w:ascii="Times New Roman" w:hAnsi="Times New Roman" w:eastAsia="仿宋_GB2312" w:cs="Times New Roman"/>
          <w:color w:val="auto"/>
          <w:kern w:val="0"/>
          <w:sz w:val="32"/>
          <w:szCs w:val="32"/>
          <w:lang w:val="en-US" w:eastAsia="zh-CN" w:bidi="ar-SA"/>
        </w:rPr>
        <w:t>本单位无社会保险基金预算支出情况。</w:t>
      </w:r>
    </w:p>
    <w:p w14:paraId="4FF989D1">
      <w:pPr>
        <w:spacing w:line="570" w:lineRule="exact"/>
        <w:ind w:firstLine="645"/>
        <w:jc w:val="left"/>
        <w:outlineLvl w:val="0"/>
        <w:rPr>
          <w:rFonts w:eastAsia="黑体"/>
          <w:sz w:val="32"/>
          <w:szCs w:val="32"/>
        </w:rPr>
      </w:pPr>
      <w:r>
        <w:rPr>
          <w:rFonts w:eastAsia="黑体"/>
          <w:sz w:val="32"/>
          <w:szCs w:val="32"/>
        </w:rPr>
        <w:t>六、部门整体支出绩效情况</w:t>
      </w:r>
    </w:p>
    <w:p w14:paraId="1BD1B35A">
      <w:pPr>
        <w:spacing w:line="600" w:lineRule="exact"/>
        <w:ind w:firstLine="636" w:firstLineChars="199"/>
        <w:rPr>
          <w:rFonts w:ascii="仿宋_GB2312" w:hAnsi="黑体" w:eastAsia="仿宋_GB2312"/>
        </w:rPr>
      </w:pPr>
      <w:r>
        <w:rPr>
          <w:rFonts w:hint="eastAsia" w:ascii="Times New Roman" w:hAnsi="Times New Roman" w:eastAsia="仿宋_GB2312" w:cs="Times New Roman"/>
          <w:color w:val="auto"/>
          <w:kern w:val="0"/>
          <w:sz w:val="32"/>
          <w:szCs w:val="32"/>
          <w:lang w:val="en-US" w:eastAsia="zh-CN" w:bidi="ar-SA"/>
        </w:rPr>
        <w:t>根据市委、市政府的有关要求，在市应急管理局局党委的领导下，在全队干部职工的共同努力下，2025年度，我队圆满地完成了市委、市政府以及上级主管部门交办的工作任务,通过项目的实施，增强了全队的战斗力和凝聚力，干部职工的自救和互救意识提高，保障了应急救援等业务的开展，提升了全市应急救援水平，最大限度地减少人员伤亡，取得了较好的经济效益和社会效益。通过专项支出绩效评价表打分，我队自评等级为“优秀”。</w:t>
      </w:r>
    </w:p>
    <w:p w14:paraId="22B28C67">
      <w:pPr>
        <w:pStyle w:val="15"/>
        <w:spacing w:line="570" w:lineRule="exact"/>
        <w:ind w:firstLine="640"/>
        <w:jc w:val="left"/>
        <w:outlineLvl w:val="0"/>
        <w:rPr>
          <w:rFonts w:ascii="Times New Roman" w:hAnsi="Times New Roman" w:eastAsia="黑体"/>
          <w:sz w:val="32"/>
          <w:szCs w:val="32"/>
        </w:rPr>
      </w:pPr>
      <w:r>
        <w:rPr>
          <w:rFonts w:ascii="Times New Roman" w:hAnsi="Times New Roman" w:eastAsia="黑体"/>
          <w:sz w:val="32"/>
          <w:szCs w:val="32"/>
        </w:rPr>
        <w:t>七、存在的问题及原因分析</w:t>
      </w:r>
    </w:p>
    <w:p w14:paraId="019AD47D">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预算编制不够科学。通过对全年绩效评价，发现在预算收支执行过程中还存在一些不合理合规的现象。目前，单位的经费来源就是财政预算拨款，没有其他收费来源，但干部职工的培（复）训费、救援装备的维护保养费、餐补、意外伤害保险、支出是一笔大的开支，这些开支需求，只能挤占其他经费甚至项目经费，这与年初预算产生矛盾和不匹配，建议财政局在下一年度预算编制时，将这些支出纳入预算。</w:t>
      </w:r>
      <w:r>
        <w:rPr>
          <w:rFonts w:hint="eastAsia" w:ascii="Times New Roman" w:hAnsi="Times New Roman" w:eastAsia="仿宋_GB2312" w:cs="Times New Roman"/>
          <w:color w:val="auto"/>
          <w:kern w:val="0"/>
          <w:sz w:val="32"/>
          <w:szCs w:val="32"/>
          <w:lang w:val="zh-CN" w:eastAsia="zh-CN" w:bidi="ar-SA"/>
        </w:rPr>
        <w:t>进一步提高预算编制的科学性、合理性、严谨性和可控性。</w:t>
      </w:r>
    </w:p>
    <w:p w14:paraId="2913D30A">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2.财务核算有待加强。会计核算中对支出功能分类不够科学，设计不太规范，在新的政府会计制度改革后，需进一步统一规范各单位财务核算和提高会计核算质量。</w:t>
      </w:r>
    </w:p>
    <w:p w14:paraId="0F6122EA">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3.预算财务分析常态化。</w:t>
      </w:r>
      <w:r>
        <w:rPr>
          <w:rFonts w:hint="eastAsia" w:ascii="Times New Roman" w:hAnsi="Times New Roman" w:eastAsia="仿宋_GB2312" w:cs="Times New Roman"/>
          <w:color w:val="auto"/>
          <w:kern w:val="0"/>
          <w:sz w:val="32"/>
          <w:szCs w:val="32"/>
          <w:lang w:val="zh-CN" w:eastAsia="zh-CN" w:bidi="ar-SA"/>
        </w:rPr>
        <w:t>定期做好支出预算财务分析，及时对费用预算执行情况进行通报和预警，定期对本预算单位的预算执行情况进行检查，做好部门整体支出预算评价工作。</w:t>
      </w:r>
    </w:p>
    <w:p w14:paraId="1862856E">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4.加强财务管理，严格财务审核，提高财务的精细化管理。</w:t>
      </w:r>
      <w:r>
        <w:rPr>
          <w:rFonts w:hint="eastAsia" w:ascii="Times New Roman" w:hAnsi="Times New Roman" w:eastAsia="仿宋_GB2312" w:cs="Times New Roman"/>
          <w:color w:val="auto"/>
          <w:kern w:val="0"/>
          <w:sz w:val="32"/>
          <w:szCs w:val="32"/>
          <w:lang w:val="zh-CN" w:eastAsia="zh-CN" w:bidi="ar-SA"/>
        </w:rPr>
        <w:t>在费用报账支付时，按照预算规定的费用项目和用途进行资金使用的审核，在预算金额内严格控制费用的支出，控制超支现象的发生；严格按照实际的费用支出内容进行财务核算，确保财务核算的真实、及时、准确、完整。</w:t>
      </w:r>
    </w:p>
    <w:p w14:paraId="14B8583E">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5.严控“三公经费”。</w:t>
      </w:r>
      <w:r>
        <w:rPr>
          <w:rFonts w:hint="eastAsia" w:ascii="Times New Roman" w:hAnsi="Times New Roman" w:eastAsia="仿宋_GB2312" w:cs="Times New Roman"/>
          <w:color w:val="auto"/>
          <w:kern w:val="0"/>
          <w:sz w:val="32"/>
          <w:szCs w:val="32"/>
          <w:lang w:val="zh-CN" w:eastAsia="zh-CN" w:bidi="ar-SA"/>
        </w:rPr>
        <w:t>根据中央、省、市党政机关厉行节约工作的精神，进一步严控“三公”经费支出，严格控制规模和比例、审核审批流程，细化“三公”经费的管理。</w:t>
      </w:r>
    </w:p>
    <w:p w14:paraId="2DDDD947">
      <w:pPr>
        <w:spacing w:line="570" w:lineRule="exact"/>
        <w:ind w:firstLine="640" w:firstLineChars="200"/>
        <w:jc w:val="left"/>
        <w:outlineLvl w:val="0"/>
        <w:rPr>
          <w:rFonts w:eastAsia="黑体"/>
          <w:sz w:val="32"/>
          <w:szCs w:val="32"/>
        </w:rPr>
      </w:pPr>
      <w:r>
        <w:rPr>
          <w:rFonts w:eastAsia="黑体"/>
          <w:sz w:val="32"/>
          <w:szCs w:val="32"/>
        </w:rPr>
        <w:t>八、下一步改进措施</w:t>
      </w:r>
    </w:p>
    <w:p w14:paraId="6AA95FD0">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1.要加强预算管理，严格执行《预算法》。</w:t>
      </w:r>
    </w:p>
    <w:p w14:paraId="4CA01AE0">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在预算金额内严格控制费用的支出，控制超支现象的发生。在费用报账支付时，要严格审核，控制费用跨年度报账，确保费用核算的及时性和完整性；按照费用的实际使用用途进行资金支付和财务列报，严格按照行政事业单位会计制度进行财务核算。</w:t>
      </w:r>
    </w:p>
    <w:p w14:paraId="335AD5B2">
      <w:pPr>
        <w:spacing w:line="600" w:lineRule="exact"/>
        <w:ind w:firstLine="636" w:firstLineChars="19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2.规范财务处理,提高财务信息质量</w:t>
      </w:r>
    </w:p>
    <w:p w14:paraId="5E3C8455">
      <w:pPr>
        <w:spacing w:line="600" w:lineRule="exact"/>
        <w:ind w:firstLine="636" w:firstLineChars="19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zh-CN" w:eastAsia="zh-CN" w:bidi="ar-SA"/>
        </w:rPr>
        <w:t>严格按照《会计法》、《行政单位会计制度》、《行政单位财务规则》等规定执行财务核算，并结合实际情况、完整、准确地披露相关信息，做到决算与预算衔接。</w:t>
      </w:r>
    </w:p>
    <w:p w14:paraId="5D4D686C">
      <w:pPr>
        <w:numPr>
          <w:ilvl w:val="0"/>
          <w:numId w:val="6"/>
        </w:numPr>
        <w:adjustRightInd w:val="0"/>
        <w:snapToGrid w:val="0"/>
        <w:spacing w:line="560" w:lineRule="exact"/>
        <w:ind w:firstLine="640" w:firstLineChars="200"/>
        <w:rPr>
          <w:rFonts w:eastAsia="黑体"/>
          <w:sz w:val="32"/>
          <w:szCs w:val="32"/>
        </w:rPr>
      </w:pPr>
      <w:r>
        <w:rPr>
          <w:rFonts w:eastAsia="黑体"/>
          <w:sz w:val="32"/>
          <w:szCs w:val="32"/>
        </w:rPr>
        <w:t>部门整体支出绩效自评结果拟应用和公开情况</w:t>
      </w:r>
    </w:p>
    <w:p w14:paraId="2082C591">
      <w:pPr>
        <w:pStyle w:val="14"/>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auto"/>
          <w:kern w:val="0"/>
          <w:sz w:val="32"/>
          <w:szCs w:val="32"/>
          <w:lang w:val="zh-CN" w:eastAsia="zh-CN" w:bidi="ar-SA"/>
        </w:rPr>
        <w:t>在部门整体支出绩效自评结果与公开方面，我队严格按照财政制度的相关要求，按照规定范围、标准和程序进行使用，确保自评结果与公开情况的规范性、安全性和有效性。</w:t>
      </w:r>
    </w:p>
    <w:p w14:paraId="7954AF2B">
      <w:pPr>
        <w:pStyle w:val="14"/>
        <w:jc w:val="center"/>
        <w:rPr>
          <w:rFonts w:ascii="Times New Roman" w:hAnsi="Times New Roman" w:cs="Times New Roman"/>
          <w:sz w:val="72"/>
          <w:szCs w:val="72"/>
        </w:rPr>
      </w:pPr>
    </w:p>
    <w:p w14:paraId="106E9FA5">
      <w:pPr>
        <w:pStyle w:val="14"/>
        <w:jc w:val="center"/>
        <w:rPr>
          <w:rFonts w:ascii="Times New Roman" w:hAnsi="Times New Roman" w:cs="Times New Roman"/>
          <w:sz w:val="72"/>
          <w:szCs w:val="72"/>
        </w:rPr>
      </w:pPr>
    </w:p>
    <w:p w14:paraId="0CEA322D">
      <w:pPr>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br w:type="page"/>
      </w:r>
    </w:p>
    <w:p w14:paraId="435E946E">
      <w:pPr>
        <w:pStyle w:val="14"/>
        <w:overflowPunct w:val="0"/>
        <w:autoSpaceDE/>
        <w:autoSpaceDN/>
        <w:spacing w:line="600" w:lineRule="exact"/>
        <w:ind w:firstLine="800" w:firstLineChars="200"/>
        <w:jc w:val="both"/>
        <w:rPr>
          <w:rFonts w:hint="default" w:ascii="Times New Roman" w:hAnsi="Times New Roman" w:eastAsia="仿宋_GB2312" w:cs="Times New Roman"/>
          <w:b/>
          <w:bCs/>
          <w:color w:val="FF0000"/>
          <w:sz w:val="40"/>
          <w:szCs w:val="40"/>
          <w:lang w:val="en-US" w:eastAsia="zh-CN"/>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方正小标宋简体">
    <w:altName w:val="黑体"/>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CESI小标宋-GB2312"/>
    <w:panose1 w:val="02000000000000000000"/>
    <w:charset w:val="86"/>
    <w:family w:val="script"/>
    <w:pitch w:val="default"/>
    <w:sig w:usb0="00000000" w:usb1="00000000" w:usb2="00000000" w:usb3="00000000" w:csb0="00040000" w:csb1="00000000"/>
  </w:font>
  <w:font w:name="CESI小标宋-GB2312">
    <w:panose1 w:val="02000500000000000000"/>
    <w:charset w:val="86"/>
    <w:family w:val="auto"/>
    <w:pitch w:val="default"/>
    <w:sig w:usb0="800002AF" w:usb1="084F6CF8" w:usb2="00000010" w:usb3="00000000" w:csb0="0004000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6FD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B639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3AA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B20C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EB17F">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EFEB17F">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9AF1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6867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7F6867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DE4CF6"/>
    <w:multiLevelType w:val="singleLevel"/>
    <w:tmpl w:val="CFDE4CF6"/>
    <w:lvl w:ilvl="0" w:tentative="0">
      <w:start w:val="2"/>
      <w:numFmt w:val="chineseCounting"/>
      <w:suff w:val="space"/>
      <w:lvlText w:val="第%1部分"/>
      <w:lvlJc w:val="left"/>
      <w:rPr>
        <w:rFonts w:hint="eastAsia"/>
      </w:rPr>
    </w:lvl>
  </w:abstractNum>
  <w:abstractNum w:abstractNumId="1">
    <w:nsid w:val="F93E3BF4"/>
    <w:multiLevelType w:val="singleLevel"/>
    <w:tmpl w:val="F93E3BF4"/>
    <w:lvl w:ilvl="0" w:tentative="0">
      <w:start w:val="5"/>
      <w:numFmt w:val="chineseCounting"/>
      <w:suff w:val="nothing"/>
      <w:lvlText w:val="%1、"/>
      <w:lvlJc w:val="left"/>
      <w:rPr>
        <w:rFonts w:hint="eastAsia"/>
      </w:rPr>
    </w:lvl>
  </w:abstractNum>
  <w:abstractNum w:abstractNumId="2">
    <w:nsid w:val="05B6748C"/>
    <w:multiLevelType w:val="singleLevel"/>
    <w:tmpl w:val="05B6748C"/>
    <w:lvl w:ilvl="0" w:tentative="0">
      <w:start w:val="2"/>
      <w:numFmt w:val="chineseCounting"/>
      <w:suff w:val="nothing"/>
      <w:lvlText w:val="（%1）"/>
      <w:lvlJc w:val="left"/>
      <w:rPr>
        <w:rFonts w:hint="eastAsia"/>
      </w:rPr>
    </w:lvl>
  </w:abstractNum>
  <w:abstractNum w:abstractNumId="3">
    <w:nsid w:val="35A9F243"/>
    <w:multiLevelType w:val="singleLevel"/>
    <w:tmpl w:val="35A9F243"/>
    <w:lvl w:ilvl="0" w:tentative="0">
      <w:start w:val="9"/>
      <w:numFmt w:val="chineseCounting"/>
      <w:suff w:val="nothing"/>
      <w:lvlText w:val="%1、"/>
      <w:lvlJc w:val="left"/>
      <w:rPr>
        <w:rFonts w:hint="eastAsia"/>
      </w:rPr>
    </w:lvl>
  </w:abstractNum>
  <w:abstractNum w:abstractNumId="4">
    <w:nsid w:val="64047670"/>
    <w:multiLevelType w:val="singleLevel"/>
    <w:tmpl w:val="64047670"/>
    <w:lvl w:ilvl="0" w:tentative="0">
      <w:start w:val="3"/>
      <w:numFmt w:val="decimal"/>
      <w:suff w:val="nothing"/>
      <w:lvlText w:val="%1、"/>
      <w:lvlJc w:val="left"/>
    </w:lvl>
  </w:abstractNum>
  <w:abstractNum w:abstractNumId="5">
    <w:nsid w:val="6ED041F3"/>
    <w:multiLevelType w:val="singleLevel"/>
    <w:tmpl w:val="6ED041F3"/>
    <w:lvl w:ilvl="0" w:tentative="0">
      <w:start w:val="3"/>
      <w:numFmt w:val="chineseCounting"/>
      <w:suff w:val="nothing"/>
      <w:lvlText w:val="%1、"/>
      <w:lvlJc w:val="left"/>
      <w:pPr>
        <w:ind w:left="-10"/>
      </w:pPr>
      <w:rPr>
        <w:rFonts w:hint="eastAsia"/>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406C6"/>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245B63"/>
    <w:rsid w:val="04561CA4"/>
    <w:rsid w:val="0728596A"/>
    <w:rsid w:val="07580878"/>
    <w:rsid w:val="090441B5"/>
    <w:rsid w:val="0A12645E"/>
    <w:rsid w:val="0AA51080"/>
    <w:rsid w:val="0AC6364F"/>
    <w:rsid w:val="0AFC15E8"/>
    <w:rsid w:val="0B6C7DF0"/>
    <w:rsid w:val="0BC47C2C"/>
    <w:rsid w:val="0BD7795F"/>
    <w:rsid w:val="0D7C6A10"/>
    <w:rsid w:val="0DCD1019"/>
    <w:rsid w:val="0F20786F"/>
    <w:rsid w:val="0F2E5AE8"/>
    <w:rsid w:val="0F517A28"/>
    <w:rsid w:val="10C57C15"/>
    <w:rsid w:val="113413B0"/>
    <w:rsid w:val="132A4818"/>
    <w:rsid w:val="132F62D2"/>
    <w:rsid w:val="167A1613"/>
    <w:rsid w:val="176B6F78"/>
    <w:rsid w:val="176D73C9"/>
    <w:rsid w:val="18A8690B"/>
    <w:rsid w:val="19687E48"/>
    <w:rsid w:val="197762DD"/>
    <w:rsid w:val="1A501008"/>
    <w:rsid w:val="1B3E3139"/>
    <w:rsid w:val="1B7E1BA5"/>
    <w:rsid w:val="1D063C00"/>
    <w:rsid w:val="1D97DEFF"/>
    <w:rsid w:val="1DFF72E5"/>
    <w:rsid w:val="1EDD4E34"/>
    <w:rsid w:val="1EFC6F07"/>
    <w:rsid w:val="1F813B73"/>
    <w:rsid w:val="1FDC6E9A"/>
    <w:rsid w:val="1FDF0B72"/>
    <w:rsid w:val="200D1749"/>
    <w:rsid w:val="20124FB2"/>
    <w:rsid w:val="218E2416"/>
    <w:rsid w:val="22057339"/>
    <w:rsid w:val="22830C8D"/>
    <w:rsid w:val="236553F8"/>
    <w:rsid w:val="24561911"/>
    <w:rsid w:val="245C4A4D"/>
    <w:rsid w:val="24697FC3"/>
    <w:rsid w:val="27534744"/>
    <w:rsid w:val="28E374EB"/>
    <w:rsid w:val="2A4B17EC"/>
    <w:rsid w:val="2A4E6BE6"/>
    <w:rsid w:val="2B1E480B"/>
    <w:rsid w:val="2BFE3AEE"/>
    <w:rsid w:val="2CD2219E"/>
    <w:rsid w:val="2E141EF5"/>
    <w:rsid w:val="2F631386"/>
    <w:rsid w:val="2FDF85B8"/>
    <w:rsid w:val="2FFFEE04"/>
    <w:rsid w:val="316D2048"/>
    <w:rsid w:val="322E7A29"/>
    <w:rsid w:val="3268280F"/>
    <w:rsid w:val="33B3D739"/>
    <w:rsid w:val="33FE342B"/>
    <w:rsid w:val="34DF85B0"/>
    <w:rsid w:val="3702003D"/>
    <w:rsid w:val="379A637D"/>
    <w:rsid w:val="37CD3A20"/>
    <w:rsid w:val="38637D01"/>
    <w:rsid w:val="39FF1CAB"/>
    <w:rsid w:val="3A057993"/>
    <w:rsid w:val="3B225C51"/>
    <w:rsid w:val="3B8F36BC"/>
    <w:rsid w:val="3C6504EB"/>
    <w:rsid w:val="3C8F7316"/>
    <w:rsid w:val="3DB35286"/>
    <w:rsid w:val="3DDC4AD4"/>
    <w:rsid w:val="3DE23DBE"/>
    <w:rsid w:val="3F6727CC"/>
    <w:rsid w:val="40955117"/>
    <w:rsid w:val="40ED0AAF"/>
    <w:rsid w:val="418B6F45"/>
    <w:rsid w:val="42646E38"/>
    <w:rsid w:val="452D591E"/>
    <w:rsid w:val="45625783"/>
    <w:rsid w:val="45633A36"/>
    <w:rsid w:val="460348D1"/>
    <w:rsid w:val="46875502"/>
    <w:rsid w:val="46CE3131"/>
    <w:rsid w:val="470703F1"/>
    <w:rsid w:val="47436B76"/>
    <w:rsid w:val="47864B3D"/>
    <w:rsid w:val="48FF5824"/>
    <w:rsid w:val="491FF225"/>
    <w:rsid w:val="49997A26"/>
    <w:rsid w:val="4A001853"/>
    <w:rsid w:val="4E5C7274"/>
    <w:rsid w:val="4E5E123E"/>
    <w:rsid w:val="4EA06726"/>
    <w:rsid w:val="4ECC7F56"/>
    <w:rsid w:val="4EDD6607"/>
    <w:rsid w:val="4FFD214C"/>
    <w:rsid w:val="50DC644B"/>
    <w:rsid w:val="51E97071"/>
    <w:rsid w:val="527E1EAF"/>
    <w:rsid w:val="5721105B"/>
    <w:rsid w:val="576A2A02"/>
    <w:rsid w:val="5777D4F5"/>
    <w:rsid w:val="579D2DD8"/>
    <w:rsid w:val="57A75A04"/>
    <w:rsid w:val="59DD8326"/>
    <w:rsid w:val="5CC44962"/>
    <w:rsid w:val="5CD31049"/>
    <w:rsid w:val="5DEF592A"/>
    <w:rsid w:val="5FC6BB1E"/>
    <w:rsid w:val="5FF720F1"/>
    <w:rsid w:val="605B55DE"/>
    <w:rsid w:val="619F599E"/>
    <w:rsid w:val="62726C0F"/>
    <w:rsid w:val="63473BF7"/>
    <w:rsid w:val="635D166D"/>
    <w:rsid w:val="641104BB"/>
    <w:rsid w:val="64A31301"/>
    <w:rsid w:val="65855DD7"/>
    <w:rsid w:val="66320B8F"/>
    <w:rsid w:val="672C7CD4"/>
    <w:rsid w:val="677B47B7"/>
    <w:rsid w:val="67FF5C0B"/>
    <w:rsid w:val="693764BC"/>
    <w:rsid w:val="69BA3375"/>
    <w:rsid w:val="6AB853DB"/>
    <w:rsid w:val="6B7E4876"/>
    <w:rsid w:val="6BBA3B00"/>
    <w:rsid w:val="6BCF3EE5"/>
    <w:rsid w:val="6E5E5B9E"/>
    <w:rsid w:val="6EA14B04"/>
    <w:rsid w:val="6EFC0924"/>
    <w:rsid w:val="6FB74722"/>
    <w:rsid w:val="6FEF8B7E"/>
    <w:rsid w:val="71A6591B"/>
    <w:rsid w:val="71AF12E6"/>
    <w:rsid w:val="722577FA"/>
    <w:rsid w:val="723C62EB"/>
    <w:rsid w:val="733F6699"/>
    <w:rsid w:val="737D59BA"/>
    <w:rsid w:val="73E86D31"/>
    <w:rsid w:val="74A94712"/>
    <w:rsid w:val="756D0642"/>
    <w:rsid w:val="757C3BD5"/>
    <w:rsid w:val="75BC2223"/>
    <w:rsid w:val="76791A73"/>
    <w:rsid w:val="76C05D43"/>
    <w:rsid w:val="76ED7B2A"/>
    <w:rsid w:val="77324E93"/>
    <w:rsid w:val="77C37683"/>
    <w:rsid w:val="77FB47DB"/>
    <w:rsid w:val="785901FD"/>
    <w:rsid w:val="7860333A"/>
    <w:rsid w:val="78E73A5B"/>
    <w:rsid w:val="79144124"/>
    <w:rsid w:val="79D19834"/>
    <w:rsid w:val="79FF515B"/>
    <w:rsid w:val="7AB11CB6"/>
    <w:rsid w:val="7B1A0DD3"/>
    <w:rsid w:val="7C5807CC"/>
    <w:rsid w:val="7CC4169E"/>
    <w:rsid w:val="7D1961AD"/>
    <w:rsid w:val="7E4436FD"/>
    <w:rsid w:val="7E977CD1"/>
    <w:rsid w:val="7E9E1962"/>
    <w:rsid w:val="7E9F11B4"/>
    <w:rsid w:val="7EB3024D"/>
    <w:rsid w:val="7F080287"/>
    <w:rsid w:val="7F37EC1E"/>
    <w:rsid w:val="7F7DCD9D"/>
    <w:rsid w:val="7F853FCE"/>
    <w:rsid w:val="7F970A6F"/>
    <w:rsid w:val="7FA2248A"/>
    <w:rsid w:val="7FC1FFF3"/>
    <w:rsid w:val="7FC69637"/>
    <w:rsid w:val="7FDF8620"/>
    <w:rsid w:val="7FE8C8F7"/>
    <w:rsid w:val="7FF64583"/>
    <w:rsid w:val="7FFB242F"/>
    <w:rsid w:val="7FFDB408"/>
    <w:rsid w:val="7FFE4EEB"/>
    <w:rsid w:val="95FB2B98"/>
    <w:rsid w:val="9A639BC2"/>
    <w:rsid w:val="9FF7D786"/>
    <w:rsid w:val="ABBFB23D"/>
    <w:rsid w:val="BF6D9A0A"/>
    <w:rsid w:val="C3B4DA5A"/>
    <w:rsid w:val="C7AE29F7"/>
    <w:rsid w:val="CBFF70E0"/>
    <w:rsid w:val="CFF50B82"/>
    <w:rsid w:val="CFFFAD89"/>
    <w:rsid w:val="DB7BD518"/>
    <w:rsid w:val="DFFE359E"/>
    <w:rsid w:val="DFFE4FFD"/>
    <w:rsid w:val="EEABED75"/>
    <w:rsid w:val="EFDE7D2C"/>
    <w:rsid w:val="F56FDF51"/>
    <w:rsid w:val="F6B69F17"/>
    <w:rsid w:val="F77F1D61"/>
    <w:rsid w:val="F7FED3A9"/>
    <w:rsid w:val="F8C9DB26"/>
    <w:rsid w:val="F97E8EAE"/>
    <w:rsid w:val="FB36E1A6"/>
    <w:rsid w:val="FB3BE134"/>
    <w:rsid w:val="FC278370"/>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unhideWhenUsed/>
    <w:qFormat/>
    <w:uiPriority w:val="99"/>
    <w:pPr>
      <w:suppressAutoHyphens/>
      <w:ind w:left="1680"/>
    </w:pPr>
    <w:rPr>
      <w:szCs w:val="20"/>
    </w:rPr>
  </w:style>
  <w:style w:type="paragraph" w:styleId="3">
    <w:name w:val="Body Text"/>
    <w:basedOn w:val="1"/>
    <w:next w:val="2"/>
    <w:qFormat/>
    <w:uiPriority w:val="0"/>
    <w:pPr>
      <w:widowControl/>
      <w:spacing w:before="100" w:beforeAutospacing="1" w:after="100" w:afterAutospacing="1"/>
      <w:jc w:val="left"/>
    </w:pPr>
    <w:rPr>
      <w:rFonts w:ascii="宋体" w:hAnsi="宋体" w:eastAsia="宋体" w:cs="宋体"/>
      <w:kern w:val="0"/>
      <w:sz w:val="24"/>
      <w:szCs w:val="24"/>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4558</Words>
  <Characters>5041</Characters>
  <Lines>69</Lines>
  <Paragraphs>19</Paragraphs>
  <TotalTime>10</TotalTime>
  <ScaleCrop>false</ScaleCrop>
  <LinksUpToDate>false</LinksUpToDate>
  <CharactersWithSpaces>5058</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kylin</cp:lastModifiedBy>
  <cp:lastPrinted>2024-08-10T18:20:00Z</cp:lastPrinted>
  <dcterms:modified xsi:type="dcterms:W3CDTF">2026-09-24T16:15:34Z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BB7B6AA21D207914D6FDA268992A22D6</vt:lpwstr>
  </property>
  <property fmtid="{D5CDD505-2E9C-101B-9397-08002B2CF9AE}" pid="4" name="KSOTemplateDocerSaveRecord">
    <vt:lpwstr>eyJoZGlkIjoiOTZjZmE1YjY2MGQ5MWY4MzFmZWU1ODM2ZDQ0ZWI4MjQiLCJ1c2VySWQiOiIyNjExNTQ0MTQifQ==</vt:lpwstr>
  </property>
</Properties>
</file>