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40FC2">
      <w:pPr>
        <w:pStyle w:val="16"/>
        <w:jc w:val="center"/>
        <w:rPr>
          <w:sz w:val="56"/>
          <w:szCs w:val="56"/>
        </w:rPr>
      </w:pPr>
    </w:p>
    <w:p w14:paraId="5111A477">
      <w:pPr>
        <w:pStyle w:val="16"/>
        <w:jc w:val="center"/>
        <w:rPr>
          <w:sz w:val="56"/>
          <w:szCs w:val="56"/>
        </w:rPr>
      </w:pPr>
    </w:p>
    <w:p w14:paraId="36C8F437">
      <w:pPr>
        <w:pStyle w:val="16"/>
        <w:jc w:val="center"/>
        <w:rPr>
          <w:sz w:val="84"/>
          <w:szCs w:val="84"/>
        </w:rPr>
      </w:pPr>
    </w:p>
    <w:p w14:paraId="2C6583BF">
      <w:pPr>
        <w:pStyle w:val="16"/>
        <w:jc w:val="center"/>
        <w:rPr>
          <w:sz w:val="84"/>
          <w:szCs w:val="84"/>
        </w:rPr>
      </w:pPr>
    </w:p>
    <w:p w14:paraId="63E5A3B5">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5A9A972E">
      <w:pPr>
        <w:pStyle w:val="16"/>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永州市委党史研究室</w:t>
      </w:r>
    </w:p>
    <w:p w14:paraId="4BEA2E52">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0E927CE4">
      <w:pPr>
        <w:pStyle w:val="16"/>
        <w:jc w:val="center"/>
        <w:rPr>
          <w:rFonts w:hint="eastAsia" w:ascii="方正小标宋_GBK" w:hAnsi="方正小标宋_GBK" w:eastAsia="方正小标宋_GBK" w:cs="方正小标宋_GBK"/>
          <w:sz w:val="56"/>
          <w:szCs w:val="56"/>
        </w:rPr>
      </w:pPr>
    </w:p>
    <w:p w14:paraId="0673EF39">
      <w:pPr>
        <w:pStyle w:val="16"/>
        <w:jc w:val="center"/>
        <w:rPr>
          <w:sz w:val="56"/>
          <w:szCs w:val="56"/>
        </w:rPr>
      </w:pPr>
    </w:p>
    <w:p w14:paraId="1F918A76">
      <w:pPr>
        <w:pStyle w:val="16"/>
        <w:jc w:val="center"/>
        <w:rPr>
          <w:sz w:val="56"/>
          <w:szCs w:val="56"/>
        </w:rPr>
      </w:pPr>
    </w:p>
    <w:p w14:paraId="6DC5896A">
      <w:pPr>
        <w:pStyle w:val="16"/>
        <w:jc w:val="center"/>
        <w:rPr>
          <w:sz w:val="56"/>
          <w:szCs w:val="56"/>
        </w:rPr>
      </w:pPr>
    </w:p>
    <w:p w14:paraId="3D93AE7D">
      <w:pPr>
        <w:pStyle w:val="16"/>
        <w:jc w:val="center"/>
        <w:rPr>
          <w:sz w:val="32"/>
          <w:szCs w:val="32"/>
        </w:rPr>
      </w:pPr>
    </w:p>
    <w:p w14:paraId="221BED4C">
      <w:pPr>
        <w:pStyle w:val="16"/>
        <w:jc w:val="center"/>
        <w:rPr>
          <w:sz w:val="32"/>
          <w:szCs w:val="32"/>
        </w:rPr>
      </w:pPr>
    </w:p>
    <w:p w14:paraId="1DA16626">
      <w:pPr>
        <w:pStyle w:val="16"/>
        <w:jc w:val="center"/>
        <w:rPr>
          <w:sz w:val="32"/>
          <w:szCs w:val="32"/>
        </w:rPr>
      </w:pPr>
    </w:p>
    <w:p w14:paraId="3E7130A2">
      <w:pPr>
        <w:pStyle w:val="16"/>
        <w:jc w:val="center"/>
        <w:rPr>
          <w:sz w:val="32"/>
          <w:szCs w:val="32"/>
        </w:rPr>
      </w:pPr>
    </w:p>
    <w:p w14:paraId="17EA0245">
      <w:pPr>
        <w:pStyle w:val="16"/>
        <w:jc w:val="center"/>
        <w:rPr>
          <w:sz w:val="32"/>
          <w:szCs w:val="32"/>
        </w:rPr>
      </w:pPr>
    </w:p>
    <w:p w14:paraId="4FED6470">
      <w:pPr>
        <w:pStyle w:val="16"/>
        <w:spacing w:line="540" w:lineRule="exact"/>
        <w:jc w:val="center"/>
        <w:rPr>
          <w:sz w:val="56"/>
          <w:szCs w:val="56"/>
        </w:rPr>
      </w:pPr>
    </w:p>
    <w:p w14:paraId="50667C6C">
      <w:pPr>
        <w:pStyle w:val="16"/>
        <w:spacing w:line="500" w:lineRule="exact"/>
        <w:jc w:val="both"/>
        <w:rPr>
          <w:b/>
          <w:sz w:val="36"/>
          <w:szCs w:val="28"/>
        </w:rPr>
      </w:pPr>
    </w:p>
    <w:p w14:paraId="1C98805B">
      <w:pPr>
        <w:pStyle w:val="16"/>
        <w:spacing w:line="500" w:lineRule="exact"/>
        <w:jc w:val="center"/>
        <w:rPr>
          <w:b/>
          <w:sz w:val="36"/>
          <w:szCs w:val="28"/>
        </w:rPr>
      </w:pPr>
      <w:r>
        <w:rPr>
          <w:rFonts w:hint="eastAsia"/>
          <w:b/>
          <w:sz w:val="36"/>
          <w:szCs w:val="28"/>
        </w:rPr>
        <w:t>目录</w:t>
      </w:r>
    </w:p>
    <w:p w14:paraId="32D90322">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eastAsia="zh-CN"/>
        </w:rPr>
        <w:t>永州市委党史研究室</w:t>
      </w:r>
      <w:r>
        <w:rPr>
          <w:rFonts w:hint="eastAsia" w:ascii="黑体" w:hAnsi="黑体" w:eastAsia="黑体" w:cs="黑体"/>
          <w:b w:val="0"/>
          <w:bCs/>
          <w:sz w:val="28"/>
          <w:szCs w:val="28"/>
        </w:rPr>
        <w:t>概况</w:t>
      </w:r>
    </w:p>
    <w:p w14:paraId="504EF6D1">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F8F628B">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388A6B25">
      <w:pPr>
        <w:pStyle w:val="16"/>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r>
        <w:rPr>
          <w:rFonts w:hint="eastAsia" w:ascii="仿宋_GB2312" w:hAnsi="仿宋_GB2312" w:eastAsia="仿宋_GB2312" w:cs="仿宋_GB2312"/>
          <w:sz w:val="28"/>
          <w:szCs w:val="28"/>
          <w:lang w:eastAsia="zh-CN"/>
        </w:rPr>
        <w:t>（说明：</w:t>
      </w:r>
      <w:r>
        <w:rPr>
          <w:rFonts w:hint="eastAsia" w:ascii="仿宋_GB2312" w:hAnsi="仿宋_GB2312" w:eastAsia="仿宋_GB2312" w:cs="仿宋_GB2312"/>
          <w:sz w:val="28"/>
          <w:szCs w:val="28"/>
          <w:lang w:val="en-US" w:eastAsia="zh-CN"/>
        </w:rPr>
        <w:t>本套报表金额单位转换时可能存在尾数误差。</w:t>
      </w:r>
      <w:r>
        <w:rPr>
          <w:rFonts w:hint="eastAsia" w:ascii="仿宋_GB2312" w:hAnsi="仿宋_GB2312" w:eastAsia="仿宋_GB2312" w:cs="仿宋_GB2312"/>
          <w:sz w:val="28"/>
          <w:szCs w:val="28"/>
          <w:lang w:eastAsia="zh-CN"/>
        </w:rPr>
        <w:t>）</w:t>
      </w:r>
    </w:p>
    <w:p w14:paraId="78869417">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04A7B4C">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273695F7">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3F64D8D3">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033368F7">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40AFFFA">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AB80740">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283A9C9">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5802DC09">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0C767B9">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A552BFD">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A7026FE">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6B001C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78DB46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A1C2FB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1F4CA9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626EB3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三公</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经费支出决算情况说明</w:t>
      </w:r>
    </w:p>
    <w:p w14:paraId="4994CC8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02F99B6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70B21F4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1567261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4E60E758">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319CED96">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14:paraId="68404C94">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C8B9294">
      <w:pPr>
        <w:pStyle w:val="16"/>
        <w:spacing w:line="500" w:lineRule="exact"/>
        <w:rPr>
          <w:rFonts w:hint="default" w:ascii="黑体" w:hAnsi="黑体" w:eastAsia="黑体" w:cs="黑体"/>
          <w:b w:val="0"/>
          <w:bCs/>
          <w:sz w:val="28"/>
          <w:szCs w:val="28"/>
          <w:lang w:val="en-US" w:eastAsia="zh-CN"/>
        </w:rPr>
      </w:pPr>
      <w:r>
        <w:rPr>
          <w:rFonts w:hint="eastAsia" w:hAnsi="黑体" w:cs="黑体"/>
          <w:b w:val="0"/>
          <w:bCs/>
          <w:sz w:val="28"/>
          <w:szCs w:val="28"/>
          <w:lang w:val="en-US" w:eastAsia="zh-CN"/>
        </w:rPr>
        <w:t>第五部分 附件</w:t>
      </w:r>
    </w:p>
    <w:p w14:paraId="131EBA7E">
      <w:pPr>
        <w:jc w:val="center"/>
        <w:rPr>
          <w:sz w:val="72"/>
          <w:szCs w:val="72"/>
        </w:rPr>
      </w:pPr>
    </w:p>
    <w:p w14:paraId="545EF816">
      <w:pPr>
        <w:jc w:val="center"/>
        <w:rPr>
          <w:sz w:val="72"/>
          <w:szCs w:val="72"/>
        </w:rPr>
      </w:pPr>
    </w:p>
    <w:p w14:paraId="101F9B82">
      <w:pPr>
        <w:jc w:val="center"/>
        <w:rPr>
          <w:sz w:val="72"/>
          <w:szCs w:val="72"/>
        </w:rPr>
      </w:pPr>
    </w:p>
    <w:p w14:paraId="42434924">
      <w:pPr>
        <w:jc w:val="center"/>
        <w:rPr>
          <w:sz w:val="72"/>
          <w:szCs w:val="72"/>
        </w:rPr>
      </w:pPr>
    </w:p>
    <w:p w14:paraId="11FA9AE1">
      <w:pPr>
        <w:rPr>
          <w:rFonts w:hint="eastAsia" w:ascii="方正小标宋_GBK" w:hAnsi="方正小标宋_GBK" w:eastAsia="方正小标宋_GBK" w:cs="方正小标宋_GBK"/>
          <w:sz w:val="72"/>
          <w:szCs w:val="72"/>
        </w:rPr>
      </w:pPr>
    </w:p>
    <w:p w14:paraId="1A70AB77">
      <w:pPr>
        <w:pStyle w:val="11"/>
        <w:rPr>
          <w:rFonts w:hint="eastAsia" w:ascii="方正小标宋_GBK" w:hAnsi="方正小标宋_GBK" w:eastAsia="方正小标宋_GBK" w:cs="方正小标宋_GBK"/>
          <w:sz w:val="72"/>
          <w:szCs w:val="72"/>
        </w:rPr>
      </w:pPr>
    </w:p>
    <w:p w14:paraId="290A5E89">
      <w:pPr>
        <w:pStyle w:val="11"/>
        <w:rPr>
          <w:rFonts w:hint="eastAsia" w:ascii="方正小标宋_GBK" w:hAnsi="方正小标宋_GBK" w:eastAsia="方正小标宋_GBK" w:cs="方正小标宋_GBK"/>
          <w:sz w:val="72"/>
          <w:szCs w:val="72"/>
        </w:rPr>
      </w:pPr>
    </w:p>
    <w:p w14:paraId="13B765D1">
      <w:pPr>
        <w:pStyle w:val="11"/>
        <w:rPr>
          <w:rFonts w:hint="eastAsia" w:ascii="方正小标宋_GBK" w:hAnsi="方正小标宋_GBK" w:eastAsia="方正小标宋_GBK" w:cs="方正小标宋_GBK"/>
          <w:sz w:val="72"/>
          <w:szCs w:val="72"/>
        </w:rPr>
      </w:pPr>
    </w:p>
    <w:p w14:paraId="49B11ACF">
      <w:pPr>
        <w:pStyle w:val="11"/>
        <w:rPr>
          <w:rFonts w:hint="eastAsia" w:ascii="方正小标宋_GBK" w:hAnsi="方正小标宋_GBK" w:eastAsia="方正小标宋_GBK" w:cs="方正小标宋_GBK"/>
          <w:sz w:val="72"/>
          <w:szCs w:val="72"/>
        </w:rPr>
      </w:pPr>
    </w:p>
    <w:p w14:paraId="05782922">
      <w:pPr>
        <w:pStyle w:val="11"/>
        <w:rPr>
          <w:rFonts w:hint="eastAsia" w:ascii="方正小标宋_GBK" w:hAnsi="方正小标宋_GBK" w:eastAsia="方正小标宋_GBK" w:cs="方正小标宋_GBK"/>
          <w:sz w:val="72"/>
          <w:szCs w:val="72"/>
        </w:rPr>
      </w:pPr>
    </w:p>
    <w:p w14:paraId="7DD03DC1">
      <w:pPr>
        <w:pStyle w:val="11"/>
        <w:rPr>
          <w:rFonts w:hint="eastAsia" w:ascii="方正小标宋_GBK" w:hAnsi="方正小标宋_GBK" w:eastAsia="方正小标宋_GBK" w:cs="方正小标宋_GBK"/>
          <w:sz w:val="72"/>
          <w:szCs w:val="72"/>
        </w:rPr>
      </w:pPr>
    </w:p>
    <w:p w14:paraId="6FE7DA43">
      <w:pPr>
        <w:pStyle w:val="11"/>
        <w:rPr>
          <w:rFonts w:hint="eastAsia" w:ascii="方正小标宋_GBK" w:hAnsi="方正小标宋_GBK" w:eastAsia="方正小标宋_GBK" w:cs="方正小标宋_GBK"/>
          <w:sz w:val="72"/>
          <w:szCs w:val="72"/>
        </w:rPr>
      </w:pPr>
    </w:p>
    <w:p w14:paraId="026B8550">
      <w:pPr>
        <w:pStyle w:val="11"/>
        <w:rPr>
          <w:rFonts w:hint="eastAsia" w:ascii="方正小标宋_GBK" w:hAnsi="方正小标宋_GBK" w:eastAsia="方正小标宋_GBK" w:cs="方正小标宋_GBK"/>
          <w:sz w:val="72"/>
          <w:szCs w:val="72"/>
        </w:rPr>
      </w:pPr>
    </w:p>
    <w:p w14:paraId="7FD6C736">
      <w:pPr>
        <w:pStyle w:val="11"/>
        <w:rPr>
          <w:rFonts w:hint="eastAsia" w:ascii="方正小标宋_GBK" w:hAnsi="方正小标宋_GBK" w:eastAsia="方正小标宋_GBK" w:cs="方正小标宋_GBK"/>
          <w:sz w:val="72"/>
          <w:szCs w:val="72"/>
        </w:rPr>
      </w:pPr>
    </w:p>
    <w:p w14:paraId="5DDA0E39">
      <w:pPr>
        <w:pStyle w:val="11"/>
        <w:rPr>
          <w:rFonts w:hint="eastAsia" w:ascii="方正小标宋_GBK" w:hAnsi="方正小标宋_GBK" w:eastAsia="方正小标宋_GBK" w:cs="方正小标宋_GBK"/>
          <w:sz w:val="72"/>
          <w:szCs w:val="72"/>
        </w:rPr>
      </w:pPr>
    </w:p>
    <w:p w14:paraId="30868CE6">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0E71691C">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永州市委党史研究室</w:t>
      </w:r>
      <w:r>
        <w:rPr>
          <w:rFonts w:hint="eastAsia" w:ascii="方正小标宋_GBK" w:hAnsi="方正小标宋_GBK" w:eastAsia="方正小标宋_GBK" w:cs="方正小标宋_GBK"/>
          <w:sz w:val="84"/>
          <w:szCs w:val="84"/>
        </w:rPr>
        <w:t>概况</w:t>
      </w:r>
    </w:p>
    <w:p w14:paraId="3639CF04">
      <w:pPr>
        <w:jc w:val="center"/>
        <w:rPr>
          <w:rFonts w:hint="eastAsia" w:ascii="方正小标宋_GBK" w:hAnsi="方正小标宋_GBK" w:eastAsia="方正小标宋_GBK" w:cs="方正小标宋_GBK"/>
          <w:sz w:val="72"/>
          <w:szCs w:val="72"/>
        </w:rPr>
      </w:pPr>
    </w:p>
    <w:p w14:paraId="4C85CBEB">
      <w:pPr>
        <w:jc w:val="center"/>
        <w:rPr>
          <w:rFonts w:hint="eastAsia" w:ascii="方正小标宋_GBK" w:hAnsi="方正小标宋_GBK" w:eastAsia="方正小标宋_GBK" w:cs="方正小标宋_GBK"/>
          <w:sz w:val="72"/>
          <w:szCs w:val="72"/>
        </w:rPr>
      </w:pPr>
    </w:p>
    <w:p w14:paraId="06601BF5">
      <w:pPr>
        <w:jc w:val="center"/>
        <w:rPr>
          <w:sz w:val="72"/>
          <w:szCs w:val="72"/>
        </w:rPr>
      </w:pPr>
    </w:p>
    <w:p w14:paraId="7FCE0005">
      <w:pPr>
        <w:jc w:val="center"/>
        <w:rPr>
          <w:sz w:val="72"/>
          <w:szCs w:val="72"/>
        </w:rPr>
      </w:pPr>
    </w:p>
    <w:p w14:paraId="422B5453">
      <w:pPr>
        <w:jc w:val="center"/>
        <w:rPr>
          <w:sz w:val="72"/>
          <w:szCs w:val="72"/>
        </w:rPr>
      </w:pPr>
    </w:p>
    <w:p w14:paraId="52971F9F">
      <w:pPr>
        <w:jc w:val="center"/>
        <w:rPr>
          <w:sz w:val="72"/>
          <w:szCs w:val="72"/>
        </w:rPr>
      </w:pPr>
    </w:p>
    <w:p w14:paraId="304F3229">
      <w:pPr>
        <w:jc w:val="center"/>
        <w:rPr>
          <w:sz w:val="72"/>
          <w:szCs w:val="72"/>
        </w:rPr>
      </w:pPr>
    </w:p>
    <w:p w14:paraId="58621FAB">
      <w:pPr>
        <w:pStyle w:val="6"/>
        <w:numPr>
          <w:ilvl w:val="0"/>
          <w:numId w:val="0"/>
        </w:numPr>
        <w:ind w:leftChars="0" w:firstLine="960" w:firstLineChars="3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14:paraId="7A67D053">
      <w:pPr>
        <w:keepNext w:val="0"/>
        <w:keepLines w:val="0"/>
        <w:pageBreakBefore w:val="0"/>
        <w:kinsoku/>
        <w:wordWrap/>
        <w:overflowPunct/>
        <w:topLinePunct w:val="0"/>
        <w:bidi w:val="0"/>
        <w:snapToGrid w:val="0"/>
        <w:spacing w:beforeAutospacing="0" w:afterAutospacing="0" w:line="5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（一）拟定全市党史研究和地方志编修工作规划。</w:t>
      </w:r>
    </w:p>
    <w:p w14:paraId="0B1E58F3">
      <w:pPr>
        <w:keepNext w:val="0"/>
        <w:keepLines w:val="0"/>
        <w:pageBreakBefore w:val="0"/>
        <w:kinsoku/>
        <w:wordWrap/>
        <w:overflowPunct/>
        <w:topLinePunct w:val="0"/>
        <w:bidi w:val="0"/>
        <w:snapToGrid w:val="0"/>
        <w:spacing w:beforeAutospacing="0" w:afterAutospacing="0" w:line="5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（二）征集、整理、研究中共永州地方史资料，总结历史经验，提供历史借鉴；编写永州地方党史、党史大事记、组织史;编纂出版党史书刊，老同志回忆录；编写主要党史人物传记。</w:t>
      </w:r>
    </w:p>
    <w:p w14:paraId="08209B3E">
      <w:pPr>
        <w:keepNext w:val="0"/>
        <w:keepLines w:val="0"/>
        <w:pageBreakBefore w:val="0"/>
        <w:kinsoku/>
        <w:wordWrap/>
        <w:overflowPunct/>
        <w:topLinePunct w:val="0"/>
        <w:bidi w:val="0"/>
        <w:snapToGrid w:val="0"/>
        <w:spacing w:beforeAutospacing="0" w:afterAutospacing="0" w:line="5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（三）运用党史、地方志资料和党史、地方志研究成果，开展各种形式的党史、地情宣传教育，努力发挥党史存史资政育人和地方志存史、资治、教化的社会功能；参与重大党史事件、重要党史人物纪念活动。</w:t>
      </w:r>
    </w:p>
    <w:p w14:paraId="6C8B4D4E">
      <w:pPr>
        <w:keepNext w:val="0"/>
        <w:keepLines w:val="0"/>
        <w:pageBreakBefore w:val="0"/>
        <w:kinsoku/>
        <w:wordWrap/>
        <w:overflowPunct/>
        <w:topLinePunct w:val="0"/>
        <w:bidi w:val="0"/>
        <w:snapToGrid w:val="0"/>
        <w:spacing w:beforeAutospacing="0" w:afterAutospacing="0" w:line="5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四）承担全市党史联络工作，指导县(区)党史、地方志部门的业务工作，审核党史专题、党史书籍，组织对各县(区)志、各部门专业志稿的评审、验收、出版、评奖；承担市党史联络组的日常事务性工作，为离退休老同志做好党史提供服务。</w:t>
      </w:r>
    </w:p>
    <w:p w14:paraId="318C5735">
      <w:pPr>
        <w:keepNext w:val="0"/>
        <w:keepLines w:val="0"/>
        <w:pageBreakBefore w:val="0"/>
        <w:kinsoku/>
        <w:wordWrap/>
        <w:overflowPunct/>
        <w:topLinePunct w:val="0"/>
        <w:bidi w:val="0"/>
        <w:snapToGrid w:val="0"/>
        <w:spacing w:beforeAutospacing="0" w:afterAutospacing="0" w:line="5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（五）负责组织编修《永州市志》、部门志、专业志及市志简志工作。</w:t>
      </w:r>
    </w:p>
    <w:p w14:paraId="45EBDA2D">
      <w:pPr>
        <w:keepNext w:val="0"/>
        <w:keepLines w:val="0"/>
        <w:pageBreakBefore w:val="0"/>
        <w:kinsoku/>
        <w:wordWrap/>
        <w:overflowPunct/>
        <w:topLinePunct w:val="0"/>
        <w:bidi w:val="0"/>
        <w:snapToGrid w:val="0"/>
        <w:spacing w:beforeAutospacing="0" w:afterAutospacing="0" w:line="5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（六）负责收集、整理、研究永州地方文献和市情资料，编辑出版《永州年鉴》。</w:t>
      </w:r>
    </w:p>
    <w:p w14:paraId="10B9FEC6">
      <w:pPr>
        <w:keepNext w:val="0"/>
        <w:keepLines w:val="0"/>
        <w:pageBreakBefore w:val="0"/>
        <w:kinsoku/>
        <w:wordWrap/>
        <w:overflowPunct/>
        <w:topLinePunct w:val="0"/>
        <w:bidi w:val="0"/>
        <w:snapToGrid w:val="0"/>
        <w:spacing w:beforeAutospacing="0" w:afterAutospacing="0" w:line="5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（七）承办市委，市人民政府交办的其他事项。</w:t>
      </w:r>
    </w:p>
    <w:p w14:paraId="345B93D1">
      <w:pPr>
        <w:widowControl/>
        <w:spacing w:line="600" w:lineRule="exact"/>
        <w:ind w:firstLine="960" w:firstLineChars="300"/>
        <w:rPr>
          <w:rFonts w:hint="eastAsia" w:ascii="黑体" w:hAnsi="黑体" w:eastAsia="黑体" w:cs="黑体"/>
          <w:b w:val="0"/>
          <w:bCs w:val="0"/>
          <w:kern w:val="0"/>
          <w:sz w:val="32"/>
          <w:szCs w:val="32"/>
        </w:rPr>
      </w:pPr>
      <w:r>
        <w:rPr>
          <w:rFonts w:hint="eastAsia" w:ascii="黑体" w:hAnsi="黑体" w:eastAsia="黑体" w:cs="黑体"/>
          <w:b w:val="0"/>
          <w:bCs w:val="0"/>
          <w:kern w:val="2"/>
          <w:sz w:val="32"/>
          <w:szCs w:val="32"/>
          <w:lang w:val="en-US" w:eastAsia="zh-CN" w:bidi="ar-SA"/>
        </w:rPr>
        <w:t>二、机构设置及决算单位构成</w:t>
      </w:r>
    </w:p>
    <w:p w14:paraId="4CA83DB9">
      <w:pPr>
        <w:widowControl/>
        <w:spacing w:line="600" w:lineRule="exact"/>
        <w:ind w:firstLine="960" w:firstLineChars="300"/>
        <w:rPr>
          <w:rFonts w:hint="eastAsia" w:ascii="仿宋_GB2312" w:hAnsi="仿宋_GB2312" w:eastAsia="仿宋_GB2312" w:cs="仿宋_GB2312"/>
          <w:b/>
          <w:bCs w:val="0"/>
          <w:color w:val="FF0000"/>
          <w:kern w:val="0"/>
          <w:sz w:val="32"/>
          <w:szCs w:val="32"/>
        </w:rPr>
      </w:pPr>
      <w:r>
        <w:rPr>
          <w:rFonts w:hint="eastAsia" w:ascii="楷体_GB2312" w:hAnsi="楷体_GB2312" w:eastAsia="楷体_GB2312" w:cs="楷体_GB2312"/>
          <w:b/>
          <w:bCs w:val="0"/>
          <w:kern w:val="0"/>
          <w:sz w:val="32"/>
          <w:szCs w:val="32"/>
        </w:rPr>
        <w:t>（一）内设机构设置。</w:t>
      </w:r>
      <w:r>
        <w:rPr>
          <w:rFonts w:hint="eastAsia" w:ascii="仿宋_GB2312" w:hAnsi="仿宋_GB2312" w:eastAsia="仿宋_GB2312" w:cs="仿宋_GB2312"/>
          <w:bCs/>
          <w:kern w:val="0"/>
          <w:sz w:val="32"/>
          <w:szCs w:val="32"/>
          <w:lang w:val="en-US" w:eastAsia="zh-CN"/>
        </w:rPr>
        <w:t>永州市委党史研究室</w:t>
      </w:r>
      <w:r>
        <w:rPr>
          <w:rFonts w:hint="eastAsia" w:ascii="仿宋_GB2312" w:hAnsi="仿宋_GB2312" w:eastAsia="仿宋_GB2312" w:cs="仿宋_GB2312"/>
          <w:bCs/>
          <w:kern w:val="0"/>
          <w:sz w:val="32"/>
          <w:szCs w:val="32"/>
        </w:rPr>
        <w:t>内设机构包括：</w:t>
      </w:r>
      <w:r>
        <w:rPr>
          <w:rFonts w:hint="eastAsia" w:ascii="Times New Roman" w:hAnsi="Times New Roman" w:eastAsia="仿宋_GB2312" w:cs="Times New Roman"/>
          <w:b w:val="0"/>
          <w:kern w:val="2"/>
          <w:sz w:val="32"/>
          <w:szCs w:val="32"/>
          <w:lang w:val="en-US" w:eastAsia="zh-CN" w:bidi="ar-SA"/>
        </w:rPr>
        <w:t>综合部、党史研究部、地方志编纂部、年鉴编纂部、宣教联络部等5个职能机构，核定全额拨款事业单位编制18名。核定主任1名，副主任2名；内设机构领导职数核定部长5名，副部长5名。2024年在编人员15名，退休人员</w:t>
      </w:r>
      <w:r>
        <w:rPr>
          <w:rFonts w:hint="eastAsia" w:eastAsia="仿宋_GB2312" w:cs="Times New Roman"/>
          <w:b w:val="0"/>
          <w:kern w:val="2"/>
          <w:sz w:val="32"/>
          <w:szCs w:val="32"/>
          <w:lang w:val="en-US" w:eastAsia="zh-CN" w:bidi="ar-SA"/>
        </w:rPr>
        <w:t>17</w:t>
      </w:r>
      <w:r>
        <w:rPr>
          <w:rFonts w:hint="eastAsia" w:ascii="Times New Roman" w:hAnsi="Times New Roman" w:eastAsia="仿宋_GB2312" w:cs="Times New Roman"/>
          <w:b w:val="0"/>
          <w:kern w:val="2"/>
          <w:sz w:val="32"/>
          <w:szCs w:val="32"/>
          <w:lang w:val="en-US" w:eastAsia="zh-CN" w:bidi="ar-SA"/>
        </w:rPr>
        <w:t>名，其中在职正副处级干部</w:t>
      </w:r>
      <w:r>
        <w:rPr>
          <w:rFonts w:hint="eastAsia" w:eastAsia="仿宋_GB2312" w:cs="Times New Roman"/>
          <w:b w:val="0"/>
          <w:kern w:val="2"/>
          <w:sz w:val="32"/>
          <w:szCs w:val="32"/>
          <w:lang w:val="en-US" w:eastAsia="zh-CN" w:bidi="ar-SA"/>
        </w:rPr>
        <w:t>5</w:t>
      </w:r>
      <w:r>
        <w:rPr>
          <w:rFonts w:hint="eastAsia" w:ascii="Times New Roman" w:hAnsi="Times New Roman" w:eastAsia="仿宋_GB2312" w:cs="Times New Roman"/>
          <w:b w:val="0"/>
          <w:kern w:val="2"/>
          <w:sz w:val="32"/>
          <w:szCs w:val="32"/>
          <w:lang w:val="en-US" w:eastAsia="zh-CN" w:bidi="ar-SA"/>
        </w:rPr>
        <w:t>名，正副科级干部</w:t>
      </w:r>
      <w:r>
        <w:rPr>
          <w:rFonts w:hint="eastAsia" w:eastAsia="仿宋_GB2312" w:cs="Times New Roman"/>
          <w:b w:val="0"/>
          <w:kern w:val="2"/>
          <w:sz w:val="32"/>
          <w:szCs w:val="32"/>
          <w:lang w:val="en-US" w:eastAsia="zh-CN" w:bidi="ar-SA"/>
        </w:rPr>
        <w:t>9</w:t>
      </w:r>
      <w:r>
        <w:rPr>
          <w:rFonts w:hint="eastAsia" w:ascii="Times New Roman" w:hAnsi="Times New Roman" w:eastAsia="仿宋_GB2312" w:cs="Times New Roman"/>
          <w:b w:val="0"/>
          <w:kern w:val="2"/>
          <w:sz w:val="32"/>
          <w:szCs w:val="32"/>
          <w:lang w:val="en-US" w:eastAsia="zh-CN" w:bidi="ar-SA"/>
        </w:rPr>
        <w:t>名，工勤人员1名</w:t>
      </w:r>
      <w:bookmarkStart w:id="0" w:name="_GoBack"/>
      <w:bookmarkEnd w:id="0"/>
      <w:r>
        <w:rPr>
          <w:rFonts w:hint="eastAsia" w:ascii="Times New Roman" w:hAnsi="Times New Roman" w:eastAsia="仿宋_GB2312" w:cs="Times New Roman"/>
          <w:b w:val="0"/>
          <w:kern w:val="2"/>
          <w:sz w:val="32"/>
          <w:szCs w:val="32"/>
          <w:lang w:val="en-US" w:eastAsia="zh-CN" w:bidi="ar-SA"/>
        </w:rPr>
        <w:t>。</w:t>
      </w:r>
    </w:p>
    <w:p w14:paraId="3C068222">
      <w:pPr>
        <w:widowControl/>
        <w:spacing w:line="600" w:lineRule="exact"/>
        <w:ind w:firstLine="960" w:firstLineChars="300"/>
        <w:rPr>
          <w:rFonts w:hint="eastAsia" w:ascii="Times New Roman" w:hAnsi="Times New Roman" w:eastAsia="仿宋_GB2312" w:cs="黑体"/>
          <w:color w:val="000000"/>
          <w:kern w:val="0"/>
          <w:sz w:val="32"/>
          <w:szCs w:val="32"/>
          <w:lang w:val="en-US" w:eastAsia="zh-CN" w:bidi="ar-SA"/>
        </w:rPr>
      </w:pPr>
      <w:r>
        <w:rPr>
          <w:rFonts w:hint="eastAsia" w:ascii="楷体_GB2312" w:hAnsi="楷体_GB2312" w:eastAsia="楷体_GB2312" w:cs="楷体_GB2312"/>
          <w:b/>
          <w:bCs w:val="0"/>
          <w:kern w:val="0"/>
          <w:sz w:val="32"/>
          <w:szCs w:val="32"/>
        </w:rPr>
        <w:t>（二）决算单位构成。</w:t>
      </w:r>
      <w:r>
        <w:rPr>
          <w:rFonts w:hint="eastAsia" w:ascii="仿宋_GB2312" w:hAnsi="仿宋_GB2312" w:eastAsia="仿宋_GB2312" w:cs="仿宋_GB2312"/>
          <w:bCs/>
          <w:kern w:val="0"/>
          <w:sz w:val="32"/>
          <w:szCs w:val="32"/>
          <w:lang w:val="en-US" w:eastAsia="zh-CN"/>
        </w:rPr>
        <w:t>永州市委党史研究室</w:t>
      </w:r>
      <w:r>
        <w:rPr>
          <w:rFonts w:hint="eastAsia" w:ascii="Times New Roman" w:hAnsi="Times New Roman" w:eastAsia="仿宋_GB2312" w:cs="黑体"/>
          <w:color w:val="000000"/>
          <w:kern w:val="0"/>
          <w:sz w:val="32"/>
          <w:szCs w:val="32"/>
          <w:lang w:val="en-US" w:eastAsia="zh-CN" w:bidi="ar-SA"/>
        </w:rPr>
        <w:t>2024年部门决算汇总公开单位构成包括：永州市委党史研究室本级，无二级机构。</w:t>
      </w:r>
    </w:p>
    <w:p w14:paraId="347CBF49">
      <w:pPr>
        <w:jc w:val="left"/>
        <w:rPr>
          <w:rFonts w:ascii="仿宋_GB2312" w:eastAsia="仿宋_GB2312" w:hAnsiTheme="minorEastAsia"/>
          <w:sz w:val="28"/>
          <w:szCs w:val="32"/>
        </w:rPr>
      </w:pPr>
    </w:p>
    <w:p w14:paraId="502A6393">
      <w:pPr>
        <w:pStyle w:val="16"/>
        <w:jc w:val="center"/>
        <w:rPr>
          <w:rFonts w:hint="eastAsia" w:ascii="方正小标宋_GBK" w:hAnsi="方正小标宋_GBK" w:eastAsia="方正小标宋_GBK" w:cs="方正小标宋_GBK"/>
          <w:sz w:val="84"/>
          <w:szCs w:val="84"/>
        </w:rPr>
      </w:pPr>
    </w:p>
    <w:p w14:paraId="45A2EBDF">
      <w:pPr>
        <w:pStyle w:val="16"/>
        <w:jc w:val="center"/>
        <w:rPr>
          <w:rFonts w:hint="eastAsia" w:ascii="方正小标宋_GBK" w:hAnsi="方正小标宋_GBK" w:eastAsia="方正小标宋_GBK" w:cs="方正小标宋_GBK"/>
          <w:sz w:val="84"/>
          <w:szCs w:val="84"/>
        </w:rPr>
      </w:pPr>
    </w:p>
    <w:p w14:paraId="4EC6E1C3">
      <w:pPr>
        <w:pStyle w:val="16"/>
        <w:jc w:val="center"/>
        <w:rPr>
          <w:rFonts w:hint="eastAsia" w:ascii="方正小标宋_GBK" w:hAnsi="方正小标宋_GBK" w:eastAsia="方正小标宋_GBK" w:cs="方正小标宋_GBK"/>
          <w:sz w:val="84"/>
          <w:szCs w:val="84"/>
        </w:rPr>
      </w:pPr>
    </w:p>
    <w:p w14:paraId="3E0E2018">
      <w:pPr>
        <w:pStyle w:val="16"/>
        <w:jc w:val="center"/>
        <w:rPr>
          <w:rFonts w:hint="eastAsia" w:ascii="方正小标宋_GBK" w:hAnsi="方正小标宋_GBK" w:eastAsia="方正小标宋_GBK" w:cs="方正小标宋_GBK"/>
          <w:sz w:val="84"/>
          <w:szCs w:val="84"/>
        </w:rPr>
      </w:pPr>
    </w:p>
    <w:p w14:paraId="4295A062">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第二部分</w:t>
      </w:r>
    </w:p>
    <w:p w14:paraId="466C647D">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部门决算表</w:t>
      </w:r>
    </w:p>
    <w:p w14:paraId="49BCF199">
      <w:pPr>
        <w:jc w:val="center"/>
        <w:rPr>
          <w:rFonts w:hint="eastAsia" w:ascii="楷体_GB2312" w:hAnsi="楷体_GB2312" w:eastAsia="楷体_GB2312" w:cs="楷体_GB2312"/>
          <w:b/>
          <w:bCs/>
          <w:color w:val="000000"/>
          <w:kern w:val="0"/>
          <w:sz w:val="52"/>
          <w:szCs w:val="52"/>
          <w:lang w:val="en-US" w:eastAsia="zh-CN" w:bidi="ar-SA"/>
        </w:rPr>
      </w:pPr>
      <w:r>
        <w:rPr>
          <w:rFonts w:hint="eastAsia" w:ascii="楷体_GB2312" w:hAnsi="楷体_GB2312" w:eastAsia="楷体_GB2312" w:cs="楷体_GB2312"/>
          <w:b/>
          <w:bCs/>
          <w:color w:val="000000"/>
          <w:kern w:val="0"/>
          <w:sz w:val="52"/>
          <w:szCs w:val="52"/>
          <w:lang w:val="en-US" w:eastAsia="zh-CN" w:bidi="ar-SA"/>
        </w:rPr>
        <w:t>（详见附表）</w:t>
      </w:r>
    </w:p>
    <w:p w14:paraId="16E548ED">
      <w:pPr>
        <w:jc w:val="center"/>
        <w:rPr>
          <w:sz w:val="72"/>
          <w:szCs w:val="72"/>
        </w:rPr>
      </w:pPr>
    </w:p>
    <w:p w14:paraId="73B3E4B6">
      <w:pPr>
        <w:pStyle w:val="16"/>
        <w:jc w:val="center"/>
        <w:rPr>
          <w:rFonts w:hint="eastAsia" w:ascii="方正小标宋_GBK" w:hAnsi="方正小标宋_GBK" w:eastAsia="方正小标宋_GBK" w:cs="方正小标宋_GBK"/>
          <w:sz w:val="72"/>
          <w:szCs w:val="72"/>
        </w:rPr>
      </w:pPr>
    </w:p>
    <w:p w14:paraId="560C699A">
      <w:pPr>
        <w:pStyle w:val="16"/>
        <w:jc w:val="center"/>
        <w:rPr>
          <w:rFonts w:hint="eastAsia" w:ascii="方正小标宋_GBK" w:hAnsi="方正小标宋_GBK" w:eastAsia="方正小标宋_GBK" w:cs="方正小标宋_GBK"/>
          <w:sz w:val="72"/>
          <w:szCs w:val="72"/>
        </w:rPr>
      </w:pPr>
    </w:p>
    <w:p w14:paraId="741DB132">
      <w:pPr>
        <w:pStyle w:val="16"/>
        <w:jc w:val="center"/>
        <w:rPr>
          <w:rFonts w:hint="eastAsia" w:ascii="方正小标宋_GBK" w:hAnsi="方正小标宋_GBK" w:eastAsia="方正小标宋_GBK" w:cs="方正小标宋_GBK"/>
          <w:sz w:val="72"/>
          <w:szCs w:val="72"/>
        </w:rPr>
      </w:pPr>
    </w:p>
    <w:p w14:paraId="05721222">
      <w:pPr>
        <w:pStyle w:val="16"/>
        <w:jc w:val="center"/>
        <w:rPr>
          <w:rFonts w:hint="eastAsia" w:ascii="方正小标宋_GBK" w:hAnsi="方正小标宋_GBK" w:eastAsia="方正小标宋_GBK" w:cs="方正小标宋_GBK"/>
          <w:sz w:val="72"/>
          <w:szCs w:val="72"/>
        </w:rPr>
      </w:pPr>
    </w:p>
    <w:p w14:paraId="15256A06">
      <w:pPr>
        <w:pStyle w:val="16"/>
        <w:jc w:val="center"/>
        <w:rPr>
          <w:rFonts w:hint="eastAsia" w:ascii="方正小标宋_GBK" w:hAnsi="方正小标宋_GBK" w:eastAsia="方正小标宋_GBK" w:cs="方正小标宋_GBK"/>
          <w:sz w:val="72"/>
          <w:szCs w:val="72"/>
        </w:rPr>
      </w:pPr>
    </w:p>
    <w:p w14:paraId="143105D4">
      <w:pPr>
        <w:pStyle w:val="16"/>
        <w:jc w:val="center"/>
        <w:rPr>
          <w:rFonts w:hint="eastAsia" w:ascii="方正小标宋_GBK" w:hAnsi="方正小标宋_GBK" w:eastAsia="方正小标宋_GBK" w:cs="方正小标宋_GBK"/>
          <w:sz w:val="72"/>
          <w:szCs w:val="72"/>
        </w:rPr>
      </w:pPr>
    </w:p>
    <w:p w14:paraId="5AC5EE19">
      <w:pPr>
        <w:pStyle w:val="16"/>
        <w:jc w:val="center"/>
        <w:rPr>
          <w:rFonts w:hint="eastAsia" w:ascii="方正小标宋_GBK" w:hAnsi="方正小标宋_GBK" w:eastAsia="方正小标宋_GBK" w:cs="方正小标宋_GBK"/>
          <w:sz w:val="72"/>
          <w:szCs w:val="72"/>
        </w:rPr>
      </w:pPr>
    </w:p>
    <w:p w14:paraId="5E66CA4A">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2F9D9218">
      <w:pPr>
        <w:pStyle w:val="16"/>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498964B3">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664BB38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63FB5A2F">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总计</w:t>
      </w:r>
      <w:r>
        <w:rPr>
          <w:rFonts w:hint="eastAsia" w:ascii="Times New Roman" w:hAnsi="Times New Roman" w:eastAsia="仿宋_GB2312" w:cs="Times New Roman"/>
          <w:sz w:val="32"/>
          <w:szCs w:val="32"/>
          <w:lang w:val="en-US" w:eastAsia="zh-CN"/>
        </w:rPr>
        <w:t>420.38</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77.75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15.61</w:t>
      </w:r>
      <w:r>
        <w:rPr>
          <w:rFonts w:hint="eastAsia" w:ascii="Times New Roman" w:hAnsi="Times New Roman" w:eastAsia="仿宋_GB2312"/>
          <w:sz w:val="32"/>
          <w:szCs w:val="32"/>
        </w:rPr>
        <w:t>%，主要是因为</w:t>
      </w:r>
      <w:r>
        <w:rPr>
          <w:rFonts w:hint="eastAsia" w:ascii="仿宋_GB2312" w:hAnsi="仿宋_GB2312" w:eastAsia="仿宋_GB2312" w:cs="仿宋_GB2312"/>
          <w:sz w:val="32"/>
          <w:lang w:val="en-US" w:eastAsia="zh-CN" w:bidi="ar"/>
        </w:rPr>
        <w:t>上年度拨付丧葬费、补发2022年度基础绩效</w:t>
      </w:r>
      <w:r>
        <w:rPr>
          <w:rFonts w:hint="eastAsia" w:ascii="Times New Roman" w:hAnsi="Times New Roman" w:eastAsia="仿宋_GB2312"/>
          <w:sz w:val="32"/>
          <w:szCs w:val="32"/>
          <w:lang w:eastAsia="zh-CN"/>
        </w:rPr>
        <w:t>。</w:t>
      </w:r>
    </w:p>
    <w:p w14:paraId="0E44A9E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420.38</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77.75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15.61</w:t>
      </w:r>
      <w:r>
        <w:rPr>
          <w:rFonts w:hint="eastAsia" w:ascii="Times New Roman" w:hAnsi="Times New Roman" w:eastAsia="仿宋_GB2312"/>
          <w:sz w:val="32"/>
          <w:szCs w:val="32"/>
        </w:rPr>
        <w:t>%，主要是因为</w:t>
      </w:r>
      <w:r>
        <w:rPr>
          <w:rFonts w:hint="eastAsia" w:ascii="仿宋_GB2312" w:hAnsi="仿宋_GB2312" w:eastAsia="仿宋_GB2312" w:cs="仿宋_GB2312"/>
          <w:sz w:val="32"/>
          <w:lang w:val="en-US" w:eastAsia="zh-CN" w:bidi="ar"/>
        </w:rPr>
        <w:t>上年度拨付丧葬费、补发2022年度基础绩效</w:t>
      </w:r>
      <w:r>
        <w:rPr>
          <w:rFonts w:hint="eastAsia" w:ascii="Times New Roman" w:hAnsi="Times New Roman" w:eastAsia="仿宋_GB2312"/>
          <w:sz w:val="32"/>
          <w:szCs w:val="32"/>
          <w:lang w:eastAsia="zh-CN"/>
        </w:rPr>
        <w:t>。</w:t>
      </w:r>
    </w:p>
    <w:p w14:paraId="01D7329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0F999AC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420.38</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407.99</w:t>
      </w:r>
      <w:r>
        <w:rPr>
          <w:rFonts w:hint="eastAsia" w:ascii="Times New Roman" w:hAnsi="Times New Roman" w:eastAsia="仿宋_GB2312"/>
          <w:sz w:val="32"/>
          <w:szCs w:val="32"/>
        </w:rPr>
        <w:t>万元，占</w:t>
      </w:r>
      <w:r>
        <w:rPr>
          <w:rFonts w:hint="eastAsia" w:ascii="Times New Roman" w:hAnsi="Times New Roman" w:eastAsia="仿宋_GB2312"/>
          <w:sz w:val="32"/>
          <w:szCs w:val="32"/>
          <w:u w:val="single"/>
          <w:lang w:val="en-US" w:eastAsia="zh-CN"/>
        </w:rPr>
        <w:t>97.05</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u w:val="single"/>
          <w:lang w:val="en-US" w:eastAsia="zh-CN"/>
        </w:rPr>
        <w:t>12.38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2.95</w:t>
      </w:r>
      <w:r>
        <w:rPr>
          <w:rFonts w:hint="eastAsia" w:ascii="Times New Roman" w:hAnsi="Times New Roman" w:eastAsia="仿宋_GB2312"/>
          <w:sz w:val="32"/>
          <w:szCs w:val="32"/>
        </w:rPr>
        <w:t>%。</w:t>
      </w:r>
    </w:p>
    <w:p w14:paraId="72B009E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1398CB4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420.38</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u w:val="single"/>
          <w:lang w:val="en-US" w:eastAsia="zh-CN"/>
        </w:rPr>
        <w:t>257.65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61.29</w:t>
      </w:r>
      <w:r>
        <w:rPr>
          <w:rFonts w:hint="eastAsia" w:ascii="Times New Roman" w:hAnsi="Times New Roman" w:eastAsia="仿宋_GB2312"/>
          <w:sz w:val="32"/>
          <w:szCs w:val="32"/>
        </w:rPr>
        <w:t>%；项目支出</w:t>
      </w:r>
      <w:r>
        <w:rPr>
          <w:rFonts w:hint="eastAsia" w:ascii="Times New Roman" w:hAnsi="Times New Roman" w:eastAsia="仿宋_GB2312"/>
          <w:sz w:val="32"/>
          <w:szCs w:val="32"/>
          <w:u w:val="single"/>
          <w:lang w:val="en-US" w:eastAsia="zh-CN"/>
        </w:rPr>
        <w:t>162.73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38.71</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95D865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1C0870BF">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407.99</w:t>
      </w:r>
      <w:r>
        <w:rPr>
          <w:rFonts w:hint="eastAsia" w:ascii="Times New Roman" w:hAnsi="Times New Roman" w:eastAsia="仿宋_GB2312"/>
          <w:sz w:val="32"/>
          <w:szCs w:val="32"/>
        </w:rPr>
        <w:t>万元，与上年相比，</w:t>
      </w:r>
      <w:r>
        <w:rPr>
          <w:rFonts w:hint="eastAsia" w:ascii="仿宋_GB2312" w:hAnsi="仿宋_GB2312" w:eastAsia="仿宋_GB2312" w:cs="仿宋_GB2312"/>
          <w:sz w:val="32"/>
          <w:lang w:val="en-US" w:eastAsia="zh-CN" w:bidi="ar"/>
        </w:rPr>
        <w:t>减少84.55万元，减少17.17%</w:t>
      </w:r>
      <w:r>
        <w:rPr>
          <w:rFonts w:hint="eastAsia" w:ascii="Times New Roman" w:hAnsi="Times New Roman" w:eastAsia="仿宋_GB2312"/>
          <w:sz w:val="32"/>
          <w:szCs w:val="32"/>
        </w:rPr>
        <w:t>，主要是因为</w:t>
      </w:r>
      <w:r>
        <w:rPr>
          <w:rFonts w:hint="eastAsia" w:ascii="仿宋_GB2312" w:hAnsi="仿宋_GB2312" w:eastAsia="仿宋_GB2312" w:cs="仿宋_GB2312"/>
          <w:sz w:val="32"/>
          <w:lang w:val="en-US" w:eastAsia="zh-CN" w:bidi="ar"/>
        </w:rPr>
        <w:t>上年度拨付丧葬费、补发2022年度基础绩效</w:t>
      </w:r>
      <w:r>
        <w:rPr>
          <w:rFonts w:hint="eastAsia" w:ascii="Times New Roman" w:hAnsi="Times New Roman" w:eastAsia="仿宋_GB2312"/>
          <w:sz w:val="32"/>
          <w:szCs w:val="32"/>
          <w:lang w:eastAsia="zh-CN"/>
        </w:rPr>
        <w:t>。</w:t>
      </w:r>
    </w:p>
    <w:p w14:paraId="25998AF9">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407.99</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84.55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17.17</w:t>
      </w:r>
      <w:r>
        <w:rPr>
          <w:rFonts w:hint="eastAsia" w:ascii="Times New Roman" w:hAnsi="Times New Roman" w:eastAsia="仿宋_GB2312"/>
          <w:sz w:val="32"/>
          <w:szCs w:val="32"/>
        </w:rPr>
        <w:t>%，主要是因为</w:t>
      </w:r>
      <w:r>
        <w:rPr>
          <w:rFonts w:hint="eastAsia" w:ascii="仿宋_GB2312" w:hAnsi="仿宋_GB2312" w:eastAsia="仿宋_GB2312" w:cs="仿宋_GB2312"/>
          <w:sz w:val="32"/>
          <w:lang w:val="en-US" w:eastAsia="zh-CN" w:bidi="ar"/>
        </w:rPr>
        <w:t>上年度拨付丧葬费、补发2022年度基础绩效</w:t>
      </w:r>
      <w:r>
        <w:rPr>
          <w:rFonts w:hint="eastAsia" w:ascii="Times New Roman" w:hAnsi="Times New Roman" w:eastAsia="仿宋_GB2312"/>
          <w:sz w:val="32"/>
          <w:szCs w:val="32"/>
          <w:lang w:eastAsia="zh-CN"/>
        </w:rPr>
        <w:t>。</w:t>
      </w:r>
    </w:p>
    <w:p w14:paraId="447253A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A1BCDCB">
      <w:pPr>
        <w:pStyle w:val="16"/>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一般公共预算</w:t>
      </w:r>
      <w:r>
        <w:rPr>
          <w:rFonts w:hint="eastAsia" w:ascii="楷体_GB2312" w:hAnsi="楷体_GB2312" w:eastAsia="楷体_GB2312" w:cs="楷体_GB2312"/>
          <w:b/>
          <w:bCs w:val="0"/>
          <w:sz w:val="32"/>
          <w:szCs w:val="32"/>
        </w:rPr>
        <w:t>财政拨款支出决算总体情况</w:t>
      </w:r>
    </w:p>
    <w:p w14:paraId="19AC44E9">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407.99</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84.55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17.17</w:t>
      </w:r>
      <w:r>
        <w:rPr>
          <w:rFonts w:hint="eastAsia" w:ascii="Times New Roman" w:hAnsi="Times New Roman" w:eastAsia="仿宋_GB2312"/>
          <w:sz w:val="32"/>
          <w:szCs w:val="32"/>
        </w:rPr>
        <w:t>%，主要是因为</w:t>
      </w:r>
      <w:r>
        <w:rPr>
          <w:rFonts w:hint="eastAsia" w:ascii="仿宋_GB2312" w:hAnsi="仿宋_GB2312" w:eastAsia="仿宋_GB2312" w:cs="仿宋_GB2312"/>
          <w:sz w:val="32"/>
          <w:lang w:val="en-US" w:eastAsia="zh-CN" w:bidi="ar"/>
        </w:rPr>
        <w:t>上年度拨付丧葬费、补发2022年度基础绩效。</w:t>
      </w:r>
    </w:p>
    <w:p w14:paraId="5BFEC61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（二）</w:t>
      </w:r>
      <w:r>
        <w:rPr>
          <w:rFonts w:hint="eastAsia" w:ascii="楷体_GB2312" w:hAnsi="楷体_GB2312" w:eastAsia="楷体_GB2312" w:cs="楷体_GB2312"/>
          <w:b/>
          <w:bCs w:val="0"/>
          <w:sz w:val="32"/>
          <w:szCs w:val="32"/>
          <w:lang w:eastAsia="zh-CN"/>
        </w:rPr>
        <w:t>一般公共预算</w:t>
      </w:r>
      <w:r>
        <w:rPr>
          <w:rFonts w:hint="eastAsia" w:ascii="楷体_GB2312" w:hAnsi="楷体_GB2312" w:eastAsia="楷体_GB2312" w:cs="楷体_GB2312"/>
          <w:b/>
          <w:bCs w:val="0"/>
          <w:sz w:val="32"/>
          <w:szCs w:val="32"/>
        </w:rPr>
        <w:t>财政拨款支出决算结构情况</w:t>
      </w:r>
    </w:p>
    <w:p w14:paraId="79A89790">
      <w:pPr>
        <w:pStyle w:val="16"/>
        <w:ind w:firstLine="640" w:firstLineChars="200"/>
        <w:rPr>
          <w:rFonts w:hint="eastAsia" w:asciiTheme="minorEastAsia" w:hAnsiTheme="minorEastAsia" w:eastAsiaTheme="minorEastAsia"/>
          <w:b w:val="0"/>
          <w:bCs w:val="0"/>
          <w:color w:val="FF0000"/>
          <w:sz w:val="32"/>
          <w:szCs w:val="32"/>
          <w:lang w:val="en-US"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407.99</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eastAsia="zh-CN"/>
        </w:rPr>
        <w:t>：</w:t>
      </w:r>
      <w:r>
        <w:rPr>
          <w:rFonts w:hint="eastAsia" w:ascii="Times New Roman" w:hAnsi="Times New Roman" w:eastAsia="仿宋_GB2312"/>
          <w:b/>
          <w:bCs/>
          <w:color w:val="auto"/>
          <w:sz w:val="32"/>
          <w:szCs w:val="32"/>
          <w:lang w:val="en-US" w:eastAsia="zh-CN"/>
        </w:rPr>
        <w:t>事业运行</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194.63万</w:t>
      </w:r>
      <w:r>
        <w:rPr>
          <w:rFonts w:hint="eastAsia" w:ascii="Times New Roman" w:hAnsi="Times New Roman" w:eastAsia="仿宋_GB2312"/>
          <w:sz w:val="32"/>
          <w:szCs w:val="32"/>
        </w:rPr>
        <w:t>元，占</w:t>
      </w:r>
      <w:r>
        <w:rPr>
          <w:rFonts w:hint="eastAsia" w:ascii="Times New Roman" w:hAnsi="Times New Roman" w:eastAsia="仿宋_GB2312"/>
          <w:sz w:val="32"/>
          <w:szCs w:val="32"/>
          <w:lang w:val="en-US" w:eastAsia="zh-CN"/>
        </w:rPr>
        <w:t>47.7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；其他共产党事务支出</w:t>
      </w:r>
      <w:r>
        <w:rPr>
          <w:rFonts w:hint="eastAsia" w:ascii="Times New Roman" w:hAnsi="Times New Roman" w:eastAsia="仿宋_GB2312"/>
          <w:sz w:val="32"/>
          <w:szCs w:val="32"/>
          <w:lang w:val="en-US" w:eastAsia="zh-CN"/>
        </w:rPr>
        <w:t>25.73万元，占6.31%；其他文化和旅游支出96万元，占23.53%；其他文化旅游体育与传媒支出38.5万元，占9.44%；机关事业单位基本养老保险缴费支出23.85万元，占58.46%；行政单位医疗支出9.98万元，占2.45%；住房公积金支出19.31万元，占4.73%。</w:t>
      </w:r>
    </w:p>
    <w:p w14:paraId="5C54183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（三）</w:t>
      </w:r>
      <w:r>
        <w:rPr>
          <w:rFonts w:hint="eastAsia" w:ascii="楷体_GB2312" w:hAnsi="楷体_GB2312" w:eastAsia="楷体_GB2312" w:cs="楷体_GB2312"/>
          <w:b/>
          <w:bCs w:val="0"/>
          <w:sz w:val="32"/>
          <w:szCs w:val="32"/>
          <w:lang w:eastAsia="zh-CN"/>
        </w:rPr>
        <w:t>一般公共预算</w:t>
      </w:r>
      <w:r>
        <w:rPr>
          <w:rFonts w:hint="eastAsia" w:ascii="楷体_GB2312" w:hAnsi="楷体_GB2312" w:eastAsia="楷体_GB2312" w:cs="楷体_GB2312"/>
          <w:b/>
          <w:bCs w:val="0"/>
          <w:sz w:val="32"/>
          <w:szCs w:val="32"/>
        </w:rPr>
        <w:t>财政拨款支出决算具体情况</w:t>
      </w:r>
    </w:p>
    <w:p w14:paraId="5FD7533D">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highlight w:val="none"/>
          <w:u w:val="none"/>
          <w:lang w:val="en-US" w:eastAsia="zh-CN"/>
        </w:rPr>
        <w:t>287.93</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407.99</w:t>
      </w:r>
    </w:p>
    <w:p w14:paraId="0FC4FAB6">
      <w:pPr>
        <w:pStyle w:val="16"/>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141.7</w:t>
      </w:r>
      <w:r>
        <w:rPr>
          <w:rFonts w:hint="eastAsia" w:ascii="Times New Roman" w:hAnsi="Times New Roman" w:eastAsia="仿宋_GB2312"/>
          <w:sz w:val="32"/>
          <w:szCs w:val="32"/>
        </w:rPr>
        <w:t>%，其中：</w:t>
      </w:r>
    </w:p>
    <w:p w14:paraId="3E2289B1">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b/>
          <w:bCs/>
          <w:color w:val="auto"/>
          <w:sz w:val="32"/>
          <w:szCs w:val="32"/>
          <w:lang w:val="en-US" w:eastAsia="zh-CN"/>
        </w:rPr>
        <w:t>事业运行</w:t>
      </w:r>
      <w:r>
        <w:rPr>
          <w:rFonts w:hint="eastAsia" w:ascii="Times New Roman" w:hAnsi="Times New Roman" w:eastAsia="仿宋_GB2312"/>
          <w:color w:val="auto"/>
          <w:sz w:val="32"/>
          <w:szCs w:val="32"/>
        </w:rPr>
        <w:t>。</w:t>
      </w:r>
    </w:p>
    <w:p w14:paraId="39B922BC">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 w:eastAsia="仿宋_GB2312" w:cs="Times New Roman"/>
          <w:color w:val="auto"/>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232.43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194.63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87.11</w:t>
      </w:r>
      <w:r>
        <w:rPr>
          <w:rFonts w:hint="eastAsia" w:ascii="Times New Roman" w:hAnsi="Times New Roman" w:eastAsia="仿宋_GB2312"/>
          <w:sz w:val="32"/>
          <w:szCs w:val="32"/>
        </w:rPr>
        <w:t>%，决算数小于年初预算数的</w:t>
      </w:r>
      <w:r>
        <w:rPr>
          <w:rFonts w:hint="eastAsia" w:ascii="Times New Roman" w:hAnsi="Times New Roman" w:eastAsia="仿宋_GB2312"/>
          <w:color w:val="auto"/>
          <w:sz w:val="32"/>
          <w:szCs w:val="32"/>
        </w:rPr>
        <w:t>主要原因</w:t>
      </w:r>
      <w:r>
        <w:rPr>
          <w:rFonts w:hint="eastAsia" w:ascii="Times New Roman" w:hAnsi="Times New Roman" w:eastAsia="仿宋_GB2312"/>
          <w:sz w:val="32"/>
          <w:szCs w:val="32"/>
        </w:rPr>
        <w:t>是：</w:t>
      </w:r>
      <w:r>
        <w:rPr>
          <w:rFonts w:hint="eastAsia" w:ascii="仿宋_GB2312" w:hAnsi="仿宋" w:eastAsia="仿宋_GB2312" w:cs="Times New Roman"/>
          <w:color w:val="auto"/>
          <w:sz w:val="32"/>
          <w:szCs w:val="32"/>
          <w:lang w:val="en-US" w:eastAsia="zh-CN"/>
        </w:rPr>
        <w:t>2024年度有人员退休。</w:t>
      </w:r>
    </w:p>
    <w:p w14:paraId="1FBB3C4C">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eastAsia="zh-CN"/>
        </w:rPr>
        <w:t>其他共产党事务支出</w:t>
      </w:r>
      <w:r>
        <w:rPr>
          <w:rFonts w:hint="eastAsia" w:ascii="Times New Roman" w:hAnsi="Times New Roman" w:eastAsia="仿宋_GB2312"/>
          <w:sz w:val="32"/>
          <w:szCs w:val="32"/>
        </w:rPr>
        <w:t>。</w:t>
      </w:r>
    </w:p>
    <w:p w14:paraId="3A4B41D2">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25.73</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年初预算未安排，为年中追加安排的。</w:t>
      </w:r>
    </w:p>
    <w:p w14:paraId="1C77641A">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其他文化和旅游支出</w:t>
      </w:r>
      <w:r>
        <w:rPr>
          <w:rFonts w:hint="eastAsia" w:ascii="Times New Roman" w:hAnsi="Times New Roman" w:eastAsia="仿宋_GB2312"/>
          <w:sz w:val="32"/>
          <w:szCs w:val="32"/>
        </w:rPr>
        <w:t>。</w:t>
      </w:r>
    </w:p>
    <w:p w14:paraId="1F66A180">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96</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年初预算未安排，为年中追加安排的。</w:t>
      </w:r>
    </w:p>
    <w:p w14:paraId="7B3E6D16">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其他文化旅游体育与传媒支出</w:t>
      </w:r>
      <w:r>
        <w:rPr>
          <w:rFonts w:hint="eastAsia" w:ascii="Times New Roman" w:hAnsi="Times New Roman" w:eastAsia="仿宋_GB2312"/>
          <w:sz w:val="32"/>
          <w:szCs w:val="32"/>
        </w:rPr>
        <w:t>。</w:t>
      </w:r>
    </w:p>
    <w:p w14:paraId="35AFB340">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38.5</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年初预算未安排，为年中追加安排的。</w:t>
      </w:r>
    </w:p>
    <w:p w14:paraId="55775C63">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机关事业单位基本养老保险缴费支出</w:t>
      </w:r>
      <w:r>
        <w:rPr>
          <w:rFonts w:hint="eastAsia" w:ascii="Times New Roman" w:hAnsi="Times New Roman" w:eastAsia="仿宋_GB2312"/>
          <w:sz w:val="32"/>
          <w:szCs w:val="32"/>
        </w:rPr>
        <w:t>。</w:t>
      </w:r>
    </w:p>
    <w:p w14:paraId="454E03D0">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24.61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23.85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96.91</w:t>
      </w:r>
      <w:r>
        <w:rPr>
          <w:rFonts w:hint="eastAsia" w:ascii="Times New Roman" w:hAnsi="Times New Roman" w:eastAsia="仿宋_GB2312"/>
          <w:sz w:val="32"/>
          <w:szCs w:val="32"/>
        </w:rPr>
        <w:t>%，决算数小于年初预算数的</w:t>
      </w:r>
      <w:r>
        <w:rPr>
          <w:rFonts w:hint="eastAsia" w:ascii="Times New Roman" w:hAnsi="Times New Roman" w:eastAsia="仿宋_GB2312"/>
          <w:color w:val="auto"/>
          <w:sz w:val="32"/>
          <w:szCs w:val="32"/>
        </w:rPr>
        <w:t>主要原因是：</w:t>
      </w:r>
      <w:r>
        <w:rPr>
          <w:rFonts w:hint="eastAsia" w:ascii="仿宋_GB2312" w:hAnsi="仿宋" w:eastAsia="仿宋_GB2312" w:cs="Times New Roman"/>
          <w:color w:val="auto"/>
          <w:sz w:val="32"/>
          <w:szCs w:val="32"/>
          <w:lang w:val="en-US" w:eastAsia="zh-CN"/>
        </w:rPr>
        <w:t>2024年度有人员退休。</w:t>
      </w:r>
    </w:p>
    <w:p w14:paraId="4D1A18C8">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行政单位医疗</w:t>
      </w:r>
      <w:r>
        <w:rPr>
          <w:rFonts w:hint="eastAsia" w:ascii="Times New Roman" w:hAnsi="Times New Roman" w:eastAsia="仿宋_GB2312"/>
          <w:color w:val="auto"/>
          <w:sz w:val="32"/>
          <w:szCs w:val="32"/>
        </w:rPr>
        <w:t>。</w:t>
      </w:r>
    </w:p>
    <w:p w14:paraId="0E17CBD3">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 w:eastAsia="仿宋_GB2312" w:cs="Times New Roman"/>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10.27</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9.98</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97.18</w:t>
      </w:r>
      <w:r>
        <w:rPr>
          <w:rFonts w:hint="eastAsia" w:ascii="Times New Roman" w:hAnsi="Times New Roman" w:eastAsia="仿宋_GB2312"/>
          <w:color w:val="auto"/>
          <w:sz w:val="32"/>
          <w:szCs w:val="32"/>
        </w:rPr>
        <w:t>%，决算数小于年初预算数的主要原因是：</w:t>
      </w:r>
      <w:r>
        <w:rPr>
          <w:rFonts w:hint="eastAsia" w:ascii="仿宋_GB2312" w:hAnsi="仿宋" w:eastAsia="仿宋_GB2312" w:cs="Times New Roman"/>
          <w:color w:val="auto"/>
          <w:sz w:val="32"/>
          <w:szCs w:val="32"/>
          <w:lang w:val="en-US" w:eastAsia="zh-CN"/>
        </w:rPr>
        <w:t>2024年度有人员退休。</w:t>
      </w:r>
    </w:p>
    <w:p w14:paraId="3B0DD157">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住房公积金</w:t>
      </w:r>
      <w:r>
        <w:rPr>
          <w:rFonts w:hint="eastAsia" w:ascii="Times New Roman" w:hAnsi="Times New Roman" w:eastAsia="仿宋_GB2312"/>
          <w:color w:val="auto"/>
          <w:sz w:val="32"/>
          <w:szCs w:val="32"/>
        </w:rPr>
        <w:t>。</w:t>
      </w:r>
    </w:p>
    <w:p w14:paraId="0E2AE11A">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20.62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19.31</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93.65</w:t>
      </w:r>
      <w:r>
        <w:rPr>
          <w:rFonts w:hint="eastAsia" w:ascii="Times New Roman" w:hAnsi="Times New Roman" w:eastAsia="仿宋_GB2312"/>
          <w:color w:val="auto"/>
          <w:sz w:val="32"/>
          <w:szCs w:val="32"/>
        </w:rPr>
        <w:t>%，决算数小于年初预算数的主要原因是：</w:t>
      </w:r>
      <w:r>
        <w:rPr>
          <w:rFonts w:hint="eastAsia" w:ascii="仿宋_GB2312" w:hAnsi="仿宋" w:eastAsia="仿宋_GB2312" w:cs="Times New Roman"/>
          <w:sz w:val="32"/>
          <w:szCs w:val="32"/>
          <w:lang w:val="en-US" w:eastAsia="zh-CN"/>
        </w:rPr>
        <w:t>2024年度有人员退休。</w:t>
      </w:r>
    </w:p>
    <w:p w14:paraId="6F45159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339EC87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247.76</w:t>
      </w:r>
      <w:r>
        <w:rPr>
          <w:rFonts w:hint="eastAsia" w:ascii="Times New Roman" w:hAnsi="Times New Roman" w:eastAsia="仿宋_GB2312"/>
          <w:sz w:val="32"/>
          <w:szCs w:val="32"/>
        </w:rPr>
        <w:t>万元，其中：</w:t>
      </w:r>
    </w:p>
    <w:p w14:paraId="3A0640E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213.31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86.1</w:t>
      </w:r>
      <w:r>
        <w:rPr>
          <w:rFonts w:hint="eastAsia" w:ascii="Times New Roman" w:hAnsi="Times New Roman" w:eastAsia="仿宋_GB2312"/>
          <w:sz w:val="32"/>
          <w:szCs w:val="32"/>
        </w:rPr>
        <w:t>%,主要包括基本工资、津贴补贴、奖金、</w:t>
      </w:r>
      <w:r>
        <w:rPr>
          <w:rFonts w:hint="eastAsia" w:ascii="Times New Roman" w:hAnsi="Times New Roman" w:eastAsia="仿宋_GB2312"/>
          <w:sz w:val="32"/>
          <w:szCs w:val="32"/>
          <w:lang w:eastAsia="zh-CN"/>
        </w:rPr>
        <w:t>机关事业单位基本养老保险缴费、职工基本医疗保险缴费、住房公积金。</w:t>
      </w:r>
    </w:p>
    <w:p w14:paraId="4BBFC0A5">
      <w:pPr>
        <w:pStyle w:val="16"/>
        <w:ind w:firstLine="640" w:firstLineChars="200"/>
        <w:rPr>
          <w:rFonts w:hint="eastAsia" w:asciiTheme="minorEastAsia" w:hAnsiTheme="minorEastAsia" w:eastAsiaTheme="minorEastAsia"/>
          <w:b w:val="0"/>
          <w:bCs w:val="0"/>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34.46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13.9</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lang w:eastAsia="zh-CN"/>
        </w:rPr>
        <w:t>电</w:t>
      </w:r>
      <w:r>
        <w:rPr>
          <w:rFonts w:hint="eastAsia" w:ascii="Times New Roman" w:hAnsi="Times New Roman" w:eastAsia="仿宋_GB2312"/>
          <w:sz w:val="32"/>
          <w:szCs w:val="32"/>
        </w:rPr>
        <w:t>费、</w:t>
      </w:r>
      <w:r>
        <w:rPr>
          <w:rFonts w:hint="eastAsia" w:ascii="Times New Roman" w:hAnsi="Times New Roman" w:eastAsia="仿宋_GB2312"/>
          <w:sz w:val="32"/>
          <w:szCs w:val="32"/>
          <w:lang w:eastAsia="zh-CN"/>
        </w:rPr>
        <w:t>邮电</w:t>
      </w:r>
      <w:r>
        <w:rPr>
          <w:rFonts w:hint="eastAsia" w:ascii="Times New Roman" w:hAnsi="Times New Roman" w:eastAsia="仿宋_GB2312"/>
          <w:sz w:val="32"/>
          <w:szCs w:val="32"/>
        </w:rPr>
        <w:t>费</w:t>
      </w:r>
      <w:r>
        <w:rPr>
          <w:rFonts w:hint="eastAsia" w:ascii="Times New Roman" w:hAnsi="Times New Roman" w:eastAsia="仿宋_GB2312"/>
          <w:sz w:val="32"/>
          <w:szCs w:val="32"/>
          <w:lang w:eastAsia="zh-CN"/>
        </w:rPr>
        <w:t>、差旅费、会议费、公务接待费、工会经费、福利费、其他交通费用</w:t>
      </w:r>
      <w:r>
        <w:rPr>
          <w:rFonts w:hint="eastAsia" w:ascii="Times New Roman" w:hAnsi="Times New Roman" w:eastAsia="仿宋_GB2312"/>
          <w:sz w:val="32"/>
          <w:szCs w:val="32"/>
        </w:rPr>
        <w:t>。</w:t>
      </w:r>
    </w:p>
    <w:p w14:paraId="48EDE646">
      <w:pPr>
        <w:pStyle w:val="16"/>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04DF26C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4AFED203">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91.33</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严格执行公务接待相关要求，厉行节约。</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0.63</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31.5</w:t>
      </w:r>
      <w:r>
        <w:rPr>
          <w:rFonts w:hint="eastAsia" w:ascii="Times New Roman" w:hAnsi="Times New Roman" w:eastAsia="仿宋_GB2312"/>
          <w:sz w:val="32"/>
          <w:szCs w:val="32"/>
        </w:rPr>
        <w:t>%,减少的主要原因是</w:t>
      </w:r>
      <w:r>
        <w:rPr>
          <w:rFonts w:hint="eastAsia" w:ascii="仿宋_GB2312" w:hAnsi="仿宋_GB2312" w:eastAsia="仿宋_GB2312"/>
          <w:sz w:val="32"/>
          <w:lang w:val="en-US" w:eastAsia="zh-CN" w:bidi="ar"/>
        </w:rPr>
        <w:t>严格贯彻落实厉行节约反对浪费精神，加强公务接待管理，严格控制相关费用，支出相应减少</w:t>
      </w:r>
      <w:r>
        <w:rPr>
          <w:rFonts w:hint="eastAsia" w:ascii="Times New Roman" w:hAnsi="Times New Roman" w:eastAsia="仿宋_GB2312"/>
          <w:sz w:val="32"/>
          <w:szCs w:val="32"/>
        </w:rPr>
        <w:t>。其中：</w:t>
      </w:r>
    </w:p>
    <w:p w14:paraId="181D60F5">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60261DAD">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1.37</w:t>
      </w:r>
      <w:r>
        <w:rPr>
          <w:rFonts w:hint="eastAsia" w:ascii="Times New Roman" w:hAnsi="Times New Roman" w:eastAsia="仿宋_GB2312"/>
          <w:sz w:val="32"/>
          <w:szCs w:val="32"/>
        </w:rPr>
        <w:t>元，完成预算的</w:t>
      </w:r>
      <w:r>
        <w:rPr>
          <w:rFonts w:hint="eastAsia" w:ascii="Times New Roman" w:hAnsi="Times New Roman" w:eastAsia="仿宋_GB2312"/>
          <w:sz w:val="32"/>
          <w:szCs w:val="32"/>
          <w:lang w:val="en-US" w:eastAsia="zh-CN"/>
        </w:rPr>
        <w:t>91.33</w:t>
      </w:r>
      <w:r>
        <w:rPr>
          <w:rFonts w:hint="eastAsia" w:ascii="Times New Roman" w:hAnsi="Times New Roman" w:eastAsia="仿宋_GB2312"/>
          <w:sz w:val="32"/>
          <w:szCs w:val="32"/>
        </w:rPr>
        <w:t>%，决算数小于预算数的主要原因是</w:t>
      </w:r>
      <w:r>
        <w:rPr>
          <w:rFonts w:hint="eastAsia" w:ascii="仿宋_GB2312" w:hAnsi="仿宋_GB2312" w:eastAsia="仿宋_GB2312"/>
          <w:sz w:val="32"/>
          <w:lang w:val="en-US" w:eastAsia="zh-CN" w:bidi="ar"/>
        </w:rPr>
        <w:t>严格贯彻落实厉行节约反对浪费精神，加强公务接待管理，严格控制相关费用，支出相应减少。</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0.63</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31.5</w:t>
      </w:r>
      <w:r>
        <w:rPr>
          <w:rFonts w:hint="eastAsia" w:ascii="Times New Roman" w:hAnsi="Times New Roman" w:eastAsia="仿宋_GB2312"/>
          <w:sz w:val="32"/>
          <w:szCs w:val="32"/>
        </w:rPr>
        <w:t>%,减少的主要原因是</w:t>
      </w:r>
      <w:r>
        <w:rPr>
          <w:rFonts w:hint="eastAsia" w:ascii="仿宋_GB2312" w:hAnsi="仿宋_GB2312" w:eastAsia="仿宋_GB2312"/>
          <w:sz w:val="32"/>
          <w:lang w:val="en-US" w:eastAsia="zh-CN" w:bidi="ar"/>
        </w:rPr>
        <w:t>严格贯彻落实厉行节约反对浪费精神，加强公务接待管理，严格控制相关费用，支出相应减少</w:t>
      </w:r>
      <w:r>
        <w:rPr>
          <w:rFonts w:hint="eastAsia" w:ascii="Times New Roman" w:hAnsi="Times New Roman" w:eastAsia="仿宋_GB2312"/>
          <w:sz w:val="32"/>
          <w:szCs w:val="32"/>
        </w:rPr>
        <w:t>。</w:t>
      </w:r>
    </w:p>
    <w:p w14:paraId="42D5BE8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2A0516A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5A1BD04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082017E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1.37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1F9D3870">
      <w:pPr>
        <w:pStyle w:val="1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b/>
          <w:bCs/>
          <w:color w:val="auto"/>
          <w:sz w:val="32"/>
          <w:szCs w:val="32"/>
          <w:lang w:val="en-US"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stheme="minorBidi"/>
          <w:color w:val="auto"/>
          <w:kern w:val="2"/>
          <w:sz w:val="32"/>
          <w:szCs w:val="32"/>
          <w:lang w:val="en-US" w:eastAsia="zh-CN" w:bidi="ar-SA"/>
        </w:rPr>
        <w:t>2024年度我单位未开展因公出国（境）活动</w:t>
      </w:r>
      <w:r>
        <w:rPr>
          <w:rFonts w:hint="eastAsia" w:ascii="Times New Roman" w:hAnsi="Times New Roman" w:eastAsia="仿宋_GB2312"/>
          <w:b/>
          <w:bCs/>
          <w:color w:val="auto"/>
          <w:sz w:val="32"/>
          <w:szCs w:val="32"/>
          <w:lang w:val="en-US" w:eastAsia="zh-CN"/>
        </w:rPr>
        <w:t>。</w:t>
      </w:r>
    </w:p>
    <w:p w14:paraId="278E505A">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b w:val="0"/>
          <w:bCs w:val="0"/>
          <w:color w:val="auto"/>
          <w:sz w:val="32"/>
          <w:szCs w:val="32"/>
        </w:rPr>
        <w:t>2、公务接待费支出决算为</w:t>
      </w:r>
      <w:r>
        <w:rPr>
          <w:rFonts w:hint="eastAsia" w:ascii="Times New Roman" w:hAnsi="Times New Roman" w:eastAsia="仿宋_GB2312"/>
          <w:b w:val="0"/>
          <w:bCs w:val="0"/>
          <w:color w:val="auto"/>
          <w:sz w:val="32"/>
          <w:szCs w:val="32"/>
          <w:lang w:val="en-US" w:eastAsia="zh-CN"/>
        </w:rPr>
        <w:t>1.37</w:t>
      </w:r>
      <w:r>
        <w:rPr>
          <w:rFonts w:hint="eastAsia" w:ascii="Times New Roman" w:hAnsi="Times New Roman" w:eastAsia="仿宋_GB2312"/>
          <w:b w:val="0"/>
          <w:bCs w:val="0"/>
          <w:color w:val="auto"/>
          <w:sz w:val="32"/>
          <w:szCs w:val="32"/>
        </w:rPr>
        <w:t>万元，全年共接待来访团组</w:t>
      </w:r>
      <w:r>
        <w:rPr>
          <w:rFonts w:hint="eastAsia" w:ascii="Times New Roman" w:hAnsi="Times New Roman" w:eastAsia="仿宋_GB2312"/>
          <w:b w:val="0"/>
          <w:bCs w:val="0"/>
          <w:color w:val="auto"/>
          <w:sz w:val="32"/>
          <w:szCs w:val="32"/>
          <w:lang w:val="en-US" w:eastAsia="zh-CN"/>
        </w:rPr>
        <w:t>19批次</w:t>
      </w:r>
      <w:r>
        <w:rPr>
          <w:rFonts w:hint="eastAsia" w:ascii="Times New Roman" w:hAnsi="Times New Roman" w:eastAsia="仿宋_GB2312"/>
          <w:b w:val="0"/>
          <w:bCs w:val="0"/>
          <w:color w:val="auto"/>
          <w:sz w:val="32"/>
          <w:szCs w:val="32"/>
        </w:rPr>
        <w:t>、来宾</w:t>
      </w:r>
      <w:r>
        <w:rPr>
          <w:rFonts w:hint="eastAsia" w:ascii="Times New Roman" w:hAnsi="Times New Roman" w:eastAsia="仿宋_GB2312"/>
          <w:b w:val="0"/>
          <w:bCs w:val="0"/>
          <w:color w:val="auto"/>
          <w:sz w:val="32"/>
          <w:szCs w:val="32"/>
          <w:lang w:val="en-US" w:eastAsia="zh-CN"/>
        </w:rPr>
        <w:t>145</w:t>
      </w:r>
      <w:r>
        <w:rPr>
          <w:rFonts w:hint="eastAsia" w:ascii="Times New Roman" w:hAnsi="Times New Roman" w:eastAsia="仿宋_GB2312"/>
          <w:b w:val="0"/>
          <w:bCs w:val="0"/>
          <w:color w:val="auto"/>
          <w:sz w:val="32"/>
          <w:szCs w:val="32"/>
        </w:rPr>
        <w:t>人次，主要是</w:t>
      </w:r>
      <w:r>
        <w:rPr>
          <w:rFonts w:hint="eastAsia" w:ascii="Times New Roman" w:hAnsi="Times New Roman" w:eastAsia="仿宋_GB2312"/>
          <w:b w:val="0"/>
          <w:bCs w:val="0"/>
          <w:color w:val="auto"/>
          <w:sz w:val="32"/>
          <w:szCs w:val="32"/>
          <w:lang w:eastAsia="zh-CN"/>
        </w:rPr>
        <w:t>省级工作组来市州调研、县（区）来市级汇报工作等</w:t>
      </w:r>
      <w:r>
        <w:rPr>
          <w:rFonts w:hint="eastAsia" w:ascii="Times New Roman" w:hAnsi="Times New Roman" w:eastAsia="仿宋_GB2312"/>
          <w:b w:val="0"/>
          <w:bCs w:val="0"/>
          <w:color w:val="auto"/>
          <w:sz w:val="32"/>
          <w:szCs w:val="32"/>
        </w:rPr>
        <w:t>发生的接待支出。</w:t>
      </w:r>
    </w:p>
    <w:p w14:paraId="1A6E7245">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单位本级</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3859322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5E17A795">
      <w:pPr>
        <w:pStyle w:val="16"/>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2271A72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lang w:val="en-US" w:eastAsia="zh-CN"/>
        </w:rPr>
        <w:t>2024年度本单位无政府性基金收支。</w:t>
      </w:r>
    </w:p>
    <w:p w14:paraId="7BFFB81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14:paraId="326AE79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34.46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比年初预算数减少</w:t>
      </w:r>
      <w:r>
        <w:rPr>
          <w:rFonts w:hint="eastAsia" w:ascii="Times New Roman" w:hAnsi="Times New Roman" w:eastAsia="仿宋_GB2312"/>
          <w:sz w:val="32"/>
          <w:szCs w:val="32"/>
          <w:lang w:val="en-US" w:eastAsia="zh-CN"/>
        </w:rPr>
        <w:t>0.17</w:t>
      </w:r>
      <w:r>
        <w:rPr>
          <w:rFonts w:hint="eastAsia" w:ascii="Times New Roman" w:hAnsi="Times New Roman" w:eastAsia="仿宋_GB2312"/>
          <w:sz w:val="32"/>
          <w:szCs w:val="32"/>
        </w:rPr>
        <w:t>万元，增长降低</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厉行节约。</w:t>
      </w:r>
      <w:r>
        <w:rPr>
          <w:rFonts w:hint="eastAsia" w:ascii="Times New Roman" w:hAnsi="Times New Roman" w:eastAsia="仿宋_GB2312"/>
          <w:sz w:val="32"/>
          <w:szCs w:val="32"/>
          <w:lang w:val="en-US" w:eastAsia="zh-CN"/>
        </w:rPr>
        <w:t xml:space="preserve">       </w:t>
      </w:r>
    </w:p>
    <w:p w14:paraId="25D47FD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630E591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2024</w:t>
      </w:r>
      <w:r>
        <w:rPr>
          <w:rFonts w:hint="eastAsia" w:ascii="Times New Roman" w:hAnsi="Times New Roman" w:eastAsia="仿宋_GB2312"/>
          <w:color w:val="auto"/>
          <w:sz w:val="32"/>
          <w:szCs w:val="32"/>
        </w:rPr>
        <w:t>年本部门开支会议费</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万元，用于召开</w:t>
      </w:r>
      <w:r>
        <w:rPr>
          <w:rFonts w:hint="eastAsia" w:ascii="Times New Roman" w:hAnsi="Times New Roman" w:eastAsia="仿宋_GB2312"/>
          <w:color w:val="auto"/>
          <w:sz w:val="32"/>
          <w:szCs w:val="32"/>
          <w:lang w:eastAsia="zh-CN"/>
        </w:rPr>
        <w:t>县市区史志机构主任</w:t>
      </w:r>
      <w:r>
        <w:rPr>
          <w:rFonts w:hint="eastAsia" w:ascii="Times New Roman" w:hAnsi="Times New Roman" w:eastAsia="仿宋_GB2312"/>
          <w:color w:val="auto"/>
          <w:sz w:val="32"/>
          <w:szCs w:val="32"/>
        </w:rPr>
        <w:t>会</w:t>
      </w:r>
      <w:r>
        <w:rPr>
          <w:rFonts w:hint="eastAsia" w:ascii="Times New Roman" w:hAnsi="Times New Roman" w:eastAsia="仿宋_GB2312"/>
          <w:color w:val="auto"/>
          <w:sz w:val="32"/>
          <w:szCs w:val="32"/>
          <w:lang w:eastAsia="zh-CN"/>
        </w:rPr>
        <w:t>和《永州年鉴</w:t>
      </w:r>
      <w:r>
        <w:rPr>
          <w:rFonts w:hint="eastAsia" w:ascii="Times New Roman" w:hAnsi="Times New Roman" w:eastAsia="仿宋_GB2312"/>
          <w:color w:val="auto"/>
          <w:sz w:val="32"/>
          <w:szCs w:val="32"/>
          <w:lang w:val="en-US" w:eastAsia="zh-CN"/>
        </w:rPr>
        <w:t>2024卷</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评审会</w:t>
      </w:r>
      <w:r>
        <w:rPr>
          <w:rFonts w:hint="eastAsia" w:ascii="Times New Roman" w:hAnsi="Times New Roman" w:eastAsia="仿宋_GB2312"/>
          <w:color w:val="auto"/>
          <w:sz w:val="32"/>
          <w:szCs w:val="32"/>
        </w:rPr>
        <w:t>，人数</w:t>
      </w:r>
      <w:r>
        <w:rPr>
          <w:rFonts w:hint="eastAsia" w:ascii="Times New Roman" w:hAnsi="Times New Roman" w:eastAsia="仿宋_GB2312"/>
          <w:color w:val="auto"/>
          <w:sz w:val="32"/>
          <w:szCs w:val="32"/>
          <w:lang w:val="en-US" w:eastAsia="zh-CN"/>
        </w:rPr>
        <w:t>50</w:t>
      </w:r>
      <w:r>
        <w:rPr>
          <w:rFonts w:hint="eastAsia" w:ascii="Times New Roman" w:hAnsi="Times New Roman" w:eastAsia="仿宋_GB2312"/>
          <w:color w:val="auto"/>
          <w:sz w:val="32"/>
          <w:szCs w:val="32"/>
        </w:rPr>
        <w:t>人，内容为</w:t>
      </w:r>
      <w:r>
        <w:rPr>
          <w:rFonts w:hint="eastAsia" w:ascii="Times New Roman" w:hAnsi="Times New Roman" w:eastAsia="仿宋_GB2312"/>
          <w:color w:val="auto"/>
          <w:sz w:val="32"/>
          <w:szCs w:val="32"/>
          <w:lang w:eastAsia="zh-CN"/>
        </w:rPr>
        <w:t>总结上一年度工作、安排部署本年度工作和对《永州年鉴</w:t>
      </w:r>
      <w:r>
        <w:rPr>
          <w:rFonts w:hint="eastAsia" w:ascii="Times New Roman" w:hAnsi="Times New Roman" w:eastAsia="仿宋_GB2312"/>
          <w:color w:val="auto"/>
          <w:sz w:val="32"/>
          <w:szCs w:val="32"/>
          <w:lang w:val="en-US" w:eastAsia="zh-CN"/>
        </w:rPr>
        <w:t>2024卷</w:t>
      </w:r>
      <w:r>
        <w:rPr>
          <w:rFonts w:hint="eastAsia" w:ascii="Times New Roman" w:hAnsi="Times New Roman" w:eastAsia="仿宋_GB2312"/>
          <w:color w:val="auto"/>
          <w:sz w:val="32"/>
          <w:szCs w:val="32"/>
          <w:lang w:eastAsia="zh-CN"/>
        </w:rPr>
        <w:t>》进行评议审定</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未开展培训活动，</w:t>
      </w:r>
      <w:r>
        <w:rPr>
          <w:rFonts w:hint="eastAsia" w:ascii="Times New Roman" w:hAnsi="Times New Roman" w:eastAsia="仿宋_GB2312"/>
          <w:color w:val="auto"/>
          <w:sz w:val="32"/>
          <w:szCs w:val="32"/>
        </w:rPr>
        <w:t>开支培训费</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未</w:t>
      </w:r>
      <w:r>
        <w:rPr>
          <w:rFonts w:hint="eastAsia" w:ascii="Times New Roman" w:hAnsi="Times New Roman" w:eastAsia="仿宋_GB2312"/>
          <w:color w:val="auto"/>
          <w:sz w:val="32"/>
          <w:szCs w:val="32"/>
        </w:rPr>
        <w:t>举办节庆、晚会、论坛、赛事活动，开支</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p>
    <w:p w14:paraId="6AAC800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十一、关于政府采购支出说明</w:t>
      </w:r>
    </w:p>
    <w:p w14:paraId="759A624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本部门</w:t>
      </w:r>
      <w:r>
        <w:rPr>
          <w:rFonts w:hint="eastAsia" w:ascii="Times New Roman" w:hAnsi="Times New Roman" w:eastAsia="仿宋_GB2312"/>
          <w:color w:val="auto"/>
          <w:sz w:val="32"/>
          <w:szCs w:val="32"/>
          <w:lang w:eastAsia="zh-CN"/>
        </w:rPr>
        <w:t>2024</w:t>
      </w:r>
      <w:r>
        <w:rPr>
          <w:rFonts w:hint="eastAsia" w:ascii="Times New Roman" w:hAnsi="Times New Roman" w:eastAsia="仿宋_GB2312"/>
          <w:color w:val="auto"/>
          <w:sz w:val="32"/>
          <w:szCs w:val="32"/>
        </w:rPr>
        <w:t>年度政府采购支出总额</w:t>
      </w:r>
      <w:r>
        <w:rPr>
          <w:rFonts w:hint="eastAsia" w:ascii="Times New Roman" w:hAnsi="Times New Roman" w:eastAsia="仿宋_GB2312"/>
          <w:color w:val="auto"/>
          <w:sz w:val="32"/>
          <w:szCs w:val="32"/>
          <w:lang w:val="en-US" w:eastAsia="zh-CN"/>
        </w:rPr>
        <w:t>188.72</w:t>
      </w:r>
      <w:r>
        <w:rPr>
          <w:rFonts w:hint="eastAsia" w:ascii="Times New Roman" w:hAnsi="Times New Roman" w:eastAsia="仿宋_GB2312"/>
          <w:color w:val="auto"/>
          <w:sz w:val="32"/>
          <w:szCs w:val="32"/>
        </w:rPr>
        <w:t>万元，其中：政府采购货物支出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万元、政府采购工程支出</w:t>
      </w:r>
      <w:r>
        <w:rPr>
          <w:rFonts w:hint="eastAsia" w:ascii="Times New Roman" w:hAnsi="Times New Roman" w:eastAsia="仿宋_GB2312"/>
          <w:color w:val="auto"/>
          <w:sz w:val="32"/>
          <w:szCs w:val="32"/>
          <w:lang w:val="en-US" w:eastAsia="zh-CN"/>
        </w:rPr>
        <w:t>96</w:t>
      </w:r>
      <w:r>
        <w:rPr>
          <w:rFonts w:hint="eastAsia" w:ascii="Times New Roman" w:hAnsi="Times New Roman" w:eastAsia="仿宋_GB2312"/>
          <w:color w:val="auto"/>
          <w:sz w:val="32"/>
          <w:szCs w:val="32"/>
        </w:rPr>
        <w:t>万元、政府采购服务支出</w:t>
      </w:r>
      <w:r>
        <w:rPr>
          <w:rFonts w:hint="eastAsia" w:ascii="Times New Roman" w:hAnsi="Times New Roman" w:eastAsia="仿宋_GB2312"/>
          <w:color w:val="auto"/>
          <w:sz w:val="32"/>
          <w:szCs w:val="32"/>
          <w:lang w:val="en-US" w:eastAsia="zh-CN"/>
        </w:rPr>
        <w:t>92.72</w:t>
      </w:r>
      <w:r>
        <w:rPr>
          <w:rFonts w:hint="eastAsia" w:ascii="Times New Roman" w:hAnsi="Times New Roman" w:eastAsia="仿宋_GB2312"/>
          <w:color w:val="auto"/>
          <w:sz w:val="32"/>
          <w:szCs w:val="32"/>
        </w:rPr>
        <w:t>万元。授予中小企业合同金额</w:t>
      </w:r>
      <w:r>
        <w:rPr>
          <w:rFonts w:hint="eastAsia" w:ascii="Times New Roman" w:hAnsi="Times New Roman" w:eastAsia="仿宋_GB2312"/>
          <w:color w:val="auto"/>
          <w:sz w:val="32"/>
          <w:szCs w:val="32"/>
          <w:lang w:val="en-US" w:eastAsia="zh-CN"/>
        </w:rPr>
        <w:t>188.72</w:t>
      </w:r>
      <w:r>
        <w:rPr>
          <w:rFonts w:hint="eastAsia" w:ascii="Times New Roman" w:hAnsi="Times New Roman" w:eastAsia="仿宋_GB2312"/>
          <w:color w:val="auto"/>
          <w:sz w:val="32"/>
          <w:szCs w:val="32"/>
        </w:rPr>
        <w:t>万元，占政府采购支出总额的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%，其中：授予小微企业合同金额</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万元，占授予中小企业合同总额的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50.87</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49.13</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 xml:space="preserve">  </w:t>
      </w:r>
    </w:p>
    <w:p w14:paraId="1C5ECE6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14:paraId="2F5862BA">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永州市委党史研究室</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0F74110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lang w:eastAsia="zh-CN"/>
        </w:rPr>
        <w:t>2024</w:t>
      </w:r>
      <w:r>
        <w:rPr>
          <w:rFonts w:hint="eastAsia" w:ascii="黑体" w:hAnsi="黑体" w:eastAsia="黑体" w:cs="黑体"/>
          <w:b w:val="0"/>
          <w:bCs/>
          <w:sz w:val="32"/>
          <w:szCs w:val="32"/>
        </w:rPr>
        <w:t>年度预算绩效情况的说明</w:t>
      </w:r>
    </w:p>
    <w:p w14:paraId="4F46463C">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160.23</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160.23</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674FF576">
      <w:pPr>
        <w:numPr>
          <w:ilvl w:val="0"/>
          <w:numId w:val="0"/>
        </w:numPr>
        <w:autoSpaceDE w:val="0"/>
        <w:autoSpaceDN w:val="0"/>
        <w:adjustRightInd w:val="0"/>
        <w:ind w:firstLine="640" w:firstLineChars="200"/>
        <w:jc w:val="both"/>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287.93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420.38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146</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分。绩效目标完成情况：</w:t>
      </w:r>
      <w:r>
        <w:rPr>
          <w:rFonts w:hint="eastAsia" w:ascii="仿宋_GB2312" w:hAnsi="仿宋_GB2312" w:eastAsia="仿宋_GB2312" w:cs="仿宋_GB2312"/>
          <w:sz w:val="32"/>
          <w:szCs w:val="32"/>
          <w:lang w:val="en-US" w:eastAsia="zh-CN"/>
        </w:rPr>
        <w:t>一是完成《永州年鉴》2024卷编写、审核、印刷出版；二是完成完成《永州市志（1996-2015）》出版印刷合同签订，送出版社二审稿。三是完成《脱贫攻坚口述史（永州卷）》《中共永州市委工作大事记（2023）》编纂。四是做好永州市党史军史陈列馆项目网上验收备案工作。</w:t>
      </w:r>
      <w:r>
        <w:rPr>
          <w:rFonts w:ascii="Times New Roman" w:hAnsi="Times New Roman" w:eastAsia="仿宋_GB2312" w:cs="Times New Roman"/>
          <w:sz w:val="32"/>
          <w:szCs w:val="32"/>
        </w:rPr>
        <w:t>发现的主要问题及原因：</w:t>
      </w:r>
      <w:r>
        <w:rPr>
          <w:rFonts w:hint="eastAsia" w:ascii="仿宋_GB2312" w:hAnsi="仿宋_GB2312" w:eastAsia="仿宋_GB2312" w:cs="仿宋_GB2312"/>
          <w:color w:val="000000"/>
          <w:kern w:val="0"/>
          <w:sz w:val="32"/>
          <w:szCs w:val="32"/>
        </w:rPr>
        <w:t>一是</w:t>
      </w:r>
      <w:r>
        <w:rPr>
          <w:rFonts w:hint="eastAsia" w:ascii="仿宋_GB2312" w:hAnsi="仿宋_GB2312" w:eastAsia="仿宋_GB2312" w:cs="仿宋_GB2312"/>
          <w:color w:val="000000"/>
          <w:kern w:val="0"/>
          <w:sz w:val="32"/>
          <w:szCs w:val="32"/>
          <w:lang w:eastAsia="zh-CN"/>
        </w:rPr>
        <w:t>永州年鉴字数追求精简未达</w:t>
      </w:r>
      <w:r>
        <w:rPr>
          <w:rFonts w:hint="eastAsia" w:ascii="仿宋_GB2312" w:hAnsi="仿宋_GB2312" w:eastAsia="仿宋_GB2312" w:cs="仿宋_GB2312"/>
          <w:color w:val="000000"/>
          <w:kern w:val="0"/>
          <w:sz w:val="32"/>
          <w:szCs w:val="32"/>
          <w:lang w:val="en-US" w:eastAsia="zh-CN"/>
        </w:rPr>
        <w:t>100万字以上</w:t>
      </w:r>
      <w:r>
        <w:rPr>
          <w:rFonts w:hint="eastAsia" w:ascii="仿宋_GB2312" w:hAnsi="仿宋_GB2312" w:eastAsia="仿宋_GB2312" w:cs="仿宋_GB2312"/>
          <w:color w:val="000000"/>
          <w:kern w:val="0"/>
          <w:sz w:val="32"/>
          <w:szCs w:val="32"/>
        </w:rPr>
        <w:t>；二是《</w:t>
      </w:r>
      <w:r>
        <w:rPr>
          <w:rFonts w:hint="eastAsia" w:ascii="仿宋_GB2312" w:hAnsi="仿宋_GB2312" w:eastAsia="仿宋_GB2312" w:cs="仿宋_GB2312"/>
          <w:sz w:val="32"/>
          <w:szCs w:val="32"/>
          <w:lang w:val="en-US" w:eastAsia="zh-CN"/>
        </w:rPr>
        <w:t>脱贫攻坚口述史（永州卷）</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字数追求精简未达</w:t>
      </w:r>
      <w:r>
        <w:rPr>
          <w:rFonts w:hint="eastAsia" w:ascii="仿宋_GB2312" w:hAnsi="仿宋_GB2312" w:eastAsia="仿宋_GB2312" w:cs="仿宋_GB2312"/>
          <w:color w:val="000000"/>
          <w:kern w:val="0"/>
          <w:sz w:val="32"/>
          <w:szCs w:val="32"/>
          <w:lang w:val="en-US" w:eastAsia="zh-CN"/>
        </w:rPr>
        <w:t>50万字以上</w:t>
      </w:r>
      <w:r>
        <w:rPr>
          <w:rFonts w:hint="eastAsia" w:ascii="仿宋_GB2312" w:hAnsi="仿宋_GB2312" w:eastAsia="仿宋_GB2312" w:cs="仿宋_GB2312"/>
          <w:color w:val="000000"/>
          <w:kern w:val="0"/>
          <w:sz w:val="32"/>
          <w:szCs w:val="32"/>
        </w:rPr>
        <w:t>。</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lang w:eastAsia="zh-CN"/>
        </w:rPr>
        <w:t>继续精简永州年鉴字数</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继续精简</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lang w:val="en-US" w:eastAsia="zh-CN"/>
        </w:rPr>
        <w:t>脱贫攻坚口述史（永州卷）</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字数</w:t>
      </w:r>
      <w:r>
        <w:rPr>
          <w:rFonts w:ascii="Times New Roman" w:hAnsi="Times New Roman" w:eastAsia="仿宋_GB2312" w:cs="Times New Roman"/>
          <w:sz w:val="32"/>
          <w:szCs w:val="32"/>
        </w:rPr>
        <w:t>。</w:t>
      </w:r>
    </w:p>
    <w:p w14:paraId="660D097A">
      <w:pPr>
        <w:pStyle w:val="16"/>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7D491291">
      <w:pPr>
        <w:keepNext w:val="0"/>
        <w:keepLines w:val="0"/>
        <w:pageBreakBefore w:val="0"/>
        <w:kinsoku/>
        <w:wordWrap/>
        <w:overflowPunct/>
        <w:topLinePunct w:val="0"/>
        <w:bidi w:val="0"/>
        <w:snapToGrid w:val="0"/>
        <w:spacing w:beforeAutospacing="0" w:afterAutospacing="0" w:line="560" w:lineRule="exact"/>
        <w:ind w:firstLine="640" w:firstLineChars="200"/>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1、本单位财务管理、绩效管理、决算组织、编报、审核情况</w:t>
      </w:r>
    </w:p>
    <w:p w14:paraId="1F62A85E">
      <w:pPr>
        <w:keepNext w:val="0"/>
        <w:keepLines w:val="0"/>
        <w:pageBreakBefore w:val="0"/>
        <w:kinsoku/>
        <w:wordWrap/>
        <w:overflowPunct/>
        <w:topLinePunct w:val="0"/>
        <w:bidi w:val="0"/>
        <w:snapToGrid w:val="0"/>
        <w:spacing w:beforeAutospacing="0" w:afterAutospacing="0" w:line="560" w:lineRule="exact"/>
        <w:ind w:firstLine="640" w:firstLineChars="200"/>
        <w:jc w:val="both"/>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财务管理严格执行财务管理制度，规范财务审批流程；加强财务核算和会计基础工作，确保财务数据真实、准确完整。绩效管理按照绩效管理要求，开展绩效目标编制、绩效监控、绩效评价等工作；加强绩效评价结果分析和应用，推动绩效管理工作深入开展。决算组织、编报、审核成立决算编报工作小组，明确职责分工；组织相关人员参加决算培训，认真学习决算编报要求和软件操作；严格按照决算编报流程，认真审核决算数据，确保决算报表真实、准确、完整。</w:t>
      </w:r>
    </w:p>
    <w:p w14:paraId="2CC850D9">
      <w:pPr>
        <w:keepNext w:val="0"/>
        <w:keepLines w:val="0"/>
        <w:pageBreakBefore w:val="0"/>
        <w:kinsoku/>
        <w:wordWrap/>
        <w:overflowPunct/>
        <w:topLinePunct w:val="0"/>
        <w:bidi w:val="0"/>
        <w:snapToGrid w:val="0"/>
        <w:spacing w:beforeAutospacing="0" w:afterAutospacing="0" w:line="560" w:lineRule="exact"/>
        <w:ind w:firstLine="640" w:firstLineChars="200"/>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2、本单位决算及绩效信息公开工作开展情况</w:t>
      </w:r>
    </w:p>
    <w:p w14:paraId="2471D98D">
      <w:pPr>
        <w:keepNext w:val="0"/>
        <w:keepLines w:val="0"/>
        <w:pageBreakBefore w:val="0"/>
        <w:kinsoku/>
        <w:wordWrap/>
        <w:overflowPunct/>
        <w:topLinePunct w:val="0"/>
        <w:bidi w:val="0"/>
        <w:snapToGrid w:val="0"/>
        <w:spacing w:beforeAutospacing="0" w:afterAutospacing="0" w:line="560" w:lineRule="exact"/>
        <w:ind w:firstLine="640" w:firstLineChars="200"/>
        <w:jc w:val="both"/>
        <w:rPr>
          <w:rFonts w:hint="eastAsia" w:ascii="仿宋_GB2312" w:hAnsi="仿宋_GB2312" w:eastAsia="仿宋_GB2312" w:cs="仿宋_GB2312"/>
          <w:bCs/>
          <w:kern w:val="2"/>
          <w:sz w:val="32"/>
          <w:szCs w:val="32"/>
          <w:lang w:val="en-US" w:eastAsia="zh-CN"/>
        </w:rPr>
      </w:pPr>
      <w:r>
        <w:rPr>
          <w:rFonts w:hint="eastAsia" w:ascii="仿宋_GB2312" w:hAnsi="仿宋_GB2312" w:eastAsia="仿宋_GB2312" w:cs="仿宋_GB2312"/>
          <w:bCs/>
          <w:kern w:val="2"/>
          <w:sz w:val="32"/>
          <w:szCs w:val="32"/>
          <w:lang w:val="en-US" w:eastAsia="zh-CN"/>
        </w:rPr>
        <w:t>决算信息公开按照政府信息公开要求，及时在单位门户网站公开部门决算报表和相关说明，包括收支情况、结转结余情况、三公经费支出情况，接受社会公众监督。</w:t>
      </w:r>
    </w:p>
    <w:p w14:paraId="31572AFB">
      <w:pPr>
        <w:keepNext w:val="0"/>
        <w:keepLines w:val="0"/>
        <w:pageBreakBefore w:val="0"/>
        <w:kinsoku/>
        <w:wordWrap/>
        <w:overflowPunct/>
        <w:topLinePunct w:val="0"/>
        <w:bidi w:val="0"/>
        <w:snapToGrid w:val="0"/>
        <w:spacing w:beforeAutospacing="0" w:afterAutospacing="0" w:line="560" w:lineRule="exact"/>
        <w:ind w:firstLine="640" w:firstLineChars="200"/>
        <w:jc w:val="both"/>
        <w:rPr>
          <w:rFonts w:hint="default" w:ascii="仿宋_GB2312" w:hAnsi="仿宋_GB2312" w:eastAsia="仿宋_GB2312" w:cs="仿宋_GB2312"/>
          <w:bCs/>
          <w:kern w:val="2"/>
          <w:sz w:val="32"/>
          <w:szCs w:val="32"/>
          <w:lang w:val="en-US" w:eastAsia="zh-CN"/>
        </w:rPr>
      </w:pPr>
      <w:r>
        <w:rPr>
          <w:rFonts w:hint="eastAsia" w:ascii="仿宋_GB2312" w:hAnsi="仿宋_GB2312" w:eastAsia="仿宋_GB2312" w:cs="仿宋_GB2312"/>
          <w:bCs/>
          <w:kern w:val="2"/>
          <w:sz w:val="32"/>
          <w:szCs w:val="32"/>
          <w:lang w:val="en-US" w:eastAsia="zh-CN"/>
        </w:rPr>
        <w:t>绩效信息公开将绩效评价结果与决算信息公开相结合，公开项目绩效目标完成情况、绩效评价结果等信息，提高绩效信息透明度。</w:t>
      </w:r>
    </w:p>
    <w:p w14:paraId="1DE792A1">
      <w:pPr>
        <w:pStyle w:val="16"/>
        <w:jc w:val="center"/>
        <w:rPr>
          <w:rFonts w:ascii="Times New Roman" w:hAnsi="Times New Roman" w:cs="Times New Roman"/>
          <w:sz w:val="72"/>
          <w:szCs w:val="72"/>
        </w:rPr>
      </w:pPr>
    </w:p>
    <w:p w14:paraId="3ED7843B">
      <w:pPr>
        <w:pStyle w:val="16"/>
        <w:jc w:val="center"/>
        <w:rPr>
          <w:sz w:val="72"/>
          <w:szCs w:val="72"/>
        </w:rPr>
      </w:pPr>
    </w:p>
    <w:p w14:paraId="4F0A4A5F">
      <w:pPr>
        <w:pStyle w:val="16"/>
        <w:jc w:val="center"/>
        <w:rPr>
          <w:rFonts w:hint="eastAsia" w:ascii="方正小标宋_GBK" w:hAnsi="方正小标宋_GBK" w:eastAsia="方正小标宋_GBK" w:cs="方正小标宋_GBK"/>
          <w:sz w:val="72"/>
          <w:szCs w:val="72"/>
        </w:rPr>
      </w:pPr>
    </w:p>
    <w:p w14:paraId="39E77E84">
      <w:pPr>
        <w:pStyle w:val="16"/>
        <w:jc w:val="center"/>
        <w:rPr>
          <w:rFonts w:hint="eastAsia" w:ascii="方正小标宋_GBK" w:hAnsi="方正小标宋_GBK" w:eastAsia="方正小标宋_GBK" w:cs="方正小标宋_GBK"/>
          <w:sz w:val="72"/>
          <w:szCs w:val="72"/>
        </w:rPr>
      </w:pPr>
    </w:p>
    <w:p w14:paraId="729FAD8B">
      <w:pPr>
        <w:pStyle w:val="16"/>
        <w:jc w:val="center"/>
        <w:rPr>
          <w:rFonts w:hint="eastAsia" w:ascii="方正小标宋_GBK" w:hAnsi="方正小标宋_GBK" w:eastAsia="方正小标宋_GBK" w:cs="方正小标宋_GBK"/>
          <w:sz w:val="72"/>
          <w:szCs w:val="72"/>
        </w:rPr>
      </w:pPr>
    </w:p>
    <w:p w14:paraId="4CF5B711">
      <w:pPr>
        <w:pStyle w:val="16"/>
        <w:jc w:val="center"/>
        <w:rPr>
          <w:rFonts w:hint="eastAsia" w:ascii="方正小标宋_GBK" w:hAnsi="方正小标宋_GBK" w:eastAsia="方正小标宋_GBK" w:cs="方正小标宋_GBK"/>
          <w:sz w:val="72"/>
          <w:szCs w:val="72"/>
        </w:rPr>
      </w:pPr>
    </w:p>
    <w:p w14:paraId="30EC0F11">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76A08FE7">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E934E9E">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123D710A">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财政拨款收入：指财政当年拨付的资金，主要包括一般公共预算财政拨款，政府性基金预算财政拨款，国有资本经营预算财政拨款。</w:t>
      </w:r>
    </w:p>
    <w:p w14:paraId="3D8701A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二、上级补助收入：指事业单位从主管部门和上级单位取得的非财政补助收入。 </w:t>
      </w:r>
    </w:p>
    <w:p w14:paraId="46CF036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三、事业收入：指事业单位开展专业业务活动及辅助活动所取得的收入。 </w:t>
      </w:r>
    </w:p>
    <w:p w14:paraId="364E1E1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四、经营收入：指事业单位在专业业务活动及其辅助活动之外开展非独立核算经营活动取得的收入。 </w:t>
      </w:r>
    </w:p>
    <w:p w14:paraId="6A2278E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五、附属单位上缴收入：指事业单位附属独立核算单位按照有关规定上缴的收入。 </w:t>
      </w:r>
    </w:p>
    <w:p w14:paraId="08A8C76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六、其他收入：指除上述“财政拨款收入”、“事业收入”、“经营收入”等以外的收入。 </w:t>
      </w:r>
    </w:p>
    <w:p w14:paraId="2FDCFFC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七、基本支出：指为保障机构正常运转、完成日常工作任务而发生的各项支出，包括人员支出和公用支出。  </w:t>
      </w:r>
    </w:p>
    <w:p w14:paraId="79E0C63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八、项目支出：指在基本支出以外为完成相关行政任务和事业发展目标所发生的各项支出。  </w:t>
      </w:r>
    </w:p>
    <w:p w14:paraId="71E5609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九、“三公”经费：指通过财政拨款资金安排的因公出国（境）费、公务用车购置及运行费和公务接待费支出。  </w:t>
      </w:r>
    </w:p>
    <w:p w14:paraId="05DF370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51199D2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0D4A0B8D">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05C1951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0B3C232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1FB5804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6A042DC2">
      <w:pPr>
        <w:pStyle w:val="16"/>
        <w:jc w:val="center"/>
        <w:rPr>
          <w:rFonts w:hint="eastAsia" w:ascii="方正小标宋_GBK" w:hAnsi="方正小标宋_GBK" w:eastAsia="方正小标宋_GBK" w:cs="方正小标宋_GBK"/>
          <w:sz w:val="72"/>
          <w:szCs w:val="72"/>
        </w:rPr>
      </w:pPr>
    </w:p>
    <w:p w14:paraId="5351E251">
      <w:pPr>
        <w:pStyle w:val="16"/>
        <w:jc w:val="center"/>
        <w:rPr>
          <w:rFonts w:hint="eastAsia" w:ascii="方正小标宋_GBK" w:hAnsi="方正小标宋_GBK" w:eastAsia="方正小标宋_GBK" w:cs="方正小标宋_GBK"/>
          <w:sz w:val="72"/>
          <w:szCs w:val="72"/>
        </w:rPr>
      </w:pPr>
    </w:p>
    <w:p w14:paraId="5ECB0DF8">
      <w:pPr>
        <w:pStyle w:val="16"/>
        <w:jc w:val="center"/>
        <w:rPr>
          <w:rFonts w:hint="eastAsia" w:ascii="方正小标宋_GBK" w:hAnsi="方正小标宋_GBK" w:eastAsia="方正小标宋_GBK" w:cs="方正小标宋_GBK"/>
          <w:sz w:val="72"/>
          <w:szCs w:val="72"/>
        </w:rPr>
      </w:pPr>
    </w:p>
    <w:p w14:paraId="3E0119A1">
      <w:pPr>
        <w:pStyle w:val="16"/>
        <w:jc w:val="center"/>
        <w:rPr>
          <w:rFonts w:hint="eastAsia" w:ascii="方正小标宋_GBK" w:hAnsi="方正小标宋_GBK" w:eastAsia="方正小标宋_GBK" w:cs="方正小标宋_GBK"/>
          <w:sz w:val="72"/>
          <w:szCs w:val="72"/>
        </w:rPr>
      </w:pPr>
    </w:p>
    <w:p w14:paraId="49B138D3">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479161FF">
      <w:pPr>
        <w:pStyle w:val="16"/>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070E05DE">
      <w:pPr>
        <w:pStyle w:val="16"/>
        <w:jc w:val="center"/>
        <w:rPr>
          <w:rFonts w:hint="eastAsia" w:ascii="方正小标宋_GBK" w:hAnsi="方正小标宋_GBK" w:eastAsia="方正小标宋_GBK" w:cs="方正小标宋_GBK"/>
          <w:sz w:val="70"/>
          <w:szCs w:val="70"/>
          <w:lang w:eastAsia="zh-CN"/>
        </w:rPr>
      </w:pPr>
    </w:p>
    <w:p w14:paraId="7B3FC0DF">
      <w:pPr>
        <w:pStyle w:val="16"/>
        <w:jc w:val="center"/>
        <w:rPr>
          <w:rFonts w:hint="eastAsia" w:ascii="Times New Roman" w:hAnsi="Times New Roman" w:eastAsia="仿宋_GB2312"/>
          <w:sz w:val="32"/>
          <w:szCs w:val="32"/>
          <w:lang w:val="en-US" w:eastAsia="zh-CN"/>
        </w:rPr>
      </w:pPr>
    </w:p>
    <w:p w14:paraId="31EBA211">
      <w:pPr>
        <w:pStyle w:val="16"/>
        <w:jc w:val="center"/>
        <w:rPr>
          <w:rFonts w:hint="eastAsia" w:ascii="Times New Roman" w:hAnsi="Times New Roman" w:eastAsia="仿宋_GB2312"/>
          <w:sz w:val="32"/>
          <w:szCs w:val="32"/>
          <w:lang w:val="en-US" w:eastAsia="zh-CN"/>
        </w:rPr>
      </w:pPr>
    </w:p>
    <w:p w14:paraId="3ABAAE9B">
      <w:pPr>
        <w:pStyle w:val="16"/>
        <w:jc w:val="center"/>
        <w:rPr>
          <w:rFonts w:hint="eastAsia" w:ascii="Times New Roman" w:hAnsi="Times New Roman" w:eastAsia="仿宋_GB2312"/>
          <w:sz w:val="32"/>
          <w:szCs w:val="32"/>
          <w:lang w:val="en-US" w:eastAsia="zh-CN"/>
        </w:rPr>
      </w:pPr>
    </w:p>
    <w:p w14:paraId="4549A718">
      <w:pPr>
        <w:pStyle w:val="16"/>
        <w:jc w:val="center"/>
        <w:rPr>
          <w:rFonts w:hint="eastAsia" w:ascii="Times New Roman" w:hAnsi="Times New Roman" w:eastAsia="仿宋_GB2312"/>
          <w:sz w:val="32"/>
          <w:szCs w:val="32"/>
          <w:lang w:val="en-US" w:eastAsia="zh-CN"/>
        </w:rPr>
      </w:pPr>
    </w:p>
    <w:p w14:paraId="0B45FF50">
      <w:pPr>
        <w:pStyle w:val="16"/>
        <w:jc w:val="center"/>
        <w:rPr>
          <w:rFonts w:hint="eastAsia" w:ascii="Times New Roman" w:hAnsi="Times New Roman" w:eastAsia="仿宋_GB2312"/>
          <w:sz w:val="32"/>
          <w:szCs w:val="32"/>
          <w:lang w:val="en-US" w:eastAsia="zh-CN"/>
        </w:rPr>
      </w:pPr>
    </w:p>
    <w:p w14:paraId="3B032A20">
      <w:pPr>
        <w:pStyle w:val="16"/>
        <w:jc w:val="center"/>
        <w:rPr>
          <w:rFonts w:hint="eastAsia" w:ascii="Times New Roman" w:hAnsi="Times New Roman" w:eastAsia="仿宋_GB2312"/>
          <w:sz w:val="32"/>
          <w:szCs w:val="32"/>
          <w:lang w:val="en-US" w:eastAsia="zh-CN"/>
        </w:rPr>
      </w:pPr>
    </w:p>
    <w:p w14:paraId="7B346C58">
      <w:pPr>
        <w:pStyle w:val="16"/>
        <w:jc w:val="center"/>
        <w:rPr>
          <w:rFonts w:hint="eastAsia" w:ascii="Times New Roman" w:hAnsi="Times New Roman" w:eastAsia="仿宋_GB2312"/>
          <w:sz w:val="32"/>
          <w:szCs w:val="32"/>
          <w:lang w:val="en-US" w:eastAsia="zh-CN"/>
        </w:rPr>
      </w:pPr>
    </w:p>
    <w:p w14:paraId="0A40E230">
      <w:pPr>
        <w:pStyle w:val="16"/>
        <w:jc w:val="center"/>
        <w:rPr>
          <w:rFonts w:hint="eastAsia" w:ascii="Times New Roman" w:hAnsi="Times New Roman" w:eastAsia="仿宋_GB2312"/>
          <w:sz w:val="32"/>
          <w:szCs w:val="32"/>
          <w:lang w:val="en-US" w:eastAsia="zh-CN"/>
        </w:rPr>
      </w:pPr>
    </w:p>
    <w:p w14:paraId="706D3D17">
      <w:pPr>
        <w:pStyle w:val="16"/>
        <w:jc w:val="center"/>
        <w:rPr>
          <w:rFonts w:hint="eastAsia" w:ascii="Times New Roman" w:hAnsi="Times New Roman" w:eastAsia="仿宋_GB2312"/>
          <w:sz w:val="32"/>
          <w:szCs w:val="32"/>
          <w:lang w:val="en-US" w:eastAsia="zh-CN"/>
        </w:rPr>
      </w:pPr>
    </w:p>
    <w:p w14:paraId="60D9EBA9">
      <w:pPr>
        <w:pStyle w:val="16"/>
        <w:jc w:val="center"/>
        <w:rPr>
          <w:rFonts w:hint="eastAsia" w:ascii="Times New Roman" w:hAnsi="Times New Roman" w:eastAsia="仿宋_GB2312"/>
          <w:sz w:val="32"/>
          <w:szCs w:val="32"/>
          <w:lang w:val="en-US" w:eastAsia="zh-CN"/>
        </w:rPr>
      </w:pPr>
    </w:p>
    <w:p w14:paraId="3948C67F">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pacing w:val="-20"/>
          <w:sz w:val="44"/>
          <w:szCs w:val="44"/>
        </w:rPr>
        <w:t>永州</w:t>
      </w:r>
      <w:r>
        <w:rPr>
          <w:rFonts w:hint="eastAsia" w:ascii="方正小标宋简体" w:hAnsi="方正小标宋简体" w:eastAsia="方正小标宋简体" w:cs="方正小标宋简体"/>
          <w:spacing w:val="-20"/>
          <w:sz w:val="44"/>
          <w:szCs w:val="44"/>
          <w:lang w:eastAsia="zh-CN"/>
        </w:rPr>
        <w:t>市委党史研究室</w:t>
      </w:r>
      <w:r>
        <w:rPr>
          <w:rFonts w:hint="eastAsia" w:ascii="方正小标宋简体" w:hAnsi="方正小标宋简体" w:eastAsia="方正小标宋简体" w:cs="方正小标宋简体"/>
          <w:sz w:val="44"/>
          <w:szCs w:val="44"/>
        </w:rPr>
        <w:t>整体支出</w:t>
      </w:r>
    </w:p>
    <w:p w14:paraId="16B2240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3223836A">
      <w:pPr>
        <w:keepNext w:val="0"/>
        <w:keepLines w:val="0"/>
        <w:pageBreakBefore w:val="0"/>
        <w:kinsoku/>
        <w:wordWrap/>
        <w:overflowPunct/>
        <w:topLinePunct w:val="0"/>
        <w:autoSpaceDE/>
        <w:autoSpaceDN/>
        <w:bidi w:val="0"/>
        <w:spacing w:line="540" w:lineRule="exact"/>
        <w:ind w:left="0" w:leftChars="0" w:firstLine="640" w:firstLineChars="200"/>
        <w:rPr>
          <w:rFonts w:ascii="黑体" w:hAnsi="黑体" w:eastAsia="黑体" w:cs="黑体"/>
          <w:bCs/>
          <w:sz w:val="32"/>
          <w:szCs w:val="32"/>
        </w:rPr>
      </w:pPr>
      <w:r>
        <w:rPr>
          <w:rFonts w:hint="eastAsia" w:ascii="黑体" w:hAnsi="黑体" w:eastAsia="黑体" w:cs="黑体"/>
          <w:bCs/>
          <w:sz w:val="32"/>
          <w:szCs w:val="32"/>
        </w:rPr>
        <w:t>一、部门（单位）基本概况</w:t>
      </w:r>
    </w:p>
    <w:p w14:paraId="1BEE8D6A">
      <w:pPr>
        <w:keepNext w:val="0"/>
        <w:keepLines w:val="0"/>
        <w:pageBreakBefore w:val="0"/>
        <w:kinsoku/>
        <w:wordWrap/>
        <w:overflowPunct/>
        <w:topLinePunct w:val="0"/>
        <w:autoSpaceDE/>
        <w:autoSpaceDN/>
        <w:bidi w:val="0"/>
        <w:spacing w:line="54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（一）基本情况</w:t>
      </w:r>
    </w:p>
    <w:p w14:paraId="227D8C2B">
      <w:pPr>
        <w:keepNext w:val="0"/>
        <w:keepLines w:val="0"/>
        <w:pageBreakBefore w:val="0"/>
        <w:kinsoku/>
        <w:wordWrap/>
        <w:overflowPunct/>
        <w:topLinePunct w:val="0"/>
        <w:autoSpaceDE/>
        <w:autoSpaceDN/>
        <w:bidi w:val="0"/>
        <w:spacing w:line="54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1、职能职责</w:t>
      </w:r>
    </w:p>
    <w:p w14:paraId="3230383C">
      <w:pPr>
        <w:keepNext w:val="0"/>
        <w:keepLines w:val="0"/>
        <w:pageBreakBefore w:val="0"/>
        <w:kinsoku/>
        <w:wordWrap/>
        <w:overflowPunct/>
        <w:topLinePunct w:val="0"/>
        <w:autoSpaceDE/>
        <w:autoSpaceDN/>
        <w:bidi w:val="0"/>
        <w:adjustRightInd w:val="0"/>
        <w:snapToGrid w:val="0"/>
        <w:spacing w:line="54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sz w:val="32"/>
          <w:szCs w:val="32"/>
          <w:lang w:val="en-US" w:eastAsia="zh-CN"/>
        </w:rPr>
        <w:t>（1）</w:t>
      </w:r>
      <w:r>
        <w:rPr>
          <w:rFonts w:hint="eastAsia" w:ascii="仿宋_GB2312" w:hAnsi="宋体" w:eastAsia="仿宋_GB2312"/>
          <w:sz w:val="32"/>
          <w:szCs w:val="32"/>
        </w:rPr>
        <w:t>拟定全市党史研究和地方志编修工作规划。</w:t>
      </w:r>
    </w:p>
    <w:p w14:paraId="63F17FDA">
      <w:pPr>
        <w:keepNext w:val="0"/>
        <w:keepLines w:val="0"/>
        <w:pageBreakBefore w:val="0"/>
        <w:kinsoku/>
        <w:wordWrap/>
        <w:overflowPunct/>
        <w:topLinePunct w:val="0"/>
        <w:autoSpaceDE/>
        <w:autoSpaceDN/>
        <w:bidi w:val="0"/>
        <w:snapToGrid w:val="0"/>
        <w:spacing w:line="540" w:lineRule="exact"/>
        <w:ind w:left="0" w:leftChars="0" w:firstLine="640" w:firstLineChars="200"/>
        <w:rPr>
          <w:rFonts w:hint="eastAsia" w:ascii="仿宋_GB2312" w:hAnsi="宋体" w:eastAsia="仿宋_GB2312"/>
          <w:sz w:val="32"/>
          <w:szCs w:val="32"/>
          <w:lang w:eastAsia="zh-CN"/>
        </w:rPr>
      </w:pP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rPr>
        <w:t>征集、整理、研究中共永州地方史资料，总结历史经验，提供历史借鉴；编写永州地方党史、党史大事记、组织史;编纂出版党史书刊，老同志回忆录；编写主要党史人物传记</w:t>
      </w:r>
      <w:r>
        <w:rPr>
          <w:rFonts w:hint="eastAsia" w:ascii="仿宋_GB2312" w:hAnsi="宋体" w:eastAsia="仿宋_GB2312" w:cs="Times New Roman"/>
          <w:sz w:val="32"/>
          <w:szCs w:val="32"/>
          <w:lang w:eastAsia="zh-CN"/>
        </w:rPr>
        <w:t>。</w:t>
      </w:r>
      <w:r>
        <w:rPr>
          <w:rFonts w:hint="eastAsia" w:ascii="仿宋_GB2312" w:hAnsi="宋体" w:eastAsia="仿宋_GB2312"/>
          <w:sz w:val="32"/>
          <w:szCs w:val="32"/>
        </w:rPr>
        <w:br w:type="textWrapping"/>
      </w:r>
      <w:r>
        <w:rPr>
          <w:rFonts w:hint="eastAsia" w:ascii="仿宋_GB2312" w:hAnsi="宋体" w:eastAsia="仿宋_GB2312"/>
          <w:sz w:val="32"/>
          <w:szCs w:val="32"/>
          <w:lang w:val="en-US" w:eastAsia="zh-CN"/>
        </w:rPr>
        <w:t xml:space="preserve">    </w:t>
      </w:r>
      <w:r>
        <w:rPr>
          <w:rFonts w:hint="eastAsia" w:ascii="仿宋_GB2312" w:hAnsi="宋体" w:eastAsia="仿宋_GB2312" w:cs="Times New Roman"/>
          <w:sz w:val="32"/>
          <w:szCs w:val="32"/>
          <w:lang w:val="en-US" w:eastAsia="zh-CN"/>
        </w:rPr>
        <w:t>（3）</w:t>
      </w:r>
      <w:r>
        <w:rPr>
          <w:rFonts w:hint="eastAsia" w:ascii="仿宋_GB2312" w:hAnsi="宋体" w:eastAsia="仿宋_GB2312"/>
          <w:sz w:val="32"/>
          <w:szCs w:val="32"/>
        </w:rPr>
        <w:t>运用党史、地方志资料和党史、地方志研究成果，开展各种形式的党史</w:t>
      </w:r>
      <w:r>
        <w:rPr>
          <w:rFonts w:hint="eastAsia" w:ascii="仿宋_GB2312" w:hAnsi="宋体" w:eastAsia="仿宋_GB2312"/>
          <w:sz w:val="32"/>
          <w:szCs w:val="32"/>
          <w:lang w:eastAsia="zh-CN"/>
        </w:rPr>
        <w:t>、</w:t>
      </w:r>
      <w:r>
        <w:rPr>
          <w:rFonts w:hint="eastAsia" w:ascii="仿宋_GB2312" w:hAnsi="宋体" w:eastAsia="仿宋_GB2312"/>
          <w:sz w:val="32"/>
          <w:szCs w:val="32"/>
        </w:rPr>
        <w:t>地情宣传教育，努力发挥党史存史资政育人和地方志存史、资治、教化的社会功能；参与重大党史事件、重要党史人物纪念活动</w:t>
      </w:r>
      <w:r>
        <w:rPr>
          <w:rFonts w:hint="eastAsia" w:ascii="仿宋_GB2312" w:hAnsi="宋体" w:eastAsia="仿宋_GB2312"/>
          <w:sz w:val="32"/>
          <w:szCs w:val="32"/>
          <w:lang w:eastAsia="zh-CN"/>
        </w:rPr>
        <w:t>。</w:t>
      </w:r>
      <w:r>
        <w:rPr>
          <w:rFonts w:hint="eastAsia" w:ascii="仿宋_GB2312" w:hAnsi="宋体" w:eastAsia="仿宋_GB2312"/>
          <w:sz w:val="32"/>
          <w:szCs w:val="32"/>
        </w:rPr>
        <w:br w:type="textWrapping"/>
      </w: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r>
        <w:rPr>
          <w:rFonts w:hint="eastAsia" w:ascii="仿宋_GB2312" w:hAnsi="宋体" w:eastAsia="仿宋_GB2312" w:cs="Times New Roman"/>
          <w:sz w:val="32"/>
          <w:szCs w:val="32"/>
          <w:lang w:val="en-US" w:eastAsia="zh-CN"/>
        </w:rPr>
        <w:t>（4）</w:t>
      </w:r>
      <w:r>
        <w:rPr>
          <w:rFonts w:hint="eastAsia" w:ascii="仿宋_GB2312" w:hAnsi="宋体" w:eastAsia="仿宋_GB2312"/>
          <w:sz w:val="32"/>
          <w:szCs w:val="32"/>
        </w:rPr>
        <w:t>承担全市党史联络工作，指导县(区)党史</w:t>
      </w:r>
      <w:r>
        <w:rPr>
          <w:rFonts w:hint="eastAsia" w:ascii="仿宋_GB2312" w:hAnsi="宋体" w:eastAsia="仿宋_GB2312"/>
          <w:sz w:val="32"/>
          <w:szCs w:val="32"/>
          <w:lang w:eastAsia="zh-CN"/>
        </w:rPr>
        <w:t>、</w:t>
      </w:r>
      <w:r>
        <w:rPr>
          <w:rFonts w:hint="eastAsia" w:ascii="仿宋_GB2312" w:hAnsi="宋体" w:eastAsia="仿宋_GB2312"/>
          <w:sz w:val="32"/>
          <w:szCs w:val="32"/>
        </w:rPr>
        <w:t>地方志部门的业务工作，审核党史专题、党史书籍，组织对各县(区)志、各部门专业志稿的评审、验收、出版、评奖；承担市党史联络组的日常事务性工作，为离退休老同志做好党史提供服务。</w:t>
      </w:r>
      <w:r>
        <w:rPr>
          <w:rFonts w:hint="eastAsia" w:ascii="仿宋_GB2312" w:hAnsi="宋体" w:eastAsia="仿宋_GB2312"/>
          <w:sz w:val="32"/>
          <w:szCs w:val="32"/>
        </w:rPr>
        <w:br w:type="textWrapping"/>
      </w: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r>
        <w:rPr>
          <w:rFonts w:hint="eastAsia" w:ascii="仿宋_GB2312" w:hAnsi="宋体" w:eastAsia="仿宋_GB2312" w:cs="Times New Roman"/>
          <w:sz w:val="32"/>
          <w:szCs w:val="32"/>
          <w:lang w:val="en-US" w:eastAsia="zh-CN"/>
        </w:rPr>
        <w:t>（5）</w:t>
      </w:r>
      <w:r>
        <w:rPr>
          <w:rFonts w:hint="eastAsia" w:ascii="仿宋_GB2312" w:hAnsi="宋体" w:eastAsia="仿宋_GB2312"/>
          <w:sz w:val="32"/>
          <w:szCs w:val="32"/>
        </w:rPr>
        <w:t>负责组织编修《永州市志》、部门志、专业志及市志简志工作。</w:t>
      </w:r>
      <w:r>
        <w:rPr>
          <w:rFonts w:hint="eastAsia" w:ascii="仿宋_GB2312" w:hAnsi="宋体" w:eastAsia="仿宋_GB2312"/>
          <w:sz w:val="32"/>
          <w:szCs w:val="32"/>
        </w:rPr>
        <w:br w:type="textWrapping"/>
      </w: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r>
        <w:rPr>
          <w:rFonts w:hint="eastAsia" w:ascii="仿宋_GB2312" w:hAnsi="宋体" w:eastAsia="仿宋_GB2312" w:cs="Times New Roman"/>
          <w:sz w:val="32"/>
          <w:szCs w:val="32"/>
          <w:lang w:val="en-US" w:eastAsia="zh-CN"/>
        </w:rPr>
        <w:t>（6）</w:t>
      </w:r>
      <w:r>
        <w:rPr>
          <w:rFonts w:hint="eastAsia" w:ascii="仿宋_GB2312" w:hAnsi="宋体" w:eastAsia="仿宋_GB2312"/>
          <w:sz w:val="32"/>
          <w:szCs w:val="32"/>
        </w:rPr>
        <w:t>负责收集、整理、研究永州地方文献和市情资料，编辑出版《永州年鉴》</w:t>
      </w:r>
      <w:r>
        <w:rPr>
          <w:rFonts w:hint="eastAsia" w:ascii="仿宋_GB2312" w:hAnsi="宋体" w:eastAsia="仿宋_GB2312"/>
          <w:sz w:val="32"/>
          <w:szCs w:val="32"/>
          <w:lang w:eastAsia="zh-CN"/>
        </w:rPr>
        <w:t>。</w:t>
      </w:r>
    </w:p>
    <w:p w14:paraId="33D32389">
      <w:pPr>
        <w:keepNext w:val="0"/>
        <w:keepLines w:val="0"/>
        <w:pageBreakBefore w:val="0"/>
        <w:kinsoku/>
        <w:wordWrap/>
        <w:overflowPunct/>
        <w:topLinePunct w:val="0"/>
        <w:autoSpaceDE/>
        <w:autoSpaceDN/>
        <w:bidi w:val="0"/>
        <w:spacing w:line="54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sz w:val="32"/>
          <w:szCs w:val="32"/>
          <w:lang w:val="en-US" w:eastAsia="zh-CN"/>
        </w:rPr>
        <w:t>（7）</w:t>
      </w:r>
      <w:r>
        <w:rPr>
          <w:rFonts w:hint="eastAsia" w:ascii="仿宋_GB2312" w:hAnsi="宋体" w:eastAsia="仿宋_GB2312"/>
          <w:sz w:val="32"/>
          <w:szCs w:val="32"/>
        </w:rPr>
        <w:t>承办市委，市人民政府交办的其他事项。</w:t>
      </w:r>
    </w:p>
    <w:p w14:paraId="3DABD452">
      <w:pPr>
        <w:keepNext w:val="0"/>
        <w:keepLines w:val="0"/>
        <w:pageBreakBefore w:val="0"/>
        <w:kinsoku/>
        <w:wordWrap/>
        <w:overflowPunct/>
        <w:topLinePunct w:val="0"/>
        <w:autoSpaceDE/>
        <w:autoSpaceDN/>
        <w:bidi w:val="0"/>
        <w:spacing w:line="54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2、机构设置</w:t>
      </w:r>
    </w:p>
    <w:p w14:paraId="4051395B">
      <w:pPr>
        <w:keepNext w:val="0"/>
        <w:keepLines w:val="0"/>
        <w:pageBreakBefore w:val="0"/>
        <w:widowControl/>
        <w:kinsoku/>
        <w:wordWrap/>
        <w:overflowPunct/>
        <w:topLinePunct w:val="0"/>
        <w:autoSpaceDE/>
        <w:autoSpaceDN/>
        <w:bidi w:val="0"/>
        <w:spacing w:line="540" w:lineRule="exact"/>
        <w:ind w:left="0" w:leftChars="0" w:firstLine="640" w:firstLineChars="200"/>
        <w:jc w:val="both"/>
        <w:rPr>
          <w:rFonts w:hint="eastAsia" w:ascii="仿宋_GB2312" w:hAnsi="宋体" w:eastAsia="仿宋_GB2312" w:cs="Times New Roman"/>
          <w:sz w:val="32"/>
          <w:szCs w:val="32"/>
          <w:u w:val="none"/>
          <w:lang w:val="en-US" w:eastAsia="zh-CN"/>
        </w:rPr>
      </w:pPr>
      <w:r>
        <w:rPr>
          <w:rFonts w:hint="eastAsia" w:ascii="Times New Roman" w:hAnsi="Times New Roman" w:eastAsia="仿宋_GB2312" w:cs="Times New Roman"/>
          <w:b w:val="0"/>
          <w:kern w:val="2"/>
          <w:sz w:val="32"/>
          <w:szCs w:val="32"/>
          <w:lang w:val="en-US" w:eastAsia="zh-CN" w:bidi="ar-SA"/>
        </w:rPr>
        <w:t>永州市委党史研究室（永州市地方志编纂室）内设综合部、党史研究部、地方志编纂部、年鉴编纂部、宣教联络部等5个职能机构，核定全额拨款事业单位编制18名。核定主任1名，副主任2名；内设机构领导职数核定部长5名，副部长5名。现有在编人员15名，退休人员</w:t>
      </w:r>
      <w:r>
        <w:rPr>
          <w:rFonts w:hint="eastAsia" w:eastAsia="仿宋_GB2312" w:cs="Times New Roman"/>
          <w:b w:val="0"/>
          <w:kern w:val="2"/>
          <w:sz w:val="32"/>
          <w:szCs w:val="32"/>
          <w:lang w:val="en-US" w:eastAsia="zh-CN" w:bidi="ar-SA"/>
        </w:rPr>
        <w:t>17</w:t>
      </w:r>
      <w:r>
        <w:rPr>
          <w:rFonts w:hint="eastAsia" w:ascii="Times New Roman" w:hAnsi="Times New Roman" w:eastAsia="仿宋_GB2312" w:cs="Times New Roman"/>
          <w:b w:val="0"/>
          <w:kern w:val="2"/>
          <w:sz w:val="32"/>
          <w:szCs w:val="32"/>
          <w:lang w:val="en-US" w:eastAsia="zh-CN" w:bidi="ar-SA"/>
        </w:rPr>
        <w:t>名，其中在职正副处级干部</w:t>
      </w:r>
      <w:r>
        <w:rPr>
          <w:rFonts w:hint="eastAsia" w:eastAsia="仿宋_GB2312" w:cs="Times New Roman"/>
          <w:b w:val="0"/>
          <w:kern w:val="2"/>
          <w:sz w:val="32"/>
          <w:szCs w:val="32"/>
          <w:lang w:val="en-US" w:eastAsia="zh-CN" w:bidi="ar-SA"/>
        </w:rPr>
        <w:t>5</w:t>
      </w:r>
      <w:r>
        <w:rPr>
          <w:rFonts w:hint="eastAsia" w:ascii="Times New Roman" w:hAnsi="Times New Roman" w:eastAsia="仿宋_GB2312" w:cs="Times New Roman"/>
          <w:b w:val="0"/>
          <w:kern w:val="2"/>
          <w:sz w:val="32"/>
          <w:szCs w:val="32"/>
          <w:lang w:val="en-US" w:eastAsia="zh-CN" w:bidi="ar-SA"/>
        </w:rPr>
        <w:t>名，正副科级干部</w:t>
      </w:r>
      <w:r>
        <w:rPr>
          <w:rFonts w:hint="eastAsia" w:eastAsia="仿宋_GB2312" w:cs="Times New Roman"/>
          <w:b w:val="0"/>
          <w:kern w:val="2"/>
          <w:sz w:val="32"/>
          <w:szCs w:val="32"/>
          <w:lang w:val="en-US" w:eastAsia="zh-CN" w:bidi="ar-SA"/>
        </w:rPr>
        <w:t>9</w:t>
      </w:r>
      <w:r>
        <w:rPr>
          <w:rFonts w:hint="eastAsia" w:ascii="Times New Roman" w:hAnsi="Times New Roman" w:eastAsia="仿宋_GB2312" w:cs="Times New Roman"/>
          <w:b w:val="0"/>
          <w:kern w:val="2"/>
          <w:sz w:val="32"/>
          <w:szCs w:val="32"/>
          <w:lang w:val="en-US" w:eastAsia="zh-CN" w:bidi="ar-SA"/>
        </w:rPr>
        <w:t>名，工勤人员1名。202</w:t>
      </w:r>
      <w:r>
        <w:rPr>
          <w:rFonts w:hint="eastAsia" w:eastAsia="仿宋_GB2312" w:cs="Times New Roman"/>
          <w:b w:val="0"/>
          <w:kern w:val="2"/>
          <w:sz w:val="32"/>
          <w:szCs w:val="32"/>
          <w:lang w:val="en-US" w:eastAsia="zh-CN" w:bidi="ar-SA"/>
        </w:rPr>
        <w:t>4</w:t>
      </w:r>
      <w:r>
        <w:rPr>
          <w:rFonts w:hint="eastAsia" w:ascii="Times New Roman" w:hAnsi="Times New Roman" w:eastAsia="仿宋_GB2312" w:cs="Times New Roman"/>
          <w:b w:val="0"/>
          <w:kern w:val="2"/>
          <w:sz w:val="32"/>
          <w:szCs w:val="32"/>
          <w:lang w:val="en-US" w:eastAsia="zh-CN" w:bidi="ar-SA"/>
        </w:rPr>
        <w:t>年本单位保留0辆车的编制，现有一般公务用车0辆。</w:t>
      </w:r>
    </w:p>
    <w:p w14:paraId="03C8BB4C">
      <w:pPr>
        <w:keepNext w:val="0"/>
        <w:keepLines w:val="0"/>
        <w:pageBreakBefore w:val="0"/>
        <w:kinsoku/>
        <w:wordWrap/>
        <w:overflowPunct/>
        <w:topLinePunct w:val="0"/>
        <w:autoSpaceDE/>
        <w:autoSpaceDN/>
        <w:bidi w:val="0"/>
        <w:spacing w:line="540" w:lineRule="exact"/>
        <w:ind w:left="0" w:leftChars="0"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（二）部门（单位）整体支出</w:t>
      </w:r>
      <w:r>
        <w:rPr>
          <w:rFonts w:hint="eastAsia" w:ascii="仿宋_GB2312" w:hAnsi="仿宋_GB2312" w:eastAsia="仿宋_GB2312" w:cs="仿宋_GB2312"/>
          <w:bCs/>
          <w:sz w:val="32"/>
          <w:szCs w:val="32"/>
          <w:lang w:eastAsia="zh-CN"/>
        </w:rPr>
        <w:t>情况</w:t>
      </w:r>
    </w:p>
    <w:p w14:paraId="21263B83">
      <w:pPr>
        <w:keepNext w:val="0"/>
        <w:keepLines w:val="0"/>
        <w:pageBreakBefore w:val="0"/>
        <w:kinsoku/>
        <w:wordWrap/>
        <w:overflowPunct/>
        <w:topLinePunct w:val="0"/>
        <w:autoSpaceDE/>
        <w:autoSpaceDN/>
        <w:bidi w:val="0"/>
        <w:spacing w:line="540" w:lineRule="exact"/>
        <w:ind w:left="0" w:leftChars="0"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年度本单位财政拨款预算支出</w:t>
      </w:r>
      <w:r>
        <w:rPr>
          <w:rFonts w:hint="eastAsia" w:ascii="仿宋_GB2312" w:hAnsi="仿宋_GB2312" w:eastAsia="仿宋_GB2312" w:cs="仿宋_GB2312"/>
          <w:bCs/>
          <w:sz w:val="32"/>
          <w:szCs w:val="32"/>
          <w:lang w:val="en-US" w:eastAsia="zh-CN"/>
        </w:rPr>
        <w:t>468.02</w:t>
      </w:r>
      <w:r>
        <w:rPr>
          <w:rFonts w:hint="eastAsia" w:ascii="仿宋_GB2312" w:hAnsi="仿宋_GB2312" w:eastAsia="仿宋_GB2312" w:cs="仿宋_GB2312"/>
          <w:bCs/>
          <w:sz w:val="32"/>
          <w:szCs w:val="32"/>
        </w:rPr>
        <w:t>万元，其中：基本支出</w:t>
      </w:r>
      <w:r>
        <w:rPr>
          <w:rFonts w:hint="eastAsia" w:ascii="仿宋_GB2312" w:hAnsi="仿宋_GB2312" w:eastAsia="仿宋_GB2312" w:cs="仿宋_GB2312"/>
          <w:bCs/>
          <w:sz w:val="32"/>
          <w:szCs w:val="32"/>
          <w:lang w:val="en-US" w:eastAsia="zh-CN"/>
        </w:rPr>
        <w:t>291.62</w:t>
      </w:r>
      <w:r>
        <w:rPr>
          <w:rFonts w:hint="eastAsia" w:ascii="仿宋_GB2312" w:hAnsi="仿宋_GB2312" w:eastAsia="仿宋_GB2312" w:cs="仿宋_GB2312"/>
          <w:bCs/>
          <w:sz w:val="32"/>
          <w:szCs w:val="32"/>
        </w:rPr>
        <w:t>万元，包含保障员工工资福利的人员经费</w:t>
      </w:r>
      <w:r>
        <w:rPr>
          <w:rFonts w:hint="eastAsia" w:ascii="仿宋_GB2312" w:hAnsi="仿宋_GB2312" w:eastAsia="仿宋_GB2312" w:cs="仿宋_GB2312"/>
          <w:bCs/>
          <w:sz w:val="32"/>
          <w:szCs w:val="32"/>
          <w:lang w:val="en-US" w:eastAsia="zh-CN"/>
        </w:rPr>
        <w:t>237.22</w:t>
      </w:r>
      <w:r>
        <w:rPr>
          <w:rFonts w:hint="eastAsia" w:ascii="仿宋_GB2312" w:hAnsi="仿宋_GB2312" w:eastAsia="仿宋_GB2312" w:cs="仿宋_GB2312"/>
          <w:bCs/>
          <w:sz w:val="32"/>
          <w:szCs w:val="32"/>
        </w:rPr>
        <w:t>万元和保障单位正常运转的公用经费</w:t>
      </w:r>
      <w:r>
        <w:rPr>
          <w:rFonts w:hint="eastAsia" w:ascii="仿宋_GB2312" w:hAnsi="仿宋_GB2312" w:eastAsia="仿宋_GB2312" w:cs="仿宋_GB2312"/>
          <w:bCs/>
          <w:sz w:val="32"/>
          <w:szCs w:val="32"/>
          <w:lang w:val="en-US" w:eastAsia="zh-CN"/>
        </w:rPr>
        <w:t>54.4</w:t>
      </w:r>
      <w:r>
        <w:rPr>
          <w:rFonts w:hint="eastAsia" w:ascii="仿宋_GB2312" w:hAnsi="仿宋_GB2312" w:eastAsia="仿宋_GB2312" w:cs="仿宋_GB2312"/>
          <w:bCs/>
          <w:sz w:val="32"/>
          <w:szCs w:val="32"/>
        </w:rPr>
        <w:t>万元；专项支出</w:t>
      </w:r>
      <w:r>
        <w:rPr>
          <w:rFonts w:hint="eastAsia" w:ascii="仿宋_GB2312" w:hAnsi="仿宋_GB2312" w:eastAsia="仿宋_GB2312" w:cs="仿宋_GB2312"/>
          <w:bCs/>
          <w:sz w:val="32"/>
          <w:szCs w:val="32"/>
          <w:lang w:val="en-US" w:eastAsia="zh-CN"/>
        </w:rPr>
        <w:t>176.4</w:t>
      </w:r>
      <w:r>
        <w:rPr>
          <w:rFonts w:hint="eastAsia" w:ascii="仿宋_GB2312" w:hAnsi="仿宋_GB2312" w:eastAsia="仿宋_GB2312" w:cs="仿宋_GB2312"/>
          <w:bCs/>
          <w:sz w:val="32"/>
          <w:szCs w:val="32"/>
        </w:rPr>
        <w:t>万元。</w:t>
      </w:r>
    </w:p>
    <w:p w14:paraId="2C6DEDA1">
      <w:pPr>
        <w:keepNext w:val="0"/>
        <w:keepLines w:val="0"/>
        <w:pageBreakBefore w:val="0"/>
        <w:kinsoku/>
        <w:wordWrap/>
        <w:overflowPunct/>
        <w:topLinePunct w:val="0"/>
        <w:autoSpaceDE/>
        <w:autoSpaceDN/>
        <w:bidi w:val="0"/>
        <w:spacing w:line="540" w:lineRule="exact"/>
        <w:ind w:left="0" w:leftChars="0" w:firstLine="640" w:firstLineChars="200"/>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年度本单位实际支出</w:t>
      </w:r>
      <w:r>
        <w:rPr>
          <w:rFonts w:hint="eastAsia" w:ascii="仿宋_GB2312" w:hAnsi="仿宋_GB2312" w:eastAsia="仿宋_GB2312" w:cs="仿宋_GB2312"/>
          <w:bCs/>
          <w:sz w:val="32"/>
          <w:szCs w:val="32"/>
          <w:lang w:val="en-US" w:eastAsia="zh-CN"/>
        </w:rPr>
        <w:t>420.38</w:t>
      </w:r>
      <w:r>
        <w:rPr>
          <w:rFonts w:hint="eastAsia" w:ascii="仿宋_GB2312" w:hAnsi="仿宋_GB2312" w:eastAsia="仿宋_GB2312" w:cs="仿宋_GB2312"/>
          <w:bCs/>
          <w:sz w:val="32"/>
          <w:szCs w:val="32"/>
        </w:rPr>
        <w:t>万元，其中：基本支出</w:t>
      </w:r>
      <w:r>
        <w:rPr>
          <w:rFonts w:hint="eastAsia" w:ascii="仿宋_GB2312" w:hAnsi="仿宋_GB2312" w:eastAsia="仿宋_GB2312" w:cs="仿宋_GB2312"/>
          <w:bCs/>
          <w:sz w:val="32"/>
          <w:szCs w:val="32"/>
          <w:lang w:val="en-US" w:eastAsia="zh-CN"/>
        </w:rPr>
        <w:t>257.65</w:t>
      </w:r>
      <w:r>
        <w:rPr>
          <w:rFonts w:hint="eastAsia" w:ascii="仿宋_GB2312" w:hAnsi="仿宋_GB2312" w:eastAsia="仿宋_GB2312" w:cs="仿宋_GB2312"/>
          <w:bCs/>
          <w:sz w:val="32"/>
          <w:szCs w:val="32"/>
        </w:rPr>
        <w:t>万元，包含保障员工工资福利的人员经费</w:t>
      </w:r>
      <w:r>
        <w:rPr>
          <w:rFonts w:hint="eastAsia" w:ascii="仿宋_GB2312" w:hAnsi="仿宋_GB2312" w:eastAsia="仿宋_GB2312" w:cs="仿宋_GB2312"/>
          <w:bCs/>
          <w:sz w:val="32"/>
          <w:szCs w:val="32"/>
          <w:lang w:val="en-US" w:eastAsia="zh-CN"/>
        </w:rPr>
        <w:t>213.31</w:t>
      </w:r>
      <w:r>
        <w:rPr>
          <w:rFonts w:hint="eastAsia" w:ascii="仿宋_GB2312" w:hAnsi="仿宋_GB2312" w:eastAsia="仿宋_GB2312" w:cs="仿宋_GB2312"/>
          <w:bCs/>
          <w:sz w:val="32"/>
          <w:szCs w:val="32"/>
        </w:rPr>
        <w:t>万元和保障单位正常运转的公用经费</w:t>
      </w:r>
      <w:r>
        <w:rPr>
          <w:rFonts w:hint="eastAsia" w:ascii="仿宋_GB2312" w:hAnsi="仿宋_GB2312" w:eastAsia="仿宋_GB2312" w:cs="仿宋_GB2312"/>
          <w:bCs/>
          <w:sz w:val="32"/>
          <w:szCs w:val="32"/>
          <w:lang w:val="en-US" w:eastAsia="zh-CN"/>
        </w:rPr>
        <w:t>44.34</w:t>
      </w:r>
      <w:r>
        <w:rPr>
          <w:rFonts w:hint="eastAsia" w:ascii="仿宋_GB2312" w:hAnsi="仿宋_GB2312" w:eastAsia="仿宋_GB2312" w:cs="仿宋_GB2312"/>
          <w:bCs/>
          <w:sz w:val="32"/>
          <w:szCs w:val="32"/>
        </w:rPr>
        <w:t>万元；专项支出</w:t>
      </w:r>
      <w:r>
        <w:rPr>
          <w:rFonts w:hint="eastAsia" w:ascii="仿宋_GB2312" w:hAnsi="仿宋_GB2312" w:eastAsia="仿宋_GB2312" w:cs="仿宋_GB2312"/>
          <w:bCs/>
          <w:sz w:val="32"/>
          <w:szCs w:val="32"/>
          <w:lang w:val="en-US" w:eastAsia="zh-CN"/>
        </w:rPr>
        <w:t>162.73</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p>
    <w:p w14:paraId="393E7832">
      <w:pPr>
        <w:keepNext w:val="0"/>
        <w:keepLines w:val="0"/>
        <w:pageBreakBefore w:val="0"/>
        <w:kinsoku/>
        <w:wordWrap/>
        <w:overflowPunct/>
        <w:topLinePunct w:val="0"/>
        <w:autoSpaceDE/>
        <w:autoSpaceDN/>
        <w:bidi w:val="0"/>
        <w:spacing w:line="540" w:lineRule="exact"/>
        <w:ind w:left="0" w:leftChars="0" w:firstLine="640" w:firstLineChars="200"/>
        <w:rPr>
          <w:rFonts w:ascii="黑体" w:hAnsi="黑体" w:eastAsia="黑体" w:cs="黑体"/>
          <w:bCs/>
          <w:sz w:val="32"/>
          <w:szCs w:val="32"/>
        </w:rPr>
      </w:pPr>
      <w:r>
        <w:rPr>
          <w:rFonts w:hint="eastAsia" w:ascii="黑体" w:hAnsi="黑体" w:eastAsia="黑体" w:cs="黑体"/>
          <w:bCs/>
          <w:sz w:val="32"/>
          <w:szCs w:val="32"/>
        </w:rPr>
        <w:t>二、一般公共预算支出情况</w:t>
      </w:r>
    </w:p>
    <w:p w14:paraId="7CE1EE65">
      <w:pPr>
        <w:keepNext w:val="0"/>
        <w:keepLines w:val="0"/>
        <w:pageBreakBefore w:val="0"/>
        <w:kinsoku/>
        <w:wordWrap/>
        <w:overflowPunct/>
        <w:topLinePunct w:val="0"/>
        <w:autoSpaceDE/>
        <w:autoSpaceDN/>
        <w:bidi w:val="0"/>
        <w:spacing w:line="54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（一）基本支出情况</w:t>
      </w:r>
    </w:p>
    <w:p w14:paraId="2CB81CA0">
      <w:pPr>
        <w:keepNext w:val="0"/>
        <w:keepLines w:val="0"/>
        <w:pageBreakBefore w:val="0"/>
        <w:kinsoku/>
        <w:wordWrap/>
        <w:overflowPunct/>
        <w:topLinePunct w:val="0"/>
        <w:autoSpaceDE/>
        <w:autoSpaceDN/>
        <w:bidi w:val="0"/>
        <w:spacing w:line="540" w:lineRule="exact"/>
        <w:ind w:left="0" w:leftChars="0" w:firstLine="640" w:firstLineChars="2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年度本单位基本支出</w:t>
      </w:r>
      <w:r>
        <w:rPr>
          <w:rFonts w:hint="eastAsia" w:ascii="仿宋_GB2312" w:hAnsi="仿宋_GB2312" w:eastAsia="仿宋_GB2312" w:cs="仿宋_GB2312"/>
          <w:bCs/>
          <w:sz w:val="32"/>
          <w:szCs w:val="32"/>
          <w:lang w:val="en-US" w:eastAsia="zh-CN"/>
        </w:rPr>
        <w:t>257.66</w:t>
      </w:r>
      <w:r>
        <w:rPr>
          <w:rFonts w:hint="eastAsia" w:ascii="仿宋_GB2312" w:hAnsi="仿宋_GB2312" w:eastAsia="仿宋_GB2312" w:cs="仿宋_GB2312"/>
          <w:bCs/>
          <w:sz w:val="32"/>
          <w:szCs w:val="32"/>
        </w:rPr>
        <w:t>万元，全部用于保障员工工资福利及保障单位正常运转，其中：工资福利支出</w:t>
      </w:r>
      <w:r>
        <w:rPr>
          <w:rFonts w:hint="eastAsia" w:ascii="仿宋_GB2312" w:hAnsi="仿宋_GB2312" w:eastAsia="仿宋_GB2312" w:cs="仿宋_GB2312"/>
          <w:bCs/>
          <w:sz w:val="32"/>
          <w:szCs w:val="32"/>
          <w:lang w:val="en-US" w:eastAsia="zh-CN"/>
        </w:rPr>
        <w:t>213.31</w:t>
      </w:r>
      <w:r>
        <w:rPr>
          <w:rFonts w:hint="eastAsia" w:ascii="仿宋_GB2312" w:hAnsi="仿宋_GB2312" w:eastAsia="仿宋_GB2312" w:cs="仿宋_GB2312"/>
          <w:bCs/>
          <w:sz w:val="32"/>
          <w:szCs w:val="32"/>
        </w:rPr>
        <w:t>万元，包含基本工资</w:t>
      </w:r>
      <w:r>
        <w:rPr>
          <w:rFonts w:hint="eastAsia" w:ascii="仿宋_GB2312" w:hAnsi="仿宋_GB2312" w:eastAsia="仿宋_GB2312" w:cs="仿宋_GB2312"/>
          <w:bCs/>
          <w:sz w:val="32"/>
          <w:szCs w:val="32"/>
          <w:lang w:val="en-US" w:eastAsia="zh-CN"/>
        </w:rPr>
        <w:t>72.27</w:t>
      </w:r>
      <w:r>
        <w:rPr>
          <w:rFonts w:hint="eastAsia" w:ascii="仿宋_GB2312" w:hAnsi="仿宋_GB2312" w:eastAsia="仿宋_GB2312" w:cs="仿宋_GB2312"/>
          <w:bCs/>
          <w:sz w:val="32"/>
          <w:szCs w:val="32"/>
        </w:rPr>
        <w:t>万元、津贴补贴</w:t>
      </w:r>
      <w:r>
        <w:rPr>
          <w:rFonts w:hint="eastAsia" w:ascii="仿宋_GB2312" w:hAnsi="仿宋_GB2312" w:eastAsia="仿宋_GB2312" w:cs="仿宋_GB2312"/>
          <w:bCs/>
          <w:sz w:val="32"/>
          <w:szCs w:val="32"/>
          <w:lang w:val="en-US" w:eastAsia="zh-CN"/>
        </w:rPr>
        <w:t>39.26</w:t>
      </w:r>
      <w:r>
        <w:rPr>
          <w:rFonts w:hint="eastAsia" w:ascii="仿宋_GB2312" w:hAnsi="仿宋_GB2312" w:eastAsia="仿宋_GB2312" w:cs="仿宋_GB2312"/>
          <w:bCs/>
          <w:sz w:val="32"/>
          <w:szCs w:val="32"/>
        </w:rPr>
        <w:t>万元、奖金</w:t>
      </w:r>
      <w:r>
        <w:rPr>
          <w:rFonts w:hint="eastAsia" w:ascii="仿宋_GB2312" w:hAnsi="仿宋_GB2312" w:eastAsia="仿宋_GB2312" w:cs="仿宋_GB2312"/>
          <w:bCs/>
          <w:sz w:val="32"/>
          <w:szCs w:val="32"/>
          <w:lang w:val="en-US" w:eastAsia="zh-CN"/>
        </w:rPr>
        <w:t>48.64</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基本养老保险缴费</w:t>
      </w:r>
      <w:r>
        <w:rPr>
          <w:rFonts w:hint="eastAsia" w:ascii="仿宋_GB2312" w:hAnsi="仿宋_GB2312" w:eastAsia="仿宋_GB2312" w:cs="仿宋_GB2312"/>
          <w:bCs/>
          <w:sz w:val="32"/>
          <w:szCs w:val="32"/>
          <w:lang w:val="en-US" w:eastAsia="zh-CN"/>
        </w:rPr>
        <w:t>23.85</w:t>
      </w:r>
      <w:r>
        <w:rPr>
          <w:rFonts w:hint="eastAsia" w:ascii="仿宋_GB2312" w:hAnsi="仿宋_GB2312" w:eastAsia="仿宋_GB2312" w:cs="仿宋_GB2312"/>
          <w:bCs/>
          <w:sz w:val="32"/>
          <w:szCs w:val="32"/>
        </w:rPr>
        <w:t>万元、基本医疗保险缴费</w:t>
      </w:r>
      <w:r>
        <w:rPr>
          <w:rFonts w:hint="eastAsia" w:ascii="仿宋_GB2312" w:hAnsi="仿宋_GB2312" w:eastAsia="仿宋_GB2312" w:cs="仿宋_GB2312"/>
          <w:bCs/>
          <w:sz w:val="32"/>
          <w:szCs w:val="32"/>
          <w:lang w:val="en-US" w:eastAsia="zh-CN"/>
        </w:rPr>
        <w:t>9.98</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住房公积金缴费19.31</w:t>
      </w:r>
      <w:r>
        <w:rPr>
          <w:rFonts w:hint="eastAsia" w:ascii="仿宋_GB2312" w:hAnsi="仿宋_GB2312" w:eastAsia="仿宋_GB2312" w:cs="仿宋_GB2312"/>
          <w:bCs/>
          <w:sz w:val="32"/>
          <w:szCs w:val="32"/>
        </w:rPr>
        <w:t>；商品和服务支出</w:t>
      </w:r>
      <w:r>
        <w:rPr>
          <w:rFonts w:hint="eastAsia" w:ascii="仿宋_GB2312" w:hAnsi="仿宋_GB2312" w:eastAsia="仿宋_GB2312" w:cs="仿宋_GB2312"/>
          <w:bCs/>
          <w:sz w:val="32"/>
          <w:szCs w:val="32"/>
          <w:lang w:val="en-US" w:eastAsia="zh-CN"/>
        </w:rPr>
        <w:t>44.35</w:t>
      </w:r>
      <w:r>
        <w:rPr>
          <w:rFonts w:hint="eastAsia" w:ascii="仿宋_GB2312" w:hAnsi="仿宋_GB2312" w:eastAsia="仿宋_GB2312" w:cs="仿宋_GB2312"/>
          <w:bCs/>
          <w:sz w:val="32"/>
          <w:szCs w:val="32"/>
        </w:rPr>
        <w:t>万元，包含办公费</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万元、印刷费</w:t>
      </w:r>
      <w:r>
        <w:rPr>
          <w:rFonts w:hint="eastAsia" w:ascii="仿宋_GB2312" w:hAnsi="仿宋_GB2312" w:eastAsia="仿宋_GB2312" w:cs="仿宋_GB2312"/>
          <w:bCs/>
          <w:sz w:val="32"/>
          <w:szCs w:val="32"/>
          <w:lang w:val="en-US" w:eastAsia="zh-CN"/>
        </w:rPr>
        <w:t>6.5</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电费</w:t>
      </w:r>
      <w:r>
        <w:rPr>
          <w:rFonts w:hint="eastAsia" w:ascii="仿宋_GB2312" w:hAnsi="仿宋_GB2312" w:eastAsia="仿宋_GB2312" w:cs="仿宋_GB2312"/>
          <w:bCs/>
          <w:sz w:val="32"/>
          <w:szCs w:val="32"/>
          <w:lang w:val="en-US" w:eastAsia="zh-CN"/>
        </w:rPr>
        <w:t>1.4</w:t>
      </w:r>
      <w:r>
        <w:rPr>
          <w:rFonts w:hint="eastAsia" w:ascii="仿宋_GB2312" w:hAnsi="仿宋_GB2312" w:eastAsia="仿宋_GB2312" w:cs="仿宋_GB2312"/>
          <w:bCs/>
          <w:sz w:val="32"/>
          <w:szCs w:val="32"/>
        </w:rPr>
        <w:t>万元、邮电费</w:t>
      </w:r>
      <w:r>
        <w:rPr>
          <w:rFonts w:hint="eastAsia" w:ascii="仿宋_GB2312" w:hAnsi="仿宋_GB2312" w:eastAsia="仿宋_GB2312" w:cs="仿宋_GB2312"/>
          <w:bCs/>
          <w:sz w:val="32"/>
          <w:szCs w:val="32"/>
          <w:lang w:val="en-US" w:eastAsia="zh-CN"/>
        </w:rPr>
        <w:t>1.5</w:t>
      </w:r>
      <w:r>
        <w:rPr>
          <w:rFonts w:hint="eastAsia" w:ascii="仿宋_GB2312" w:hAnsi="仿宋_GB2312" w:eastAsia="仿宋_GB2312" w:cs="仿宋_GB2312"/>
          <w:bCs/>
          <w:sz w:val="32"/>
          <w:szCs w:val="32"/>
        </w:rPr>
        <w:t>万元、差旅费</w:t>
      </w:r>
      <w:r>
        <w:rPr>
          <w:rFonts w:hint="eastAsia" w:ascii="仿宋_GB2312" w:hAnsi="仿宋_GB2312" w:eastAsia="仿宋_GB2312" w:cs="仿宋_GB2312"/>
          <w:bCs/>
          <w:sz w:val="32"/>
          <w:szCs w:val="32"/>
          <w:lang w:val="en-US" w:eastAsia="zh-CN"/>
        </w:rPr>
        <w:t>2.5</w:t>
      </w:r>
      <w:r>
        <w:rPr>
          <w:rFonts w:hint="eastAsia" w:ascii="仿宋_GB2312" w:hAnsi="仿宋_GB2312" w:eastAsia="仿宋_GB2312" w:cs="仿宋_GB2312"/>
          <w:bCs/>
          <w:sz w:val="32"/>
          <w:szCs w:val="32"/>
        </w:rPr>
        <w:t>万元、会议费</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公务接待费</w:t>
      </w:r>
      <w:r>
        <w:rPr>
          <w:rFonts w:hint="eastAsia" w:ascii="仿宋_GB2312" w:hAnsi="仿宋_GB2312" w:eastAsia="仿宋_GB2312" w:cs="仿宋_GB2312"/>
          <w:bCs/>
          <w:sz w:val="32"/>
          <w:szCs w:val="32"/>
          <w:lang w:val="en-US" w:eastAsia="zh-CN"/>
        </w:rPr>
        <w:t>1.37</w:t>
      </w:r>
      <w:r>
        <w:rPr>
          <w:rFonts w:hint="eastAsia" w:ascii="仿宋_GB2312" w:hAnsi="仿宋_GB2312" w:eastAsia="仿宋_GB2312" w:cs="仿宋_GB2312"/>
          <w:bCs/>
          <w:sz w:val="32"/>
          <w:szCs w:val="32"/>
        </w:rPr>
        <w:t>万元、工会经费</w:t>
      </w:r>
      <w:r>
        <w:rPr>
          <w:rFonts w:hint="eastAsia" w:ascii="仿宋_GB2312" w:hAnsi="仿宋_GB2312" w:eastAsia="仿宋_GB2312" w:cs="仿宋_GB2312"/>
          <w:bCs/>
          <w:sz w:val="32"/>
          <w:szCs w:val="32"/>
          <w:lang w:val="en-US" w:eastAsia="zh-CN"/>
        </w:rPr>
        <w:t>2.24</w:t>
      </w:r>
      <w:r>
        <w:rPr>
          <w:rFonts w:hint="eastAsia" w:ascii="仿宋_GB2312" w:hAnsi="仿宋_GB2312" w:eastAsia="仿宋_GB2312" w:cs="仿宋_GB2312"/>
          <w:bCs/>
          <w:sz w:val="32"/>
          <w:szCs w:val="32"/>
        </w:rPr>
        <w:t>万元、福利费</w:t>
      </w:r>
      <w:r>
        <w:rPr>
          <w:rFonts w:hint="eastAsia" w:ascii="仿宋_GB2312" w:hAnsi="仿宋_GB2312" w:eastAsia="仿宋_GB2312" w:cs="仿宋_GB2312"/>
          <w:bCs/>
          <w:sz w:val="32"/>
          <w:szCs w:val="32"/>
          <w:lang w:val="en-US" w:eastAsia="zh-CN"/>
        </w:rPr>
        <w:t>9.49</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、其他交通费用14.39万元、</w:t>
      </w:r>
      <w:r>
        <w:rPr>
          <w:rFonts w:hint="eastAsia" w:ascii="仿宋_GB2312" w:hAnsi="仿宋_GB2312" w:eastAsia="仿宋_GB2312" w:cs="仿宋_GB2312"/>
          <w:bCs/>
          <w:sz w:val="32"/>
          <w:szCs w:val="32"/>
        </w:rPr>
        <w:t>其他商品和服务支出</w:t>
      </w:r>
      <w:r>
        <w:rPr>
          <w:rFonts w:hint="eastAsia" w:ascii="仿宋_GB2312" w:hAnsi="仿宋_GB2312" w:eastAsia="仿宋_GB2312" w:cs="仿宋_GB2312"/>
          <w:bCs/>
          <w:sz w:val="32"/>
          <w:szCs w:val="32"/>
          <w:lang w:val="en-US" w:eastAsia="zh-CN"/>
        </w:rPr>
        <w:t>0.96</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p>
    <w:p w14:paraId="639C20D7">
      <w:pPr>
        <w:keepNext w:val="0"/>
        <w:keepLines w:val="0"/>
        <w:pageBreakBefore w:val="0"/>
        <w:kinsoku/>
        <w:wordWrap/>
        <w:overflowPunct/>
        <w:topLinePunct w:val="0"/>
        <w:autoSpaceDE/>
        <w:autoSpaceDN/>
        <w:bidi w:val="0"/>
        <w:spacing w:line="54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（二）专项支出情况</w:t>
      </w:r>
    </w:p>
    <w:p w14:paraId="29A0B174">
      <w:pPr>
        <w:keepNext w:val="0"/>
        <w:keepLines w:val="0"/>
        <w:pageBreakBefore w:val="0"/>
        <w:kinsoku/>
        <w:wordWrap/>
        <w:overflowPunct/>
        <w:topLinePunct w:val="0"/>
        <w:autoSpaceDE/>
        <w:autoSpaceDN/>
        <w:bidi w:val="0"/>
        <w:spacing w:line="540" w:lineRule="exact"/>
        <w:ind w:left="0" w:leftChars="0" w:firstLine="640" w:firstLineChars="200"/>
        <w:jc w:val="both"/>
        <w:rPr>
          <w:rFonts w:hint="default" w:ascii="仿宋_GB2312" w:hAnsi="仿宋_GB2312" w:eastAsia="仿宋_GB2312" w:cs="仿宋_GB2312"/>
          <w:bCs/>
          <w:color w:val="FF0000"/>
          <w:sz w:val="32"/>
          <w:szCs w:val="32"/>
          <w:lang w:val="en-US" w:eastAsia="zh-CN"/>
        </w:rPr>
      </w:pP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年度本单位</w:t>
      </w:r>
      <w:r>
        <w:rPr>
          <w:rFonts w:hint="eastAsia" w:ascii="仿宋_GB2312" w:hAnsi="仿宋_GB2312" w:eastAsia="仿宋_GB2312" w:cs="仿宋_GB2312"/>
          <w:bCs/>
          <w:sz w:val="32"/>
          <w:szCs w:val="32"/>
          <w:lang w:eastAsia="zh-CN"/>
        </w:rPr>
        <w:t>专项支出</w:t>
      </w:r>
      <w:r>
        <w:rPr>
          <w:rFonts w:hint="eastAsia" w:ascii="仿宋_GB2312" w:hAnsi="仿宋_GB2312" w:eastAsia="仿宋_GB2312" w:cs="仿宋_GB2312"/>
          <w:bCs/>
          <w:sz w:val="32"/>
          <w:szCs w:val="32"/>
          <w:lang w:val="en-US" w:eastAsia="zh-CN"/>
        </w:rPr>
        <w:t>122.55万元，其中：党史研究编修专项经费25.73</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万元，用于印刷费15.88万元、差旅费3万元、编写及评审人员工资等劳务费6.85万元；《永州市志》编修经费38.5万元，用于印刷费26.5万元，编写及评审人员工资等劳务费12万元；永州党史军史陈列馆项目经费96万元，用于支付永州党史军史陈列馆项目工程款。</w:t>
      </w:r>
    </w:p>
    <w:p w14:paraId="460BA191">
      <w:pPr>
        <w:keepNext w:val="0"/>
        <w:keepLines w:val="0"/>
        <w:pageBreakBefore w:val="0"/>
        <w:kinsoku/>
        <w:wordWrap/>
        <w:overflowPunct/>
        <w:topLinePunct w:val="0"/>
        <w:autoSpaceDE/>
        <w:autoSpaceDN/>
        <w:bidi w:val="0"/>
        <w:spacing w:line="540" w:lineRule="exact"/>
        <w:ind w:left="0" w:leftChars="0" w:firstLine="640" w:firstLineChars="200"/>
        <w:rPr>
          <w:rFonts w:ascii="黑体" w:hAnsi="黑体" w:eastAsia="黑体" w:cs="黑体"/>
          <w:bCs/>
          <w:sz w:val="32"/>
          <w:szCs w:val="32"/>
        </w:rPr>
      </w:pPr>
      <w:r>
        <w:rPr>
          <w:rFonts w:hint="eastAsia" w:ascii="黑体" w:hAnsi="黑体" w:eastAsia="黑体" w:cs="黑体"/>
          <w:bCs/>
          <w:sz w:val="32"/>
          <w:szCs w:val="32"/>
        </w:rPr>
        <w:t>三、政府性基金预算支出情况</w:t>
      </w:r>
    </w:p>
    <w:p w14:paraId="4CE5DA42">
      <w:pPr>
        <w:keepNext w:val="0"/>
        <w:keepLines w:val="0"/>
        <w:pageBreakBefore w:val="0"/>
        <w:kinsoku/>
        <w:wordWrap/>
        <w:overflowPunct/>
        <w:topLinePunct w:val="0"/>
        <w:autoSpaceDE/>
        <w:autoSpaceDN/>
        <w:bidi w:val="0"/>
        <w:spacing w:line="54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本单位无政府性基金预算支出情况。</w:t>
      </w:r>
    </w:p>
    <w:p w14:paraId="066BD984">
      <w:pPr>
        <w:keepNext w:val="0"/>
        <w:keepLines w:val="0"/>
        <w:pageBreakBefore w:val="0"/>
        <w:kinsoku/>
        <w:wordWrap/>
        <w:overflowPunct/>
        <w:topLinePunct w:val="0"/>
        <w:autoSpaceDE/>
        <w:autoSpaceDN/>
        <w:bidi w:val="0"/>
        <w:spacing w:line="540" w:lineRule="exact"/>
        <w:ind w:left="0" w:leftChars="0" w:firstLine="640" w:firstLineChars="200"/>
        <w:rPr>
          <w:rFonts w:ascii="黑体" w:hAnsi="黑体" w:eastAsia="黑体" w:cs="黑体"/>
          <w:bCs/>
          <w:sz w:val="32"/>
          <w:szCs w:val="32"/>
        </w:rPr>
      </w:pPr>
      <w:r>
        <w:rPr>
          <w:rFonts w:hint="eastAsia" w:ascii="黑体" w:hAnsi="黑体" w:eastAsia="黑体" w:cs="黑体"/>
          <w:bCs/>
          <w:sz w:val="32"/>
          <w:szCs w:val="32"/>
        </w:rPr>
        <w:t>四、国有资本经营预算支出情况</w:t>
      </w:r>
    </w:p>
    <w:p w14:paraId="648F1357">
      <w:pPr>
        <w:keepNext w:val="0"/>
        <w:keepLines w:val="0"/>
        <w:pageBreakBefore w:val="0"/>
        <w:kinsoku/>
        <w:wordWrap/>
        <w:overflowPunct/>
        <w:topLinePunct w:val="0"/>
        <w:autoSpaceDE/>
        <w:autoSpaceDN/>
        <w:bidi w:val="0"/>
        <w:spacing w:line="54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本单位无国有资本经营预算支出情况。</w:t>
      </w:r>
    </w:p>
    <w:p w14:paraId="6183C97E">
      <w:pPr>
        <w:keepNext w:val="0"/>
        <w:keepLines w:val="0"/>
        <w:pageBreakBefore w:val="0"/>
        <w:kinsoku/>
        <w:wordWrap/>
        <w:overflowPunct/>
        <w:topLinePunct w:val="0"/>
        <w:autoSpaceDE/>
        <w:autoSpaceDN/>
        <w:bidi w:val="0"/>
        <w:spacing w:line="540" w:lineRule="exact"/>
        <w:ind w:left="0" w:leftChars="0" w:firstLine="640" w:firstLineChars="200"/>
        <w:rPr>
          <w:rFonts w:ascii="黑体" w:hAnsi="黑体" w:eastAsia="黑体" w:cs="黑体"/>
          <w:bCs/>
          <w:sz w:val="32"/>
          <w:szCs w:val="32"/>
        </w:rPr>
      </w:pPr>
      <w:r>
        <w:rPr>
          <w:rFonts w:hint="eastAsia" w:ascii="黑体" w:hAnsi="黑体" w:eastAsia="黑体" w:cs="黑体"/>
          <w:bCs/>
          <w:sz w:val="32"/>
          <w:szCs w:val="32"/>
        </w:rPr>
        <w:t>五、社会保险基金预算支出情况</w:t>
      </w:r>
    </w:p>
    <w:p w14:paraId="745DEA3E">
      <w:pPr>
        <w:keepNext w:val="0"/>
        <w:keepLines w:val="0"/>
        <w:pageBreakBefore w:val="0"/>
        <w:kinsoku/>
        <w:wordWrap/>
        <w:overflowPunct/>
        <w:topLinePunct w:val="0"/>
        <w:autoSpaceDE/>
        <w:autoSpaceDN/>
        <w:bidi w:val="0"/>
        <w:spacing w:line="54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本单位无社会保险基金预算支出情况。</w:t>
      </w:r>
    </w:p>
    <w:p w14:paraId="4EEF3262">
      <w:pPr>
        <w:keepNext w:val="0"/>
        <w:keepLines w:val="0"/>
        <w:pageBreakBefore w:val="0"/>
        <w:kinsoku/>
        <w:wordWrap/>
        <w:overflowPunct/>
        <w:topLinePunct w:val="0"/>
        <w:autoSpaceDE/>
        <w:autoSpaceDN/>
        <w:bidi w:val="0"/>
        <w:spacing w:line="540" w:lineRule="exact"/>
        <w:ind w:left="0" w:leftChars="0" w:firstLine="640" w:firstLineChars="200"/>
        <w:rPr>
          <w:rFonts w:hint="eastAsia" w:ascii="黑体" w:hAnsi="黑体" w:eastAsia="黑体" w:cs="黑体"/>
          <w:bCs/>
          <w:sz w:val="32"/>
          <w:szCs w:val="32"/>
        </w:rPr>
      </w:pPr>
      <w:r>
        <w:rPr>
          <w:rFonts w:hint="eastAsia" w:ascii="黑体" w:hAnsi="黑体" w:eastAsia="黑体" w:cs="黑体"/>
          <w:bCs/>
          <w:sz w:val="32"/>
          <w:szCs w:val="32"/>
        </w:rPr>
        <w:t>六、部门（单位）整体支出绩效情况</w:t>
      </w:r>
    </w:p>
    <w:p w14:paraId="71FF5C15">
      <w:pPr>
        <w:keepNext w:val="0"/>
        <w:keepLines w:val="0"/>
        <w:pageBreakBefore w:val="0"/>
        <w:kinsoku/>
        <w:wordWrap/>
        <w:overflowPunct/>
        <w:topLinePunct w:val="0"/>
        <w:autoSpaceDE/>
        <w:autoSpaceDN/>
        <w:bidi w:val="0"/>
        <w:spacing w:line="540" w:lineRule="exact"/>
        <w:ind w:left="0" w:leftChars="0" w:firstLine="640" w:firstLineChars="200"/>
        <w:rPr>
          <w:rFonts w:hint="default" w:ascii="仿宋_GB2312" w:hAnsi="仿宋_GB2312" w:eastAsia="仿宋_GB2312" w:cs="仿宋_GB2312"/>
          <w:bCs/>
          <w:sz w:val="32"/>
          <w:szCs w:val="32"/>
        </w:rPr>
      </w:pPr>
      <w:r>
        <w:rPr>
          <w:rFonts w:hint="default" w:ascii="仿宋_GB2312" w:hAnsi="仿宋_GB2312" w:eastAsia="仿宋_GB2312" w:cs="仿宋_GB2312"/>
          <w:bCs/>
          <w:sz w:val="32"/>
          <w:szCs w:val="32"/>
        </w:rPr>
        <w:t>1.扎实推进党史编研。一是即时记录习近平新时代中国特色社会主义思想永州实践。完成《湖南党委工作纪事（2023年卷）》组稿工作，报送党的十八大以来党史和文献研究成果12项。开展《中共永州市委大事纪要（2023）》编写工作，形成初稿3万余字。总结脱贫攻坚和全面建成小康社会的历史和实践经验，完成《脱贫攻坚口述史·永州卷》编纂工作，已取得书号，即将正式出版。二是持续推进党史专题编研。实质性启动《中共永州党史3卷》编纂工作，开展资料、档案收集，编目调整完善等工作。编辑校审《永州革命回忆录选辑》《永州新民主主义时期党史专题资料》，并印制资料汇编留存。《江华红色印记》正式出版发行</w:t>
      </w:r>
      <w:r>
        <w:rPr>
          <w:rFonts w:hint="eastAsia" w:ascii="仿宋_GB2312" w:hAnsi="仿宋_GB2312" w:eastAsia="仿宋_GB2312" w:cs="仿宋_GB2312"/>
          <w:bCs/>
          <w:sz w:val="32"/>
          <w:szCs w:val="32"/>
        </w:rPr>
        <w:t>。完成《印记—红军长征在永州遗址实录》组稿工作，收录长征遗址遗迹共计101处。支持市党史联络组做好“永州在红军长征中的重要历史地位”课题研究，征集论文共计15万余字。绘制“红军长征过永州”地图，即将出版发行。</w:t>
      </w:r>
      <w:r>
        <w:rPr>
          <w:rFonts w:hint="default" w:ascii="仿宋_GB2312" w:hAnsi="仿宋_GB2312" w:eastAsia="仿宋_GB2312" w:cs="仿宋_GB2312"/>
          <w:bCs/>
          <w:sz w:val="32"/>
          <w:szCs w:val="32"/>
        </w:rPr>
        <w:t>三是学术研讨成果丰硕。全年参加国家、省级学术研讨8人次，其中胡羲《邓中夏与李启汉的纯真革命友谊》《红六军团西征在永州及其历史启示》、冯祥定《伟大长征精神的科学内涵和时代价值》、唐胜国《毛泽东早期农民运动实践与探索》《探究红六军团西征取得胜利的成功密码》获优秀论文，胡羲同志的两篇文章分别在《湖南工人报》《湘潮》等报刊发表。</w:t>
      </w:r>
    </w:p>
    <w:p w14:paraId="3816D1AE">
      <w:pPr>
        <w:keepNext w:val="0"/>
        <w:keepLines w:val="0"/>
        <w:pageBreakBefore w:val="0"/>
        <w:kinsoku/>
        <w:wordWrap/>
        <w:overflowPunct/>
        <w:topLinePunct w:val="0"/>
        <w:autoSpaceDE/>
        <w:autoSpaceDN/>
        <w:bidi w:val="0"/>
        <w:spacing w:line="540" w:lineRule="exact"/>
        <w:ind w:left="0" w:leftChars="0" w:firstLine="640" w:firstLineChars="200"/>
        <w:rPr>
          <w:rFonts w:hint="default" w:ascii="仿宋_GB2312" w:hAnsi="仿宋_GB2312" w:eastAsia="仿宋_GB2312" w:cs="仿宋_GB2312"/>
          <w:bCs/>
          <w:sz w:val="32"/>
          <w:szCs w:val="32"/>
        </w:rPr>
      </w:pPr>
      <w:r>
        <w:rPr>
          <w:rFonts w:hint="default" w:ascii="仿宋_GB2312" w:hAnsi="仿宋_GB2312" w:eastAsia="仿宋_GB2312" w:cs="仿宋_GB2312"/>
          <w:bCs/>
          <w:sz w:val="32"/>
          <w:szCs w:val="32"/>
        </w:rPr>
        <w:t>2.统筹推进地方志编纂。一是《永州市志》完成一审一校。公开公正开展《永州市志》出版印刷项目采购，节约采购资金20多万元。组织精干力量按方志出版社对《永州市志》一审意见，对志稿进行全面修改和打磨，</w:t>
      </w:r>
      <w:r>
        <w:rPr>
          <w:rFonts w:hint="eastAsia" w:ascii="仿宋_GB2312" w:hAnsi="仿宋_GB2312" w:eastAsia="仿宋_GB2312" w:cs="仿宋_GB2312"/>
          <w:bCs/>
          <w:sz w:val="32"/>
          <w:szCs w:val="32"/>
        </w:rPr>
        <w:t>共修改完善3028页、8万多处，补充资料近20万字，审核数据500多处，已送方志出版社进行二审二校。</w:t>
      </w:r>
      <w:r>
        <w:rPr>
          <w:rFonts w:hint="default" w:ascii="仿宋_GB2312" w:hAnsi="仿宋_GB2312" w:eastAsia="仿宋_GB2312" w:cs="仿宋_GB2312"/>
          <w:bCs/>
          <w:sz w:val="32"/>
          <w:szCs w:val="32"/>
        </w:rPr>
        <w:t>二是《湖南乡镇简志·永州市卷》正式出版发行。在《志说湖南——大型史志文物联展》上展陈，赠送至市档案馆、市区级图书馆和社会各界阅读，反响良好。三是《扶贫志》编修工作有序推进。</w:t>
      </w:r>
      <w:r>
        <w:rPr>
          <w:rFonts w:hint="eastAsia" w:ascii="仿宋_GB2312" w:hAnsi="仿宋_GB2312" w:eastAsia="仿宋_GB2312" w:cs="仿宋_GB2312"/>
          <w:bCs/>
          <w:sz w:val="32"/>
          <w:szCs w:val="32"/>
        </w:rPr>
        <w:t>加强业务指导，组织全室力量为承编县区提供业务培训、审稿意见、修志资料等各项帮助。</w:t>
      </w:r>
      <w:r>
        <w:rPr>
          <w:rFonts w:hint="default" w:ascii="仿宋_GB2312" w:hAnsi="仿宋_GB2312" w:eastAsia="仿宋_GB2312" w:cs="仿宋_GB2312"/>
          <w:bCs/>
          <w:sz w:val="32"/>
          <w:szCs w:val="32"/>
        </w:rPr>
        <w:t>目前，扶贫志编修工作按计划扎实推进，五个承编县扶贫志目录均经省地方志编纂院审核通过，江华县年底召开评审会，宁远县和江永县已完成初稿，双牌县、新田县已完成资料长编。四是积极配合“志”说湖南--大型史志文物联展工作。共收集报送方志成果116种126本，推荐《志说零陵古城》《柳宗元改溪明志》《台北知府陈文騄倡修&lt;台湾通志&gt;》《周敦颐巧拙官》等5个本地志书故事，收集地方志中关于舜帝的记载2.3万字，关于“湘”“三湘”最早的记载1条。</w:t>
      </w:r>
    </w:p>
    <w:p w14:paraId="111F4E11">
      <w:pPr>
        <w:keepNext w:val="0"/>
        <w:keepLines w:val="0"/>
        <w:pageBreakBefore w:val="0"/>
        <w:kinsoku/>
        <w:wordWrap/>
        <w:overflowPunct/>
        <w:topLinePunct w:val="0"/>
        <w:autoSpaceDE/>
        <w:autoSpaceDN/>
        <w:bidi w:val="0"/>
        <w:spacing w:line="540" w:lineRule="exact"/>
        <w:ind w:left="0" w:leftChars="0" w:firstLine="640" w:firstLineChars="200"/>
        <w:rPr>
          <w:rFonts w:hint="default" w:ascii="仿宋_GB2312" w:hAnsi="仿宋_GB2312" w:eastAsia="仿宋_GB2312" w:cs="仿宋_GB2312"/>
          <w:bCs/>
          <w:sz w:val="32"/>
          <w:szCs w:val="32"/>
        </w:rPr>
      </w:pPr>
      <w:r>
        <w:rPr>
          <w:rFonts w:hint="eastAsia" w:ascii="仿宋_GB2312" w:hAnsi="仿宋_GB2312" w:eastAsia="仿宋_GB2312" w:cs="仿宋_GB2312"/>
          <w:bCs/>
          <w:sz w:val="32"/>
          <w:szCs w:val="32"/>
        </w:rPr>
        <w:t>3. 持续提升年鉴编纂质量。</w:t>
      </w:r>
      <w:r>
        <w:rPr>
          <w:rFonts w:hint="default" w:ascii="仿宋_GB2312" w:hAnsi="仿宋_GB2312" w:eastAsia="仿宋_GB2312" w:cs="仿宋_GB2312"/>
          <w:bCs/>
          <w:sz w:val="32"/>
          <w:szCs w:val="32"/>
        </w:rPr>
        <w:t>及时优化年鉴框架条目，围绕市委市政府重点工作、年度大事等方面把握年度特色，突出做好前置彩版及专文设置，按时完成《永州年鉴（2024）》编纂出版任务。狠抓年鉴编纂业务指导和年鉴编纂督促协调等工作，组织全市市县两级年鉴评审工作，在巩固“一年一鉴，公开出版”全覆盖的基础上，实现评审全覆盖。完成《湖南年鉴《2024》组稿工作，做好年鉴补助申报工作，帮助8个县区解决印刷经费28.6万元。</w:t>
      </w:r>
    </w:p>
    <w:p w14:paraId="3318F529">
      <w:pPr>
        <w:keepNext w:val="0"/>
        <w:keepLines w:val="0"/>
        <w:pageBreakBefore w:val="0"/>
        <w:kinsoku/>
        <w:wordWrap/>
        <w:overflowPunct/>
        <w:topLinePunct w:val="0"/>
        <w:autoSpaceDE/>
        <w:autoSpaceDN/>
        <w:bidi w:val="0"/>
        <w:spacing w:line="540" w:lineRule="exact"/>
        <w:ind w:left="0" w:leftChars="0" w:firstLine="640" w:firstLineChars="200"/>
        <w:rPr>
          <w:rFonts w:hint="eastAsia" w:ascii="仿宋_GB2312" w:hAnsi="仿宋_GB2312" w:eastAsia="仿宋_GB2312" w:cs="仿宋_GB2312"/>
          <w:bCs/>
          <w:sz w:val="32"/>
          <w:szCs w:val="32"/>
        </w:rPr>
      </w:pPr>
      <w:r>
        <w:rPr>
          <w:rFonts w:hint="default" w:ascii="仿宋_GB2312" w:hAnsi="仿宋_GB2312" w:eastAsia="仿宋_GB2312" w:cs="仿宋_GB2312"/>
          <w:bCs/>
          <w:sz w:val="32"/>
          <w:szCs w:val="32"/>
        </w:rPr>
        <w:t>4.宣教联络有序开展。选送的《夏明翰：丹心碧血以启“后来人”》获评全国党史和文献部门短视频展播“讲述类好作品”。</w:t>
      </w:r>
      <w:r>
        <w:rPr>
          <w:rFonts w:hint="eastAsia" w:ascii="仿宋_GB2312" w:hAnsi="仿宋_GB2312" w:eastAsia="仿宋_GB2312" w:cs="仿宋_GB2312"/>
          <w:bCs/>
          <w:sz w:val="32"/>
          <w:szCs w:val="32"/>
        </w:rPr>
        <w:t>创新开展“党史进校园”活动，组织市区党史工作者、教育工作者编辑修订零陵区红色文化读本《童心向党》《少年心向党》，赠送至零陵区各中小学校，累计达63000余册。</w:t>
      </w:r>
      <w:r>
        <w:rPr>
          <w:rFonts w:hint="default" w:ascii="仿宋_GB2312" w:hAnsi="仿宋_GB2312" w:eastAsia="仿宋_GB2312" w:cs="仿宋_GB2312"/>
          <w:bCs/>
          <w:sz w:val="32"/>
          <w:szCs w:val="32"/>
        </w:rPr>
        <w:t>持续推动本土党史专家上党课，开展专题宣讲13次。认真组织开展市级党史教育基地创评，验收授牌第二批市级党史教育基地7家。做好网络舆论宣传，在中央党史和文献研究院官网上稿1篇，湖南省委党史研究院官网上稿3篇，更新永州党史方志网信息30余条。</w:t>
      </w:r>
    </w:p>
    <w:p w14:paraId="3DB2A8AB">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七、存在的问题及原因分析</w:t>
      </w:r>
    </w:p>
    <w:p w14:paraId="38C65B91">
      <w:pPr>
        <w:keepNext w:val="0"/>
        <w:keepLines w:val="0"/>
        <w:pageBreakBefore w:val="0"/>
        <w:kinsoku/>
        <w:wordWrap/>
        <w:overflowPunct/>
        <w:topLinePunct w:val="0"/>
        <w:autoSpaceDE/>
        <w:autoSpaceDN/>
        <w:bidi w:val="0"/>
        <w:spacing w:line="540" w:lineRule="exact"/>
        <w:ind w:left="0" w:leftChars="0"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2024年度本</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单位绩效目标基本完成，没有发现重大问题。</w:t>
      </w:r>
    </w:p>
    <w:p w14:paraId="26E2F0C4">
      <w:pPr>
        <w:keepNext w:val="0"/>
        <w:keepLines w:val="0"/>
        <w:pageBreakBefore w:val="0"/>
        <w:kinsoku/>
        <w:wordWrap/>
        <w:overflowPunct/>
        <w:topLinePunct w:val="0"/>
        <w:autoSpaceDE/>
        <w:autoSpaceDN/>
        <w:bidi w:val="0"/>
        <w:spacing w:line="540" w:lineRule="exact"/>
        <w:ind w:left="0" w:leftChars="0" w:firstLine="640" w:firstLineChars="200"/>
        <w:rPr>
          <w:rFonts w:ascii="黑体" w:hAnsi="黑体" w:eastAsia="黑体" w:cs="黑体"/>
          <w:bCs/>
          <w:sz w:val="32"/>
          <w:szCs w:val="32"/>
        </w:rPr>
      </w:pPr>
      <w:r>
        <w:rPr>
          <w:rFonts w:hint="eastAsia" w:ascii="黑体" w:hAnsi="黑体" w:eastAsia="黑体" w:cs="黑体"/>
          <w:bCs/>
          <w:sz w:val="32"/>
          <w:szCs w:val="32"/>
        </w:rPr>
        <w:t>八、下一步改进措施</w:t>
      </w:r>
    </w:p>
    <w:p w14:paraId="280756B4">
      <w:pPr>
        <w:pStyle w:val="11"/>
        <w:ind w:left="0" w:leftChars="0" w:firstLine="640" w:firstLineChars="200"/>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我单位专项经费短缺，下年度加强监管，预算做足，绩效目标明确清晰，希望市财政给予支持。</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auto"/>
    <w:pitch w:val="default"/>
    <w:sig w:usb0="00000001" w:usb1="080E0000" w:usb2="00000000" w:usb3="00000000" w:csb0="00040000" w:csb1="00000000"/>
  </w:font>
  <w:font w:name="永中宋体">
    <w:altName w:val="宋体"/>
    <w:panose1 w:val="00000000000000000000"/>
    <w:charset w:val="86"/>
    <w:family w:val="auto"/>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E3DA24"/>
    <w:multiLevelType w:val="singleLevel"/>
    <w:tmpl w:val="D9E3DA24"/>
    <w:lvl w:ilvl="0" w:tentative="0">
      <w:start w:val="1"/>
      <w:numFmt w:val="chineseCounting"/>
      <w:suff w:val="nothing"/>
      <w:lvlText w:val="%1、"/>
      <w:lvlJc w:val="left"/>
      <w:rPr>
        <w:rFonts w:hint="eastAsia"/>
      </w:rPr>
    </w:lvl>
  </w:abstractNum>
  <w:abstractNum w:abstractNumId="1">
    <w:nsid w:val="EFB36017"/>
    <w:multiLevelType w:val="singleLevel"/>
    <w:tmpl w:val="EFB36017"/>
    <w:lvl w:ilvl="0" w:tentative="0">
      <w:start w:val="7"/>
      <w:numFmt w:val="chineseCounting"/>
      <w:suff w:val="nothing"/>
      <w:lvlText w:val="%1、"/>
      <w:lvlJc w:val="left"/>
      <w:rPr>
        <w:rFonts w:hint="eastAsia"/>
      </w:rPr>
    </w:lvl>
  </w:abstractNum>
  <w:abstractNum w:abstractNumId="2">
    <w:nsid w:val="63416DE2"/>
    <w:multiLevelType w:val="singleLevel"/>
    <w:tmpl w:val="63416DE2"/>
    <w:lvl w:ilvl="0" w:tentative="0">
      <w:start w:val="1"/>
      <w:numFmt w:val="chineseCounting"/>
      <w:suff w:val="space"/>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NjFmZjE1ZDBhNDUyMWEzZGJmMzJmM2I4ZjVjNjY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27CB1"/>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C4D2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0453A"/>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823635"/>
    <w:rsid w:val="047B04DC"/>
    <w:rsid w:val="0537A752"/>
    <w:rsid w:val="067A4160"/>
    <w:rsid w:val="0BEE7CFD"/>
    <w:rsid w:val="0D6F3D3F"/>
    <w:rsid w:val="0DE10621"/>
    <w:rsid w:val="0F8B4CE8"/>
    <w:rsid w:val="149E54BE"/>
    <w:rsid w:val="15F93676"/>
    <w:rsid w:val="16FB7986"/>
    <w:rsid w:val="18AD22E9"/>
    <w:rsid w:val="19C10BCE"/>
    <w:rsid w:val="19FB22BA"/>
    <w:rsid w:val="1A0E3AB4"/>
    <w:rsid w:val="1B9E0A03"/>
    <w:rsid w:val="1E0D658A"/>
    <w:rsid w:val="20126062"/>
    <w:rsid w:val="234B3323"/>
    <w:rsid w:val="23C860B3"/>
    <w:rsid w:val="245D1763"/>
    <w:rsid w:val="283536C5"/>
    <w:rsid w:val="28355CE1"/>
    <w:rsid w:val="29F70417"/>
    <w:rsid w:val="2BC56137"/>
    <w:rsid w:val="2D285E15"/>
    <w:rsid w:val="2DAC07F4"/>
    <w:rsid w:val="2FDB53C0"/>
    <w:rsid w:val="319E0088"/>
    <w:rsid w:val="331F0A2B"/>
    <w:rsid w:val="3425795C"/>
    <w:rsid w:val="351E0FBF"/>
    <w:rsid w:val="3A263E74"/>
    <w:rsid w:val="3D792D3C"/>
    <w:rsid w:val="3DBB7565"/>
    <w:rsid w:val="3ED862C8"/>
    <w:rsid w:val="40A610D2"/>
    <w:rsid w:val="44052AA3"/>
    <w:rsid w:val="442C432A"/>
    <w:rsid w:val="45101210"/>
    <w:rsid w:val="473A07C7"/>
    <w:rsid w:val="477409A8"/>
    <w:rsid w:val="4B02564D"/>
    <w:rsid w:val="4B183DBB"/>
    <w:rsid w:val="4D275349"/>
    <w:rsid w:val="4F304531"/>
    <w:rsid w:val="4F366D26"/>
    <w:rsid w:val="4FEFF1FF"/>
    <w:rsid w:val="522602C5"/>
    <w:rsid w:val="52374280"/>
    <w:rsid w:val="52CB6777"/>
    <w:rsid w:val="5777D4F5"/>
    <w:rsid w:val="581B3CFC"/>
    <w:rsid w:val="589570CB"/>
    <w:rsid w:val="59FD5A9E"/>
    <w:rsid w:val="5C6507D2"/>
    <w:rsid w:val="5DDFA58C"/>
    <w:rsid w:val="5DF76FFD"/>
    <w:rsid w:val="5EBD5B0D"/>
    <w:rsid w:val="5F990328"/>
    <w:rsid w:val="5FC6BB1E"/>
    <w:rsid w:val="5FF720F1"/>
    <w:rsid w:val="61120392"/>
    <w:rsid w:val="623103B6"/>
    <w:rsid w:val="65984BDE"/>
    <w:rsid w:val="65B04F76"/>
    <w:rsid w:val="65C9550E"/>
    <w:rsid w:val="66A933C3"/>
    <w:rsid w:val="67227CC9"/>
    <w:rsid w:val="67F178E9"/>
    <w:rsid w:val="68A33FC6"/>
    <w:rsid w:val="6A730DAD"/>
    <w:rsid w:val="6A905686"/>
    <w:rsid w:val="6E5A3E2A"/>
    <w:rsid w:val="71931FAF"/>
    <w:rsid w:val="737D59BA"/>
    <w:rsid w:val="74DD43BC"/>
    <w:rsid w:val="76E33118"/>
    <w:rsid w:val="77AD0E48"/>
    <w:rsid w:val="77C37683"/>
    <w:rsid w:val="78F60C60"/>
    <w:rsid w:val="79FF515B"/>
    <w:rsid w:val="7A0A6111"/>
    <w:rsid w:val="7A6301DE"/>
    <w:rsid w:val="7B275BDA"/>
    <w:rsid w:val="7B3C0229"/>
    <w:rsid w:val="7B854078"/>
    <w:rsid w:val="7BE6D112"/>
    <w:rsid w:val="7D3B3014"/>
    <w:rsid w:val="7E9F11B4"/>
    <w:rsid w:val="7EEA7351"/>
    <w:rsid w:val="7EEDF957"/>
    <w:rsid w:val="7EF13B06"/>
    <w:rsid w:val="7FB98AA8"/>
    <w:rsid w:val="7FC69637"/>
    <w:rsid w:val="7FFDB408"/>
    <w:rsid w:val="BBD14E84"/>
    <w:rsid w:val="BBDFCCFC"/>
    <w:rsid w:val="BFDF9B23"/>
    <w:rsid w:val="CBFF70E0"/>
    <w:rsid w:val="DDFBC207"/>
    <w:rsid w:val="EEABED75"/>
    <w:rsid w:val="F379884A"/>
    <w:rsid w:val="F9DF07A0"/>
    <w:rsid w:val="FB36E1A6"/>
    <w:rsid w:val="FBFF7B09"/>
    <w:rsid w:val="FDD774D7"/>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next w:val="2"/>
    <w:unhideWhenUsed/>
    <w:qFormat/>
    <w:uiPriority w:val="99"/>
    <w:pPr>
      <w:widowControl/>
      <w:spacing w:after="120"/>
      <w:ind w:left="420" w:leftChars="200"/>
      <w:jc w:val="left"/>
    </w:pPr>
    <w:rPr>
      <w:rFonts w:ascii="宋体" w:hAnsi="宋体" w:eastAsia="宋体" w:cs="宋体"/>
      <w:kern w:val="0"/>
      <w:sz w:val="24"/>
    </w:rPr>
  </w:style>
  <w:style w:type="paragraph" w:styleId="4">
    <w:name w:val="Normal Indent"/>
    <w:basedOn w:val="1"/>
    <w:qFormat/>
    <w:uiPriority w:val="0"/>
    <w:pPr>
      <w:keepNext w:val="0"/>
      <w:keepLines w:val="0"/>
      <w:widowControl w:val="0"/>
      <w:suppressLineNumbers w:val="0"/>
      <w:spacing w:before="0" w:beforeAutospacing="0" w:after="0" w:afterAutospacing="0" w:line="600" w:lineRule="exact"/>
      <w:ind w:left="0" w:right="0" w:firstLine="420"/>
      <w:jc w:val="both"/>
    </w:pPr>
    <w:rPr>
      <w:rFonts w:hint="default" w:ascii="Times New Roman" w:hAnsi="Times New Roman" w:eastAsia="宋体" w:cs="Times New Roman"/>
      <w:kern w:val="2"/>
      <w:sz w:val="21"/>
      <w:szCs w:val="21"/>
      <w:lang w:val="en-US" w:eastAsia="zh-CN" w:bidi="ar"/>
    </w:rPr>
  </w:style>
  <w:style w:type="paragraph" w:styleId="5">
    <w:name w:val="Body Text"/>
    <w:basedOn w:val="1"/>
    <w:next w:val="6"/>
    <w:qFormat/>
    <w:uiPriority w:val="0"/>
    <w:pPr>
      <w:widowControl w:val="0"/>
      <w:spacing w:before="0" w:after="120"/>
      <w:ind w:left="0" w:right="0"/>
      <w:jc w:val="both"/>
    </w:pPr>
    <w:rPr>
      <w:rFonts w:ascii="Calibri" w:hAnsi="Calibri" w:eastAsia="楷体_GB2312" w:cs="永中宋体"/>
      <w:kern w:val="0"/>
      <w:sz w:val="20"/>
      <w:szCs w:val="20"/>
      <w:lang w:val="en-US" w:eastAsia="zh-CN" w:bidi="ar-SA"/>
    </w:rPr>
  </w:style>
  <w:style w:type="paragraph" w:styleId="6">
    <w:name w:val="List Paragraph"/>
    <w:basedOn w:val="1"/>
    <w:qFormat/>
    <w:uiPriority w:val="34"/>
    <w:pPr>
      <w:ind w:firstLine="420" w:firstLineChars="200"/>
    </w:pPr>
  </w:style>
  <w:style w:type="paragraph" w:styleId="7">
    <w:name w:val="Balloon Text"/>
    <w:basedOn w:val="1"/>
    <w:link w:val="17"/>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2"/>
    <w:semiHidden/>
    <w:qFormat/>
    <w:uiPriority w:val="0"/>
    <w:pPr>
      <w:snapToGrid w:val="0"/>
      <w:jc w:val="left"/>
    </w:pPr>
    <w:rPr>
      <w:sz w:val="18"/>
      <w:szCs w:val="18"/>
    </w:rPr>
  </w:style>
  <w:style w:type="paragraph" w:styleId="11">
    <w:name w:val="Body Text First Indent"/>
    <w:basedOn w:val="5"/>
    <w:qFormat/>
    <w:uiPriority w:val="0"/>
    <w:pPr>
      <w:ind w:firstLine="420" w:firstLineChars="100"/>
    </w:pPr>
  </w:style>
  <w:style w:type="character" w:customStyle="1" w:styleId="14">
    <w:name w:val="页眉 Char"/>
    <w:basedOn w:val="13"/>
    <w:link w:val="9"/>
    <w:qFormat/>
    <w:uiPriority w:val="99"/>
    <w:rPr>
      <w:sz w:val="18"/>
      <w:szCs w:val="18"/>
    </w:rPr>
  </w:style>
  <w:style w:type="character" w:customStyle="1" w:styleId="15">
    <w:name w:val="页脚 Char"/>
    <w:basedOn w:val="13"/>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character" w:customStyle="1" w:styleId="17">
    <w:name w:val="批注框文本 Char"/>
    <w:basedOn w:val="13"/>
    <w:link w:val="7"/>
    <w:semiHidden/>
    <w:qFormat/>
    <w:uiPriority w:val="99"/>
    <w:rPr>
      <w:sz w:val="18"/>
      <w:szCs w:val="18"/>
    </w:rPr>
  </w:style>
  <w:style w:type="character" w:customStyle="1" w:styleId="18">
    <w:name w:val="font01"/>
    <w:basedOn w:val="13"/>
    <w:qFormat/>
    <w:uiPriority w:val="0"/>
    <w:rPr>
      <w:rFonts w:hint="eastAsia" w:ascii="宋体" w:hAnsi="宋体" w:eastAsia="宋体" w:cs="宋体"/>
      <w:color w:val="000000"/>
      <w:sz w:val="22"/>
      <w:szCs w:val="22"/>
      <w:u w:val="none"/>
    </w:rPr>
  </w:style>
  <w:style w:type="character" w:customStyle="1" w:styleId="19">
    <w:name w:val="font21"/>
    <w:basedOn w:val="13"/>
    <w:qFormat/>
    <w:uiPriority w:val="0"/>
    <w:rPr>
      <w:rFonts w:hint="eastAsia" w:ascii="宋体" w:hAnsi="宋体" w:eastAsia="宋体" w:cs="宋体"/>
      <w:color w:val="000000"/>
      <w:sz w:val="24"/>
      <w:szCs w:val="24"/>
      <w:u w:val="none"/>
    </w:rPr>
  </w:style>
  <w:style w:type="character" w:customStyle="1" w:styleId="20">
    <w:name w:val="font1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5053</Words>
  <Characters>5622</Characters>
  <Lines>63</Lines>
  <Paragraphs>18</Paragraphs>
  <TotalTime>1</TotalTime>
  <ScaleCrop>false</ScaleCrop>
  <LinksUpToDate>false</LinksUpToDate>
  <CharactersWithSpaces>5658</CharactersWithSpaces>
  <Application>WPS Office_12.8.2.19550_F1E327BC-269C-435d-A152-05C5408002CA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2020-07-07T10:32:00Z</dcterms:created>
  <dc:creator>李航 null</dc:creator>
  <cp:lastModifiedBy>kylin</cp:lastModifiedBy>
  <cp:lastPrinted>2025-09-20T11:17:00Z</cp:lastPrinted>
  <dcterms:modified xsi:type="dcterms:W3CDTF">2025-09-28T08:27:47Z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2052-12.8.2.19550</vt:lpwstr>
  </property>
  <property fmtid="{D5CDD505-2E9C-101B-9397-08002B2CF9AE}" pid="3" name="ICV">
    <vt:lpwstr>9EFC0C450F6F4FFBBF74267DC3ACF1AF_13</vt:lpwstr>
  </property>
  <property fmtid="{D5CDD505-2E9C-101B-9397-08002B2CF9AE}" pid="4" name="KSOTemplateDocerSaveRecord">
    <vt:lpwstr>eyJoZGlkIjoiODA3MmExNWE1YzJmN2Y1MDI5NGNkNDUyYzkzODIzZjQiLCJ1c2VySWQiOiIzODk4MDYzNDYifQ==</vt:lpwstr>
  </property>
</Properties>
</file>