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center"/>
        <w:rPr>
          <w:rFonts w:ascii="黑体" w:hAnsi="黑体" w:eastAsia="黑体" w:cs="Times New Roman"/>
          <w:bCs/>
          <w:kern w:val="0"/>
          <w:sz w:val="44"/>
          <w:szCs w:val="44"/>
        </w:rPr>
      </w:pPr>
    </w:p>
    <w:p>
      <w:pPr>
        <w:widowControl/>
        <w:ind w:firstLine="0" w:firstLineChars="0"/>
        <w:jc w:val="center"/>
        <w:rPr>
          <w:rFonts w:ascii="黑体" w:hAnsi="黑体" w:eastAsia="黑体" w:cs="Times New Roman"/>
          <w:bCs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bCs/>
          <w:kern w:val="0"/>
          <w:sz w:val="44"/>
          <w:szCs w:val="44"/>
        </w:rPr>
        <w:t>中共永州市委宣传部</w:t>
      </w:r>
    </w:p>
    <w:p>
      <w:pPr>
        <w:widowControl/>
        <w:ind w:firstLine="0" w:firstLineChars="0"/>
        <w:jc w:val="center"/>
        <w:rPr>
          <w:rFonts w:ascii="黑体" w:hAnsi="黑体" w:eastAsia="黑体" w:cs="Times New Roman"/>
          <w:bCs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bCs/>
          <w:kern w:val="0"/>
          <w:sz w:val="44"/>
          <w:szCs w:val="44"/>
          <w:lang w:eastAsia="zh-CN"/>
        </w:rPr>
        <w:t>2024年</w:t>
      </w:r>
      <w:r>
        <w:rPr>
          <w:rFonts w:hint="eastAsia" w:ascii="黑体" w:hAnsi="黑体" w:eastAsia="黑体" w:cs="Times New Roman"/>
          <w:bCs/>
          <w:kern w:val="0"/>
          <w:sz w:val="44"/>
          <w:szCs w:val="44"/>
        </w:rPr>
        <w:t>度部门预算公开</w:t>
      </w:r>
    </w:p>
    <w:p>
      <w:pPr>
        <w:widowControl/>
        <w:ind w:firstLine="643"/>
        <w:jc w:val="center"/>
        <w:rPr>
          <w:rFonts w:ascii="仿宋_GB2312" w:eastAsia="仿宋_GB2312" w:cs="Times New Roman" w:hAnsiTheme="minorEastAsia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b/>
          <w:bCs/>
          <w:kern w:val="0"/>
          <w:sz w:val="32"/>
          <w:szCs w:val="32"/>
        </w:rPr>
        <w:t>目 录</w:t>
      </w:r>
    </w:p>
    <w:p>
      <w:pPr>
        <w:adjustRightInd w:val="0"/>
        <w:snapToGrid w:val="0"/>
        <w:spacing w:line="560" w:lineRule="exact"/>
        <w:ind w:firstLine="0" w:firstLineChars="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第一部分 中共永州市委宣传部</w:t>
      </w:r>
      <w:r>
        <w:rPr>
          <w:rFonts w:hint="eastAsia" w:ascii="仿宋_GB2312" w:eastAsia="仿宋_GB2312" w:hAnsiTheme="minorEastAsia"/>
          <w:b/>
          <w:sz w:val="32"/>
          <w:szCs w:val="32"/>
          <w:lang w:eastAsia="zh-CN"/>
        </w:rPr>
        <w:t>2024年</w:t>
      </w:r>
      <w:r>
        <w:rPr>
          <w:rFonts w:hint="eastAsia" w:ascii="仿宋_GB2312" w:eastAsia="仿宋_GB2312" w:hAnsiTheme="minorEastAsia"/>
          <w:b/>
          <w:sz w:val="32"/>
          <w:szCs w:val="32"/>
        </w:rPr>
        <w:t>部门预算说明</w:t>
      </w:r>
    </w:p>
    <w:p>
      <w:pPr>
        <w:adjustRightInd w:val="0"/>
        <w:snapToGrid w:val="0"/>
        <w:spacing w:line="560" w:lineRule="exact"/>
        <w:ind w:firstLine="0" w:firstLineChars="0"/>
        <w:rPr>
          <w:rFonts w:ascii="仿宋_GB2312" w:eastAsia="仿宋_GB2312" w:hAnsi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一、部门基本概况</w:t>
      </w:r>
    </w:p>
    <w:p>
      <w:pPr>
        <w:adjustRightInd w:val="0"/>
        <w:snapToGrid w:val="0"/>
        <w:spacing w:line="560" w:lineRule="exact"/>
        <w:ind w:firstLine="0"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（一）职能职责</w:t>
      </w:r>
    </w:p>
    <w:p>
      <w:pPr>
        <w:adjustRightInd w:val="0"/>
        <w:snapToGrid w:val="0"/>
        <w:spacing w:line="560" w:lineRule="exact"/>
        <w:ind w:firstLine="0"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（二）机构设置</w:t>
      </w:r>
    </w:p>
    <w:p>
      <w:pPr>
        <w:adjustRightInd w:val="0"/>
        <w:snapToGrid w:val="0"/>
        <w:spacing w:line="560" w:lineRule="exact"/>
        <w:ind w:firstLine="0" w:firstLineChars="0"/>
        <w:rPr>
          <w:rFonts w:ascii="仿宋_GB2312" w:eastAsia="仿宋_GB2312" w:hAnsi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二、部门预算单位构成</w:t>
      </w:r>
    </w:p>
    <w:p>
      <w:pPr>
        <w:adjustRightInd w:val="0"/>
        <w:snapToGrid w:val="0"/>
        <w:spacing w:line="560" w:lineRule="exact"/>
        <w:ind w:firstLine="0" w:firstLineChars="0"/>
        <w:rPr>
          <w:rFonts w:ascii="仿宋_GB2312" w:eastAsia="仿宋_GB2312" w:hAnsi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三、部门收支总体情况</w:t>
      </w:r>
    </w:p>
    <w:p>
      <w:pPr>
        <w:adjustRightInd w:val="0"/>
        <w:snapToGrid w:val="0"/>
        <w:spacing w:line="560" w:lineRule="exact"/>
        <w:ind w:firstLine="0"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（一）收入预算</w:t>
      </w:r>
    </w:p>
    <w:p>
      <w:pPr>
        <w:adjustRightInd w:val="0"/>
        <w:snapToGrid w:val="0"/>
        <w:spacing w:line="560" w:lineRule="exact"/>
        <w:ind w:firstLine="0"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（二）支出预算</w:t>
      </w:r>
    </w:p>
    <w:p>
      <w:pPr>
        <w:adjustRightInd w:val="0"/>
        <w:snapToGrid w:val="0"/>
        <w:spacing w:line="560" w:lineRule="exact"/>
        <w:ind w:firstLine="0" w:firstLineChars="0"/>
        <w:rPr>
          <w:rFonts w:ascii="仿宋_GB2312" w:eastAsia="仿宋_GB2312" w:hAnsi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四、一般公共预算拨款支出预算</w:t>
      </w:r>
    </w:p>
    <w:p>
      <w:pPr>
        <w:adjustRightInd w:val="0"/>
        <w:snapToGrid w:val="0"/>
        <w:spacing w:line="560" w:lineRule="exact"/>
        <w:ind w:firstLine="0" w:firstLineChars="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（一）基本支出</w:t>
      </w:r>
    </w:p>
    <w:p>
      <w:pPr>
        <w:adjustRightInd w:val="0"/>
        <w:snapToGrid w:val="0"/>
        <w:spacing w:line="560" w:lineRule="exact"/>
        <w:ind w:firstLine="0" w:firstLineChars="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（二）项目支出</w:t>
      </w:r>
    </w:p>
    <w:p>
      <w:pPr>
        <w:adjustRightInd w:val="0"/>
        <w:snapToGrid w:val="0"/>
        <w:spacing w:line="560" w:lineRule="exact"/>
        <w:ind w:firstLine="0" w:firstLineChars="0"/>
        <w:rPr>
          <w:rFonts w:hint="default" w:ascii="仿宋_GB2312" w:eastAsia="仿宋_GB2312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五、</w:t>
      </w: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t>政府性基金预算支出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textAlignment w:val="auto"/>
        <w:rPr>
          <w:rFonts w:ascii="仿宋_GB2312" w:eastAsia="仿宋_GB2312" w:hAnsi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（二）“三公”经费预算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（三）政府采购情况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（四）国有资产占有使用及新增资产配置情况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（五）重点项目预算的绩效目标等预算绩效情况说明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0" w:firstLineChars="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（六）财政专户经费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0" w:firstLineChars="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（七）会议、培训、节庆等一般性支出情况</w:t>
      </w:r>
    </w:p>
    <w:p>
      <w:pPr>
        <w:adjustRightInd w:val="0"/>
        <w:snapToGrid w:val="0"/>
        <w:spacing w:line="560" w:lineRule="exact"/>
        <w:ind w:firstLine="0" w:firstLineChars="0"/>
        <w:rPr>
          <w:rFonts w:ascii="仿宋_GB2312" w:eastAsia="仿宋_GB2312" w:hAnsi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、名词解释</w:t>
      </w:r>
    </w:p>
    <w:p>
      <w:pPr>
        <w:adjustRightInd w:val="0"/>
        <w:snapToGrid w:val="0"/>
        <w:spacing w:line="560" w:lineRule="exact"/>
        <w:ind w:firstLine="0" w:firstLineChars="0"/>
        <w:rPr>
          <w:rFonts w:hint="eastAsia" w:ascii="仿宋_GB2312" w:eastAsia="仿宋_GB2312" w:hAnsiTheme="minorEastAsia"/>
          <w:b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第二部分 部门预算公开表格</w:t>
      </w:r>
      <w:r>
        <w:rPr>
          <w:rFonts w:hint="eastAsia" w:ascii="仿宋_GB2312" w:eastAsia="仿宋_GB2312" w:hAnsiTheme="minorEastAsia"/>
          <w:b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EastAsia"/>
          <w:b/>
          <w:sz w:val="32"/>
          <w:szCs w:val="32"/>
          <w:lang w:val="en-US" w:eastAsia="zh-CN"/>
        </w:rPr>
        <w:t>见附件</w:t>
      </w:r>
      <w:r>
        <w:rPr>
          <w:rFonts w:hint="eastAsia" w:ascii="仿宋_GB2312" w:eastAsia="仿宋_GB2312" w:hAnsiTheme="minorEastAsia"/>
          <w:b/>
          <w:sz w:val="32"/>
          <w:szCs w:val="32"/>
          <w:lang w:eastAsia="zh-CN"/>
        </w:rPr>
        <w:t>）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收支总表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收入总表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支出总表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支出预算分类汇总表（按政府预算经济分类）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支出预算分类汇总表（按部门预算经济分类）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财政拨款收支总表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一般公共预算支出表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一般公共预算基本支出表--人员经费(工资福利支出)(按政府预算经济分类)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一般公共预算基本支出表--人员经费(工资福利支出)(按部门预算经济分类)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一般公共预算基本支出表--人员经费(对个人和家庭的补助)(按政府预算经济分类)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一般公共预算基本支出表--人员经费(对个人和家庭的补助)（按部门预算经济分类）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一般公共预算基本支出表--公用经费(商品和服务支出)（按政府预算经济分类）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14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一般公共预算基本支出表--公用经费(商品和服务支出)(按部门预算经济分类)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15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一般公共预算“三公”经费支出表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16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政府性基金预算支出表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17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政府性基金预算支出分类汇总表（按政府预算经济分类）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18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政府性基金预算支出分类汇总表（按部门预算经济分类）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19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国有资本经营预算表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财政专户管理资金预算支出表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专项资金预算汇总表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项目支出绩效目标表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部门整体支出绩效目标表</w:t>
      </w:r>
    </w:p>
    <w:p>
      <w:pPr>
        <w:widowControl/>
        <w:spacing w:line="600" w:lineRule="exact"/>
        <w:ind w:left="0" w:leftChars="0" w:firstLine="118" w:firstLineChars="37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24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政府采购预算表</w:t>
      </w:r>
    </w:p>
    <w:p>
      <w:pPr>
        <w:widowControl/>
        <w:spacing w:line="600" w:lineRule="exact"/>
        <w:ind w:firstLine="0" w:firstLineChars="0"/>
        <w:jc w:val="center"/>
        <w:rPr>
          <w:rFonts w:ascii="仿宋_GB2312" w:eastAsia="仿宋_GB2312" w:cs="Times New Roman" w:hAnsiTheme="minorEastAsia"/>
          <w:bCs/>
          <w:kern w:val="0"/>
          <w:sz w:val="32"/>
          <w:szCs w:val="32"/>
        </w:rPr>
      </w:pPr>
    </w:p>
    <w:p>
      <w:pPr>
        <w:pStyle w:val="2"/>
      </w:pPr>
    </w:p>
    <w:p>
      <w:pPr>
        <w:widowControl/>
        <w:spacing w:line="600" w:lineRule="exact"/>
        <w:ind w:firstLine="0" w:firstLineChars="0"/>
        <w:jc w:val="center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0" w:firstLineChars="0"/>
        <w:jc w:val="center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/>
    <w:p>
      <w:pPr>
        <w:widowControl/>
        <w:spacing w:line="600" w:lineRule="exact"/>
        <w:ind w:firstLine="0" w:firstLineChars="0"/>
        <w:jc w:val="center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第一部分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  <w:t xml:space="preserve">  中共永州市委宣传部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  <w:t>部门预算说明</w:t>
      </w:r>
    </w:p>
    <w:p>
      <w:pPr>
        <w:adjustRightInd w:val="0"/>
        <w:snapToGrid w:val="0"/>
        <w:spacing w:line="560" w:lineRule="exact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一、部门基本概况</w:t>
      </w:r>
    </w:p>
    <w:p>
      <w:pPr>
        <w:adjustRightInd w:val="0"/>
        <w:snapToGrid w:val="0"/>
        <w:spacing w:line="560" w:lineRule="exact"/>
        <w:ind w:firstLine="0" w:firstLineChars="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（一）职能职责情况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市委宣传部是市委工作机关，为正处级。主要职责是：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拟制全市宣传思想文化工作规划和措施。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统筹协调全市党的意识形态工作；统筹指导协调全市理论研究、理论学习、理论宣传工作。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负责规划组织全局性思想政治工作。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负责引导社会舆论。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负责全市新闻出版行政事务，组织指导协调全市“扫黄打非”工作。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负责有关驻永报社、通讯社和记者站的监督管理，负责全市新闻记者证的申领审核和规范管理；从宏观上统筹指导协调全市互联网宣传和信息内容管理工作，统筹协调数字新媒体的建设与管理。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指导协调推动全市精神文化产品的创作和生产以及群众文化建设。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负责管理全市电影行政事务，指导协调全市性重大电影活动；统筹指导协调文化体制改革和文化事业、文化产业及旅游业发展。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指导协调全市舆情信息、对外文化交流和对外宣传工作；指导协调组织开展全市新闻发布工作和新闻领域对外交流与合作。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受市委委托，会同市委组织部管理新闻、文化、出版、社会科学研究和互联网信息等方面市直宣传文化单位的领导干部；对县区党委宣传部部长的任免提出意见；负责有关重要宣传舆论阵地和重要岗位领导干部管理；负责组织开展全市宣传思想文化系统干部教育培训和人才工作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对市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委</w:t>
      </w:r>
      <w:r>
        <w:rPr>
          <w:rFonts w:hint="eastAsia" w:ascii="仿宋_GB2312" w:eastAsia="仿宋_GB2312"/>
          <w:sz w:val="32"/>
          <w:szCs w:val="32"/>
        </w:rPr>
        <w:t>网信办互联网宣传和信息内容管理方面的工作实施政策指导；归口领导永州日报社、市文旅广体局、市广播电视台，代管市文联、市社科联，联系市新华书店和湖南日报社永州分社、红网永州站等省直新闻单位驻永机构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承办市委、市人民政府交办的其他事项。</w:t>
      </w:r>
    </w:p>
    <w:p>
      <w:pPr>
        <w:adjustRightInd w:val="0"/>
        <w:snapToGrid w:val="0"/>
        <w:spacing w:line="560" w:lineRule="exact"/>
        <w:ind w:firstLine="0" w:firstLineChars="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（二）机构设置情况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市委宣传部加挂市政府新闻办公室、市新闻出版局（市版权局）、市精神文明建设指导委员会办公室牌子。归口管理市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新时代文明实践指导</w:t>
      </w:r>
      <w:r>
        <w:rPr>
          <w:rFonts w:hint="eastAsia" w:ascii="仿宋_GB2312" w:eastAsia="仿宋_GB2312"/>
          <w:sz w:val="32"/>
          <w:szCs w:val="32"/>
        </w:rPr>
        <w:t>中心，为正科级全额拨款事业单位。内设机构14个，具体包括办公室、政策法规研究与舆情信息室、理论科、新闻科、文艺科（电影科）、宣传教育科、意识形态工作科、精神文明创建指导科、未成年人思想道德建设与志愿服务科、文化体制改革和发展办公室、新闻发布与对外推广科、新闻出版与版权科（行政审批科）、反非法反违禁科和干部科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现有编制人数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</w:t>
      </w:r>
      <w:r>
        <w:rPr>
          <w:rFonts w:hint="eastAsia" w:ascii="仿宋_GB2312" w:eastAsia="仿宋_GB2312"/>
          <w:sz w:val="32"/>
          <w:szCs w:val="32"/>
        </w:rPr>
        <w:t>人（其中：部机关行政编制34人、工勤编制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市新时代文明实践指导中心编制8人</w:t>
      </w:r>
      <w:r>
        <w:rPr>
          <w:rFonts w:hint="eastAsia" w:ascii="仿宋_GB2312" w:eastAsia="仿宋_GB2312"/>
          <w:sz w:val="32"/>
          <w:szCs w:val="32"/>
        </w:rPr>
        <w:t>）。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年末，实有在职人员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</w:t>
      </w:r>
      <w:r>
        <w:rPr>
          <w:rFonts w:hint="eastAsia" w:ascii="仿宋_GB2312" w:eastAsia="仿宋_GB2312"/>
          <w:sz w:val="32"/>
          <w:szCs w:val="32"/>
        </w:rPr>
        <w:t>人，其中：在编人员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部机关29人、市新时代文明实践指导中心5人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聘用人员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含借调人员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退休人员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adjustRightInd w:val="0"/>
        <w:snapToGrid w:val="0"/>
        <w:spacing w:line="560" w:lineRule="exact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二、部门预算单位构成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中共永州</w:t>
      </w:r>
      <w:r>
        <w:rPr>
          <w:rFonts w:hint="eastAsia" w:ascii="仿宋_GB2312" w:eastAsia="仿宋_GB2312"/>
          <w:sz w:val="32"/>
          <w:szCs w:val="32"/>
        </w:rPr>
        <w:t>市委宣传部没有二级预算单位，因此，纳入</w:t>
      </w:r>
      <w:r>
        <w:rPr>
          <w:rFonts w:hint="eastAsia" w:ascii="仿宋_GB2312" w:eastAsia="仿宋_GB2312"/>
          <w:sz w:val="32"/>
          <w:szCs w:val="32"/>
          <w:lang w:eastAsia="zh-CN"/>
        </w:rPr>
        <w:t>2024年</w:t>
      </w:r>
      <w:r>
        <w:rPr>
          <w:rFonts w:hint="eastAsia" w:ascii="仿宋_GB2312" w:eastAsia="仿宋_GB2312"/>
          <w:sz w:val="32"/>
          <w:szCs w:val="32"/>
        </w:rPr>
        <w:t>部门预算编制范围的只有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中共永州</w:t>
      </w:r>
      <w:r>
        <w:rPr>
          <w:rFonts w:hint="eastAsia" w:ascii="仿宋_GB2312" w:eastAsia="仿宋_GB2312"/>
          <w:sz w:val="32"/>
          <w:szCs w:val="32"/>
        </w:rPr>
        <w:t>市委宣传部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本级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三、部门预算收支总体情况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2024年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收入</w:t>
      </w:r>
      <w:r>
        <w:rPr>
          <w:rFonts w:hint="eastAsia" w:ascii="仿宋_GB2312" w:eastAsia="仿宋_GB2312"/>
          <w:sz w:val="32"/>
          <w:szCs w:val="32"/>
        </w:rPr>
        <w:t>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全部为</w:t>
      </w:r>
      <w:r>
        <w:rPr>
          <w:rFonts w:eastAsia="仿宋_GB2312"/>
          <w:color w:val="auto"/>
          <w:sz w:val="32"/>
          <w:szCs w:val="32"/>
        </w:rPr>
        <w:t>一般公共预算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拨款</w:t>
      </w:r>
      <w:r>
        <w:rPr>
          <w:rFonts w:hint="eastAsia" w:eastAsia="仿宋_GB2312"/>
          <w:color w:val="auto"/>
          <w:sz w:val="32"/>
          <w:szCs w:val="32"/>
        </w:rPr>
        <w:t>收入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无政府性基金预算拨款收入、国有资本经营预算拨款收入、财政专户管理资金收入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支出</w:t>
      </w:r>
      <w:r>
        <w:rPr>
          <w:rFonts w:hint="eastAsia" w:eastAsia="仿宋_GB2312"/>
          <w:color w:val="auto"/>
          <w:sz w:val="32"/>
          <w:szCs w:val="32"/>
          <w:lang w:eastAsia="zh-CN"/>
        </w:rPr>
        <w:t>预算主要包括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保障单位基本运行的经费和业务工作经费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，具体情况如下：</w:t>
      </w:r>
    </w:p>
    <w:p>
      <w:pPr>
        <w:adjustRightInd w:val="0"/>
        <w:snapToGrid w:val="0"/>
        <w:spacing w:line="560" w:lineRule="exact"/>
        <w:ind w:firstLine="0" w:firstLineChars="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（一）收入预算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2024年</w:t>
      </w:r>
      <w:r>
        <w:rPr>
          <w:rFonts w:hint="eastAsia" w:ascii="仿宋_GB2312" w:eastAsia="仿宋_GB2312"/>
          <w:sz w:val="32"/>
          <w:szCs w:val="32"/>
        </w:rPr>
        <w:t>年初预算数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741.03万元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其中，一般公共预算拨款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741.03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收入较去年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增加28.81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主要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原因是新增下属事业单位市新时代文明实践指导中心（财务未独立核算、非部门预算单位），导致2024年工资、机关养老保险、医疗保险、住房公积金缴费等人员经费和公用经费预算收入相应增加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0" w:firstLineChars="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（二）支出预算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2024年</w:t>
      </w:r>
      <w:r>
        <w:rPr>
          <w:rFonts w:hint="eastAsia" w:ascii="仿宋_GB2312" w:eastAsia="仿宋_GB2312"/>
          <w:sz w:val="32"/>
          <w:szCs w:val="32"/>
        </w:rPr>
        <w:t>年初预算数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741.03</w:t>
      </w:r>
      <w:r>
        <w:rPr>
          <w:rFonts w:hint="eastAsia" w:ascii="仿宋_GB2312" w:eastAsia="仿宋_GB2312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</w:rPr>
        <w:t>一般公共服务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613.32万元</w:t>
      </w:r>
      <w:r>
        <w:rPr>
          <w:rFonts w:hint="eastAsia" w:ascii="仿宋_GB2312" w:eastAsia="仿宋_GB2312"/>
          <w:sz w:val="32"/>
          <w:szCs w:val="32"/>
          <w:lang w:eastAsia="zh-CN"/>
        </w:rPr>
        <w:t>，社会保障和就业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支出56.64万元，</w:t>
      </w:r>
      <w:r>
        <w:rPr>
          <w:rFonts w:hint="eastAsia" w:ascii="仿宋_GB2312" w:eastAsia="仿宋_GB2312"/>
          <w:sz w:val="32"/>
          <w:szCs w:val="32"/>
          <w:lang w:eastAsia="zh-CN"/>
        </w:rPr>
        <w:t>卫生健康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支出23.55万元，</w:t>
      </w:r>
      <w:r>
        <w:rPr>
          <w:rFonts w:hint="eastAsia" w:ascii="仿宋_GB2312" w:eastAsia="仿宋_GB2312"/>
          <w:sz w:val="32"/>
          <w:szCs w:val="32"/>
          <w:lang w:eastAsia="zh-CN"/>
        </w:rPr>
        <w:t>住房保障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支出47.52万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eastAsia="仿宋_GB2312"/>
          <w:sz w:val="32"/>
          <w:szCs w:val="32"/>
        </w:rPr>
        <w:t>较去年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增加28.81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主要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原因是新增下属事业单位市新时代文明实践指导中心（财务未独立核算、非部门预算单位），导致2024年工资、机关养老保险、医疗保险、住房公积金缴费等人员经费和公用经费预算收入相应增加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四、一般公共预算拨款支出预算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2024年</w:t>
      </w:r>
      <w:r>
        <w:rPr>
          <w:rFonts w:hint="eastAsia" w:ascii="仿宋_GB2312" w:eastAsia="仿宋_GB2312"/>
          <w:sz w:val="32"/>
          <w:szCs w:val="32"/>
        </w:rPr>
        <w:t>一般公共预算拨款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支出预算741.03</w:t>
      </w:r>
      <w:r>
        <w:rPr>
          <w:rFonts w:hint="eastAsia" w:ascii="仿宋_GB2312" w:eastAsia="仿宋_GB2312"/>
          <w:sz w:val="32"/>
          <w:szCs w:val="32"/>
        </w:rPr>
        <w:t>万元，具体安排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如下：</w:t>
      </w:r>
    </w:p>
    <w:p>
      <w:pPr>
        <w:adjustRightInd w:val="0"/>
        <w:snapToGrid w:val="0"/>
        <w:spacing w:line="560" w:lineRule="exact"/>
        <w:ind w:firstLine="0" w:firstLineChars="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（一）基本支出：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2024年</w:t>
      </w:r>
      <w:r>
        <w:rPr>
          <w:rFonts w:hint="eastAsia" w:ascii="仿宋_GB2312" w:eastAsia="仿宋_GB2312"/>
          <w:sz w:val="32"/>
          <w:szCs w:val="32"/>
        </w:rPr>
        <w:t>年初预算数为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613.03</w:t>
      </w:r>
      <w:r>
        <w:rPr>
          <w:rFonts w:hint="eastAsia" w:ascii="仿宋_GB2312" w:eastAsia="仿宋_GB2312"/>
          <w:sz w:val="32"/>
          <w:szCs w:val="32"/>
        </w:rPr>
        <w:t>万元，是指为保障单位机构正常运转、完成日常工作任务而发生的各项支出，包括用于基本工资、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绩效工资、</w:t>
      </w:r>
      <w:r>
        <w:rPr>
          <w:rFonts w:hint="eastAsia" w:ascii="仿宋_GB2312" w:eastAsia="仿宋_GB2312"/>
          <w:sz w:val="32"/>
          <w:szCs w:val="32"/>
        </w:rPr>
        <w:t>津贴补贴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、绩效奖金、年终奖励性工资</w:t>
      </w:r>
      <w:r>
        <w:rPr>
          <w:rFonts w:hint="eastAsia" w:ascii="仿宋_GB2312" w:eastAsia="仿宋_GB2312"/>
          <w:sz w:val="32"/>
          <w:szCs w:val="32"/>
        </w:rPr>
        <w:t>等人员经费以及办公费、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邮</w:t>
      </w:r>
      <w:r>
        <w:rPr>
          <w:rFonts w:hint="eastAsia" w:ascii="仿宋_GB2312" w:eastAsia="仿宋_GB2312"/>
          <w:sz w:val="32"/>
          <w:szCs w:val="32"/>
        </w:rPr>
        <w:t>电费、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差旅费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劳务费、工会经费、福利费、公务接待费、</w:t>
      </w:r>
      <w:r>
        <w:rPr>
          <w:rFonts w:hint="eastAsia" w:ascii="仿宋_GB2312" w:eastAsia="仿宋_GB2312"/>
          <w:sz w:val="32"/>
          <w:szCs w:val="32"/>
        </w:rPr>
        <w:t>办公设备购置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其他交通费、其他商品和服务支出</w:t>
      </w:r>
      <w:r>
        <w:rPr>
          <w:rFonts w:hint="eastAsia" w:ascii="仿宋_GB2312" w:eastAsia="仿宋_GB2312"/>
          <w:sz w:val="32"/>
          <w:szCs w:val="32"/>
        </w:rPr>
        <w:t>等日常公用经费。</w:t>
      </w:r>
    </w:p>
    <w:p>
      <w:pPr>
        <w:adjustRightInd w:val="0"/>
        <w:snapToGrid w:val="0"/>
        <w:spacing w:line="560" w:lineRule="exact"/>
        <w:ind w:firstLine="0" w:firstLineChars="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（二）项目支出：</w:t>
      </w:r>
    </w:p>
    <w:p>
      <w:pPr>
        <w:adjustRightInd w:val="0"/>
        <w:snapToGrid w:val="0"/>
        <w:spacing w:line="560" w:lineRule="exact"/>
        <w:ind w:firstLine="566" w:firstLineChars="17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2024年</w:t>
      </w:r>
      <w:r>
        <w:rPr>
          <w:rFonts w:hint="eastAsia" w:ascii="仿宋_GB2312" w:eastAsia="仿宋_GB2312"/>
          <w:sz w:val="32"/>
          <w:szCs w:val="32"/>
        </w:rPr>
        <w:t>年初预算数为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128</w:t>
      </w:r>
      <w:r>
        <w:rPr>
          <w:rFonts w:hint="eastAsia" w:ascii="仿宋_GB2312" w:eastAsia="仿宋_GB2312"/>
          <w:sz w:val="32"/>
          <w:szCs w:val="32"/>
        </w:rPr>
        <w:t>万元，是指单位为完成特定行政工作任务或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宣传思想工作</w:t>
      </w:r>
      <w:r>
        <w:rPr>
          <w:rFonts w:hint="eastAsia" w:ascii="仿宋_GB2312" w:eastAsia="仿宋_GB2312"/>
          <w:sz w:val="32"/>
          <w:szCs w:val="32"/>
        </w:rPr>
        <w:t>目标而发生的支出，包括</w:t>
      </w:r>
      <w:r>
        <w:rPr>
          <w:rFonts w:eastAsia="仿宋_GB2312"/>
          <w:sz w:val="32"/>
          <w:szCs w:val="32"/>
        </w:rPr>
        <w:t>有关事业发展专项、专项业务费等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其中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①</w:t>
      </w:r>
      <w:r>
        <w:rPr>
          <w:rFonts w:hint="eastAsia" w:ascii="仿宋_GB2312" w:eastAsia="仿宋_GB2312"/>
          <w:sz w:val="32"/>
          <w:szCs w:val="32"/>
        </w:rPr>
        <w:t>宣传事务经费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支出85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主要用于理论研究、理论学习、理论宣讲、宣传引导、</w:t>
      </w:r>
      <w:r>
        <w:rPr>
          <w:rFonts w:hint="eastAsia" w:ascii="仿宋_GB2312" w:eastAsia="仿宋_GB2312"/>
          <w:sz w:val="32"/>
          <w:szCs w:val="32"/>
        </w:rPr>
        <w:t>新闻发布与对外推广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意识形态工作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舆情处置、文化体制改革与发展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新闻出版电影行业管理、</w:t>
      </w:r>
      <w:r>
        <w:rPr>
          <w:rFonts w:hint="eastAsia" w:ascii="仿宋_GB2312" w:eastAsia="仿宋_GB2312"/>
          <w:sz w:val="32"/>
          <w:szCs w:val="32"/>
        </w:rPr>
        <w:t>精神文明建设指导协调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记者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采访、</w:t>
      </w:r>
      <w:r>
        <w:rPr>
          <w:rFonts w:hint="eastAsia" w:ascii="仿宋_GB2312" w:eastAsia="仿宋_GB2312"/>
          <w:sz w:val="32"/>
          <w:szCs w:val="32"/>
        </w:rPr>
        <w:t>重大新闻组稿、文明指数测评等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方面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②</w:t>
      </w:r>
      <w:r>
        <w:rPr>
          <w:rFonts w:hint="eastAsia" w:ascii="仿宋_GB2312" w:eastAsia="仿宋_GB2312"/>
          <w:sz w:val="32"/>
          <w:szCs w:val="32"/>
        </w:rPr>
        <w:t>市委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理论学习</w:t>
      </w:r>
      <w:r>
        <w:rPr>
          <w:rFonts w:hint="eastAsia" w:ascii="仿宋_GB2312" w:eastAsia="仿宋_GB2312"/>
          <w:sz w:val="32"/>
          <w:szCs w:val="32"/>
        </w:rPr>
        <w:t>中心组学习等工作经费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支出43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主要用于市委理论学习中心组邀请专家授课、购买学习资料、组织集中学习等学习培训方面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spacing w:line="600" w:lineRule="exact"/>
        <w:ind w:left="0" w:leftChars="0" w:firstLine="0" w:firstLineChars="0"/>
        <w:jc w:val="both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五、政府性基金预算支出</w:t>
      </w:r>
    </w:p>
    <w:p>
      <w:pPr>
        <w:widowControl/>
        <w:spacing w:line="600" w:lineRule="exact"/>
        <w:ind w:left="0" w:leftChars="0" w:firstLine="560" w:firstLineChars="175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本单位无政府性基金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、其他重要事项的情况说明</w:t>
      </w:r>
    </w:p>
    <w:p>
      <w:pPr>
        <w:adjustRightInd w:val="0"/>
        <w:snapToGrid w:val="0"/>
        <w:spacing w:line="560" w:lineRule="exact"/>
        <w:ind w:firstLine="0" w:firstLineChars="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（一）机关运行经费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2024年</w:t>
      </w:r>
      <w:r>
        <w:rPr>
          <w:rFonts w:hint="eastAsia" w:ascii="仿宋_GB2312" w:eastAsia="仿宋_GB2312"/>
          <w:sz w:val="32"/>
          <w:szCs w:val="32"/>
        </w:rPr>
        <w:t xml:space="preserve">本单位机关运行经费当年一般公共预算拨款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89.32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比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增加4.36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上升5.13</w:t>
      </w:r>
      <w:r>
        <w:rPr>
          <w:rFonts w:hint="eastAsia" w:ascii="仿宋_GB2312" w:eastAsia="仿宋_GB2312"/>
          <w:sz w:val="32"/>
          <w:szCs w:val="32"/>
        </w:rPr>
        <w:t>%。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主要原因是新增下属事业单位市新时代文明实践指导中心（财务未独立核算、非部门预算单位）5人，导致2024年公用经费预算收入相应增加。</w:t>
      </w:r>
      <w:r>
        <w:rPr>
          <w:rFonts w:hint="eastAsia" w:ascii="仿宋_GB2312" w:eastAsia="仿宋_GB2312"/>
          <w:sz w:val="32"/>
          <w:szCs w:val="32"/>
        </w:rPr>
        <w:t>主要包括：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公务接待费、其他交通费、工会经费、福利费、</w:t>
      </w:r>
      <w:r>
        <w:rPr>
          <w:rFonts w:hint="eastAsia" w:ascii="仿宋_GB2312" w:eastAsia="仿宋_GB2312"/>
          <w:sz w:val="32"/>
          <w:szCs w:val="32"/>
        </w:rPr>
        <w:t>其他商品和服务支出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0" w:firstLineChars="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（二）“三公”经费预算</w:t>
      </w:r>
    </w:p>
    <w:p>
      <w:pPr>
        <w:adjustRightInd w:val="0"/>
        <w:snapToGrid w:val="0"/>
        <w:spacing w:line="560" w:lineRule="exact"/>
        <w:ind w:left="0" w:leftChars="0" w:firstLine="560" w:firstLineChars="17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2024年</w:t>
      </w:r>
      <w:r>
        <w:rPr>
          <w:rFonts w:hint="eastAsia" w:ascii="仿宋_GB2312" w:eastAsia="仿宋_GB2312"/>
          <w:sz w:val="32"/>
          <w:szCs w:val="32"/>
        </w:rPr>
        <w:t>“三公”经费预算数为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其中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公务接待费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公务用车购置及运行费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万元（其中，公务用车购置费0万元，公务用车运行费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万元），因公出国（境）费0万元</w:t>
      </w:r>
      <w:r>
        <w:rPr>
          <w:rFonts w:hint="eastAsia" w:ascii="仿宋_GB2312" w:eastAsia="仿宋_GB2312"/>
          <w:sz w:val="32"/>
          <w:szCs w:val="32"/>
          <w:lang w:eastAsia="zh-CN"/>
        </w:rPr>
        <w:t>。2024年“三公”经费预算较2023年减少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万元，减少主要原因是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认真落实政府过“紧日子”思想，严格执行中央八项规定及其实施细则精神，坚持厉行节约，大力压减了一般性支出。</w:t>
      </w:r>
    </w:p>
    <w:p>
      <w:pPr>
        <w:adjustRightInd w:val="0"/>
        <w:snapToGrid w:val="0"/>
        <w:spacing w:line="560" w:lineRule="exact"/>
        <w:ind w:firstLine="0" w:firstLineChars="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（三）政府采购情况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中共</w:t>
      </w:r>
      <w:r>
        <w:rPr>
          <w:rFonts w:hint="eastAsia" w:ascii="仿宋_GB2312" w:eastAsia="仿宋_GB2312"/>
          <w:sz w:val="32"/>
          <w:szCs w:val="32"/>
        </w:rPr>
        <w:t>永州市委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宣传部</w:t>
      </w:r>
      <w:r>
        <w:rPr>
          <w:rFonts w:hint="eastAsia" w:ascii="仿宋_GB2312" w:eastAsia="仿宋_GB2312"/>
          <w:sz w:val="32"/>
          <w:szCs w:val="32"/>
        </w:rPr>
        <w:t>政府采购预算总额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eastAsia="仿宋_GB2312"/>
          <w:sz w:val="32"/>
          <w:szCs w:val="32"/>
        </w:rPr>
        <w:t>万元，其中，政府采购货物类预算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政府采购工程类预算0万元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政府采购服务类预算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（四）国有资产占有使用及新增资产配置情况</w:t>
      </w:r>
    </w:p>
    <w:p>
      <w:pPr>
        <w:adjustRightInd w:val="0"/>
        <w:snapToGrid w:val="0"/>
        <w:spacing w:line="560" w:lineRule="exact"/>
        <w:ind w:firstLine="566" w:firstLineChars="17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2024年，</w:t>
      </w:r>
      <w:r>
        <w:rPr>
          <w:rFonts w:hint="eastAsia" w:ascii="仿宋_GB2312" w:eastAsia="仿宋_GB2312"/>
          <w:sz w:val="32"/>
          <w:szCs w:val="32"/>
          <w:highlight w:val="none"/>
        </w:rPr>
        <w:t>本单位资产总值年初余额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207.42</w:t>
      </w:r>
      <w:r>
        <w:rPr>
          <w:rFonts w:hint="eastAsia" w:ascii="仿宋_GB2312" w:eastAsia="仿宋_GB2312"/>
          <w:sz w:val="32"/>
          <w:szCs w:val="32"/>
          <w:highlight w:val="none"/>
        </w:rPr>
        <w:t>万元，其中包括流动资产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17.3</w:t>
      </w:r>
      <w:r>
        <w:rPr>
          <w:rFonts w:hint="eastAsia" w:ascii="仿宋_GB2312" w:eastAsia="仿宋_GB2312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固定资产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190.12</w:t>
      </w:r>
      <w:r>
        <w:rPr>
          <w:rFonts w:hint="eastAsia" w:ascii="仿宋_GB2312" w:eastAsia="仿宋_GB2312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固定资产包括房屋及构筑物、通用设备、专用设备等。</w:t>
      </w:r>
      <w:r>
        <w:rPr>
          <w:rFonts w:hint="eastAsia" w:ascii="仿宋_GB2312" w:eastAsia="仿宋_GB2312"/>
          <w:sz w:val="32"/>
          <w:szCs w:val="32"/>
        </w:rPr>
        <w:t>占用办公用房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含会议室、开水房、档案室、文印室、储藏室等附属服务用房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586.76</w:t>
      </w:r>
      <w:r>
        <w:rPr>
          <w:rFonts w:hint="eastAsia" w:ascii="仿宋_GB2312" w:eastAsia="仿宋_GB2312"/>
          <w:sz w:val="32"/>
          <w:szCs w:val="32"/>
        </w:rPr>
        <w:t>平方米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本单位无50万元以上通用设备及专用设备。公务用车0辆。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2024年本单位无新增资产配置。</w:t>
      </w:r>
    </w:p>
    <w:p>
      <w:pPr>
        <w:adjustRightInd w:val="0"/>
        <w:snapToGrid w:val="0"/>
        <w:spacing w:line="560" w:lineRule="exact"/>
        <w:ind w:firstLine="0" w:firstLineChars="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（五）重点项目预算的绩效目标等预算绩效情况说明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2024年度本部门</w:t>
      </w:r>
      <w:r>
        <w:rPr>
          <w:rFonts w:hint="eastAsia" w:ascii="仿宋_GB2312" w:eastAsia="仿宋_GB2312"/>
          <w:sz w:val="32"/>
          <w:szCs w:val="32"/>
          <w:lang w:eastAsia="zh-CN"/>
        </w:rPr>
        <w:t>整体支出和项目支出实行绩效目标管理，纳入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2024年部门整体支出绩效的金额为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741.03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万元，其中，基本支出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613.03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万元，项目支出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128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万元，具体绩效目标详见预算报表。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楷体_GB2312" w:hAnsi="Times New Roman" w:eastAsia="楷体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（六）</w:t>
      </w:r>
      <w:r>
        <w:rPr>
          <w:rFonts w:hint="eastAsia" w:ascii="楷体_GB2312" w:hAnsi="Times New Roman" w:eastAsia="楷体_GB2312" w:cs="Times New Roman"/>
          <w:b/>
          <w:color w:val="auto"/>
          <w:sz w:val="32"/>
          <w:szCs w:val="32"/>
          <w:lang w:val="en-US" w:eastAsia="zh-CN"/>
        </w:rPr>
        <w:t>财政专户经费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default" w:ascii="仿宋_GB2312" w:eastAsia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2024年本单位无财政专户经费预算。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楷体_GB2312" w:hAnsi="Times New Roman" w:eastAsia="楷体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color w:val="auto"/>
          <w:sz w:val="32"/>
          <w:szCs w:val="32"/>
          <w:lang w:val="en-US" w:eastAsia="zh-CN"/>
        </w:rPr>
        <w:t>（七）会议、培训、节庆等一般性支出情况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2024年本单位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计划举办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36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次，计划参会人数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360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人，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排会议经费预算10万元，比2023年预算减少2万元，下降16.67%；计划举办培训4次，计划参加人数600人，培训经费预算11万元，比2023年预算减少4万元，下降26.67%；计划举办节庆0次，计划参加人数0人，节庆经费预算0万元；计划举办晚会0次，计划参加人数0人，晚会经费预算0万元；计划举办论坛0次，计划参加人数0人，论坛经费预算0万元；计划举办赛事0次，计划参加人数0人，赛事经费预算0万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00" w:beforeAutospacing="1" w:after="300" w:line="480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1.一般公共预算：对以税收为主体的财政收入，安排用于保障和改善民生、推动经济社会发展、维护国家安全、维持国家机构正常运转等方面的收支预算。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00" w:beforeAutospacing="1" w:after="300" w:line="480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2.政府性基金预算：对依照法律、行政法规的规定在一定期限内向特定对象征收、收取或者以其他方式筹集的资金，专项用于特定公共事业发展的收支预算。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00" w:beforeAutospacing="1" w:after="300" w:line="480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非税收入：指各级国家机关、事业单位、社会团体以及其他组织，依据有关法律、行政法规，履行管理职能、行使国有资产或者国有资源所有权、提供特定服务或者以政府名义征收、收取、提取、罚没、追缴、募集的税收以外的财政性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00" w:beforeAutospacing="1" w:after="300" w:line="480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“三公”经费：是指通过财政拨款资金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00" w:beforeAutospacing="1" w:after="300" w:line="480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.基本支出：指为保障单位机构正常运转、完成日常工作任务而发生的各项支出。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00" w:beforeAutospacing="1" w:after="300" w:line="480" w:lineRule="exact"/>
        <w:ind w:firstLine="0" w:firstLineChars="0"/>
        <w:textAlignment w:val="auto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.项目支出：指单位为完成特定行政工作任务或事业发展目标而发生的支出。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480" w:lineRule="exact"/>
        <w:ind w:firstLine="0" w:firstLineChars="0"/>
        <w:jc w:val="center"/>
        <w:textAlignment w:val="auto"/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  <w:t>二</w:t>
      </w: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部分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  <w:t xml:space="preserve">  部门预算公开表格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见附件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00" w:beforeAutospacing="1" w:after="300" w:line="480" w:lineRule="exact"/>
        <w:ind w:firstLine="643"/>
        <w:textAlignment w:val="auto"/>
        <w:rPr>
          <w:rFonts w:ascii="楷体_GB2312" w:hAnsi="Calibri" w:eastAsia="楷体_GB2312" w:cs="Times New Roman"/>
          <w:b/>
          <w:bCs/>
          <w:sz w:val="28"/>
          <w:szCs w:val="28"/>
        </w:rPr>
      </w:pPr>
      <w:r>
        <w:rPr>
          <w:rFonts w:hint="eastAsia" w:eastAsia="仿宋_GB2312"/>
          <w:sz w:val="32"/>
          <w:szCs w:val="32"/>
          <w:lang w:eastAsia="zh-CN"/>
        </w:rPr>
        <w:t>附件：</w:t>
      </w:r>
      <w:r>
        <w:rPr>
          <w:rFonts w:hint="eastAsia" w:eastAsia="仿宋_GB2312"/>
          <w:sz w:val="32"/>
          <w:szCs w:val="32"/>
          <w:lang w:val="en-US" w:eastAsia="zh-CN"/>
        </w:rPr>
        <w:t>中共</w:t>
      </w:r>
      <w:r>
        <w:rPr>
          <w:rFonts w:hint="eastAsia" w:eastAsia="仿宋_GB2312"/>
          <w:sz w:val="32"/>
          <w:szCs w:val="32"/>
          <w:lang w:eastAsia="zh-CN"/>
        </w:rPr>
        <w:t>永州市委</w:t>
      </w:r>
      <w:r>
        <w:rPr>
          <w:rFonts w:hint="eastAsia" w:eastAsia="仿宋_GB2312"/>
          <w:sz w:val="32"/>
          <w:szCs w:val="32"/>
          <w:lang w:val="en-US" w:eastAsia="zh-CN"/>
        </w:rPr>
        <w:t>宣传部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eastAsia="仿宋_GB2312"/>
          <w:sz w:val="32"/>
          <w:szCs w:val="32"/>
        </w:rPr>
        <w:t>部门预算</w:t>
      </w:r>
      <w:r>
        <w:rPr>
          <w:rFonts w:hint="eastAsia" w:eastAsia="仿宋_GB2312"/>
          <w:sz w:val="32"/>
          <w:szCs w:val="32"/>
          <w:lang w:eastAsia="zh-CN"/>
        </w:rPr>
        <w:t>公开</w:t>
      </w:r>
      <w:r>
        <w:rPr>
          <w:rFonts w:hint="eastAsia" w:eastAsia="仿宋_GB2312"/>
          <w:sz w:val="32"/>
          <w:szCs w:val="32"/>
        </w:rPr>
        <w:t>表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4MGQ3Nzk2MzAzOTc4YWVmNTE3ZGU2N2VlZTNiMTQifQ=="/>
  </w:docVars>
  <w:rsids>
    <w:rsidRoot w:val="003A423F"/>
    <w:rsid w:val="00006B32"/>
    <w:rsid w:val="00014FB3"/>
    <w:rsid w:val="000320DB"/>
    <w:rsid w:val="000652F0"/>
    <w:rsid w:val="000A753E"/>
    <w:rsid w:val="000B20AB"/>
    <w:rsid w:val="00101424"/>
    <w:rsid w:val="00102424"/>
    <w:rsid w:val="001063E9"/>
    <w:rsid w:val="0013773A"/>
    <w:rsid w:val="00140C1C"/>
    <w:rsid w:val="001A1827"/>
    <w:rsid w:val="001A21D3"/>
    <w:rsid w:val="001C1041"/>
    <w:rsid w:val="001C301F"/>
    <w:rsid w:val="001C5997"/>
    <w:rsid w:val="001C7B20"/>
    <w:rsid w:val="001D5BC0"/>
    <w:rsid w:val="001F603A"/>
    <w:rsid w:val="002110B8"/>
    <w:rsid w:val="00235D3B"/>
    <w:rsid w:val="0024385D"/>
    <w:rsid w:val="002724BF"/>
    <w:rsid w:val="0029542A"/>
    <w:rsid w:val="002A7117"/>
    <w:rsid w:val="002B0B15"/>
    <w:rsid w:val="002C406C"/>
    <w:rsid w:val="002F4734"/>
    <w:rsid w:val="00352DBF"/>
    <w:rsid w:val="003540C6"/>
    <w:rsid w:val="00364A6D"/>
    <w:rsid w:val="00385D8E"/>
    <w:rsid w:val="003A09E6"/>
    <w:rsid w:val="003A423F"/>
    <w:rsid w:val="003C1385"/>
    <w:rsid w:val="003E0ADE"/>
    <w:rsid w:val="003F074A"/>
    <w:rsid w:val="0040623C"/>
    <w:rsid w:val="004169B3"/>
    <w:rsid w:val="00436A50"/>
    <w:rsid w:val="0046439B"/>
    <w:rsid w:val="00470B69"/>
    <w:rsid w:val="004A087C"/>
    <w:rsid w:val="004A42F1"/>
    <w:rsid w:val="004F32B5"/>
    <w:rsid w:val="00511A02"/>
    <w:rsid w:val="00563FD2"/>
    <w:rsid w:val="00577593"/>
    <w:rsid w:val="00581D27"/>
    <w:rsid w:val="005C0905"/>
    <w:rsid w:val="005D0915"/>
    <w:rsid w:val="005D7B1F"/>
    <w:rsid w:val="005D7D46"/>
    <w:rsid w:val="005E2866"/>
    <w:rsid w:val="005F14EA"/>
    <w:rsid w:val="00604C2D"/>
    <w:rsid w:val="00604F5A"/>
    <w:rsid w:val="00630736"/>
    <w:rsid w:val="00631D31"/>
    <w:rsid w:val="00657A8F"/>
    <w:rsid w:val="00696F7B"/>
    <w:rsid w:val="006D1394"/>
    <w:rsid w:val="006F2356"/>
    <w:rsid w:val="00715190"/>
    <w:rsid w:val="0072279C"/>
    <w:rsid w:val="00745AD5"/>
    <w:rsid w:val="00757C0B"/>
    <w:rsid w:val="0076427B"/>
    <w:rsid w:val="00774EE0"/>
    <w:rsid w:val="00784A37"/>
    <w:rsid w:val="00785CAE"/>
    <w:rsid w:val="00795C58"/>
    <w:rsid w:val="007A777E"/>
    <w:rsid w:val="007B0FA0"/>
    <w:rsid w:val="007B6A99"/>
    <w:rsid w:val="007B77BE"/>
    <w:rsid w:val="007D4E93"/>
    <w:rsid w:val="007F73BE"/>
    <w:rsid w:val="008137D6"/>
    <w:rsid w:val="00823A81"/>
    <w:rsid w:val="00826935"/>
    <w:rsid w:val="0083408B"/>
    <w:rsid w:val="008363ED"/>
    <w:rsid w:val="008373E5"/>
    <w:rsid w:val="008405D6"/>
    <w:rsid w:val="00844BE1"/>
    <w:rsid w:val="00861414"/>
    <w:rsid w:val="008871D2"/>
    <w:rsid w:val="00896BF8"/>
    <w:rsid w:val="008A5391"/>
    <w:rsid w:val="008B79CE"/>
    <w:rsid w:val="008B7EA7"/>
    <w:rsid w:val="008C2B7E"/>
    <w:rsid w:val="008D70A0"/>
    <w:rsid w:val="008E757E"/>
    <w:rsid w:val="008F74BA"/>
    <w:rsid w:val="0090133C"/>
    <w:rsid w:val="0090372C"/>
    <w:rsid w:val="009374B9"/>
    <w:rsid w:val="0094652A"/>
    <w:rsid w:val="0097050D"/>
    <w:rsid w:val="009827B3"/>
    <w:rsid w:val="00983F66"/>
    <w:rsid w:val="00986166"/>
    <w:rsid w:val="0099064D"/>
    <w:rsid w:val="009A3E6C"/>
    <w:rsid w:val="009A4AB2"/>
    <w:rsid w:val="009A53B8"/>
    <w:rsid w:val="009D230A"/>
    <w:rsid w:val="009E015E"/>
    <w:rsid w:val="00A03D6B"/>
    <w:rsid w:val="00A1347A"/>
    <w:rsid w:val="00A73ECF"/>
    <w:rsid w:val="00A77988"/>
    <w:rsid w:val="00A92DFA"/>
    <w:rsid w:val="00AA56C8"/>
    <w:rsid w:val="00AB159E"/>
    <w:rsid w:val="00AC4DC7"/>
    <w:rsid w:val="00B00A77"/>
    <w:rsid w:val="00B063F9"/>
    <w:rsid w:val="00B171CB"/>
    <w:rsid w:val="00B22D88"/>
    <w:rsid w:val="00B2432C"/>
    <w:rsid w:val="00B24B22"/>
    <w:rsid w:val="00B26748"/>
    <w:rsid w:val="00B44100"/>
    <w:rsid w:val="00B54A5B"/>
    <w:rsid w:val="00B776DA"/>
    <w:rsid w:val="00B83DB8"/>
    <w:rsid w:val="00BD77E7"/>
    <w:rsid w:val="00C06A38"/>
    <w:rsid w:val="00C37337"/>
    <w:rsid w:val="00C37C8C"/>
    <w:rsid w:val="00C37E61"/>
    <w:rsid w:val="00C50BF8"/>
    <w:rsid w:val="00C51764"/>
    <w:rsid w:val="00C828FC"/>
    <w:rsid w:val="00CB3BCB"/>
    <w:rsid w:val="00CB7FAF"/>
    <w:rsid w:val="00D10248"/>
    <w:rsid w:val="00D26690"/>
    <w:rsid w:val="00D337F0"/>
    <w:rsid w:val="00D60C4C"/>
    <w:rsid w:val="00D632DF"/>
    <w:rsid w:val="00D67277"/>
    <w:rsid w:val="00D67CD2"/>
    <w:rsid w:val="00D71E5A"/>
    <w:rsid w:val="00D8578F"/>
    <w:rsid w:val="00DA7B94"/>
    <w:rsid w:val="00DC4CF0"/>
    <w:rsid w:val="00E15E57"/>
    <w:rsid w:val="00E24BAB"/>
    <w:rsid w:val="00E423CF"/>
    <w:rsid w:val="00E6133A"/>
    <w:rsid w:val="00E6473F"/>
    <w:rsid w:val="00E819F1"/>
    <w:rsid w:val="00EC4D06"/>
    <w:rsid w:val="00ED03F3"/>
    <w:rsid w:val="00EF4CA1"/>
    <w:rsid w:val="00F245BB"/>
    <w:rsid w:val="00F333D7"/>
    <w:rsid w:val="00F36476"/>
    <w:rsid w:val="00F43039"/>
    <w:rsid w:val="00F47FAA"/>
    <w:rsid w:val="00F530AB"/>
    <w:rsid w:val="00F54197"/>
    <w:rsid w:val="00F863B2"/>
    <w:rsid w:val="00F86FDF"/>
    <w:rsid w:val="00FA5624"/>
    <w:rsid w:val="00FA6EAD"/>
    <w:rsid w:val="00FD11ED"/>
    <w:rsid w:val="011759E9"/>
    <w:rsid w:val="016D6AC7"/>
    <w:rsid w:val="017372E1"/>
    <w:rsid w:val="01B27D0E"/>
    <w:rsid w:val="01CB5D00"/>
    <w:rsid w:val="01DF2D2D"/>
    <w:rsid w:val="025910D6"/>
    <w:rsid w:val="02BA5D3C"/>
    <w:rsid w:val="02C75A63"/>
    <w:rsid w:val="02CF1A3F"/>
    <w:rsid w:val="03092820"/>
    <w:rsid w:val="031C2553"/>
    <w:rsid w:val="03243AD1"/>
    <w:rsid w:val="039562EA"/>
    <w:rsid w:val="03E272F9"/>
    <w:rsid w:val="04163446"/>
    <w:rsid w:val="044A3095"/>
    <w:rsid w:val="04B4014A"/>
    <w:rsid w:val="04BB0007"/>
    <w:rsid w:val="04C850DB"/>
    <w:rsid w:val="059565ED"/>
    <w:rsid w:val="0631765E"/>
    <w:rsid w:val="063E0A32"/>
    <w:rsid w:val="06744454"/>
    <w:rsid w:val="06BE1C3B"/>
    <w:rsid w:val="07013F3A"/>
    <w:rsid w:val="070C2043"/>
    <w:rsid w:val="070F60AD"/>
    <w:rsid w:val="075F3D1A"/>
    <w:rsid w:val="076C54D8"/>
    <w:rsid w:val="077A4488"/>
    <w:rsid w:val="07BA6AE6"/>
    <w:rsid w:val="07FC21AC"/>
    <w:rsid w:val="08015BAF"/>
    <w:rsid w:val="08395E44"/>
    <w:rsid w:val="087B3046"/>
    <w:rsid w:val="08892DBE"/>
    <w:rsid w:val="08C61869"/>
    <w:rsid w:val="095B0D4B"/>
    <w:rsid w:val="0983332C"/>
    <w:rsid w:val="09FC09DC"/>
    <w:rsid w:val="0A317417"/>
    <w:rsid w:val="0A645A8D"/>
    <w:rsid w:val="0A7464E2"/>
    <w:rsid w:val="0A8C7FBE"/>
    <w:rsid w:val="0B453E99"/>
    <w:rsid w:val="0B60218C"/>
    <w:rsid w:val="0B7F5D75"/>
    <w:rsid w:val="0B837613"/>
    <w:rsid w:val="0BA63302"/>
    <w:rsid w:val="0BA75FDE"/>
    <w:rsid w:val="0C5F3E30"/>
    <w:rsid w:val="0CBB2DDD"/>
    <w:rsid w:val="0D116EA1"/>
    <w:rsid w:val="0D4807E1"/>
    <w:rsid w:val="0D5648B3"/>
    <w:rsid w:val="0D6276FC"/>
    <w:rsid w:val="0D662B7F"/>
    <w:rsid w:val="0D6B42FE"/>
    <w:rsid w:val="0D7D62E4"/>
    <w:rsid w:val="0D9E2C02"/>
    <w:rsid w:val="0DAB492A"/>
    <w:rsid w:val="0DCB513F"/>
    <w:rsid w:val="0DE16873"/>
    <w:rsid w:val="0E39105B"/>
    <w:rsid w:val="0E904BFB"/>
    <w:rsid w:val="0E9C4E0F"/>
    <w:rsid w:val="0EBD2E3C"/>
    <w:rsid w:val="0ED463D8"/>
    <w:rsid w:val="0ED73B83"/>
    <w:rsid w:val="0EF10318"/>
    <w:rsid w:val="0F19203C"/>
    <w:rsid w:val="0F4D06F0"/>
    <w:rsid w:val="0F940616"/>
    <w:rsid w:val="0FF3288D"/>
    <w:rsid w:val="10066A65"/>
    <w:rsid w:val="10182A25"/>
    <w:rsid w:val="108F25B6"/>
    <w:rsid w:val="10AB1024"/>
    <w:rsid w:val="11472E91"/>
    <w:rsid w:val="11DF317C"/>
    <w:rsid w:val="12837EC2"/>
    <w:rsid w:val="128B4038"/>
    <w:rsid w:val="129245E0"/>
    <w:rsid w:val="131B4B42"/>
    <w:rsid w:val="13425137"/>
    <w:rsid w:val="134358DA"/>
    <w:rsid w:val="136F4E3A"/>
    <w:rsid w:val="14015461"/>
    <w:rsid w:val="141A2ADF"/>
    <w:rsid w:val="14471136"/>
    <w:rsid w:val="145236B4"/>
    <w:rsid w:val="14961AD4"/>
    <w:rsid w:val="14A7645E"/>
    <w:rsid w:val="14B52807"/>
    <w:rsid w:val="14CA3957"/>
    <w:rsid w:val="151445DB"/>
    <w:rsid w:val="152048FD"/>
    <w:rsid w:val="152806C0"/>
    <w:rsid w:val="1552454F"/>
    <w:rsid w:val="15561D81"/>
    <w:rsid w:val="155C27C3"/>
    <w:rsid w:val="15632F62"/>
    <w:rsid w:val="156A35F2"/>
    <w:rsid w:val="16481B85"/>
    <w:rsid w:val="16BF1448"/>
    <w:rsid w:val="173E4D36"/>
    <w:rsid w:val="17796FF9"/>
    <w:rsid w:val="17B25555"/>
    <w:rsid w:val="17CD0F73"/>
    <w:rsid w:val="17E007A4"/>
    <w:rsid w:val="17E72CD8"/>
    <w:rsid w:val="17F453F5"/>
    <w:rsid w:val="180773EF"/>
    <w:rsid w:val="18552337"/>
    <w:rsid w:val="185E4522"/>
    <w:rsid w:val="18A34816"/>
    <w:rsid w:val="18AE1A47"/>
    <w:rsid w:val="198527A8"/>
    <w:rsid w:val="198A507C"/>
    <w:rsid w:val="198D78DF"/>
    <w:rsid w:val="199547F1"/>
    <w:rsid w:val="19A8293B"/>
    <w:rsid w:val="19F942F2"/>
    <w:rsid w:val="1A200723"/>
    <w:rsid w:val="1A6860BE"/>
    <w:rsid w:val="1A6E1C5D"/>
    <w:rsid w:val="1A6F3CD0"/>
    <w:rsid w:val="1A7D5B75"/>
    <w:rsid w:val="1B10079D"/>
    <w:rsid w:val="1BB55777"/>
    <w:rsid w:val="1BC313E8"/>
    <w:rsid w:val="1C077DEC"/>
    <w:rsid w:val="1C73302A"/>
    <w:rsid w:val="1C7619AE"/>
    <w:rsid w:val="1C7F4F0D"/>
    <w:rsid w:val="1C892343"/>
    <w:rsid w:val="1CBF2475"/>
    <w:rsid w:val="1CBF7389"/>
    <w:rsid w:val="1CF82523"/>
    <w:rsid w:val="1D130E8A"/>
    <w:rsid w:val="1D175A49"/>
    <w:rsid w:val="1D491D3F"/>
    <w:rsid w:val="1DAF6046"/>
    <w:rsid w:val="1DED6B6E"/>
    <w:rsid w:val="1E804162"/>
    <w:rsid w:val="1E9715F0"/>
    <w:rsid w:val="1E9B11CA"/>
    <w:rsid w:val="1F024595"/>
    <w:rsid w:val="1F3C02BE"/>
    <w:rsid w:val="1F6907D8"/>
    <w:rsid w:val="1F75506D"/>
    <w:rsid w:val="1FA45F04"/>
    <w:rsid w:val="1FF73CD4"/>
    <w:rsid w:val="200603BB"/>
    <w:rsid w:val="21222FD3"/>
    <w:rsid w:val="213635CA"/>
    <w:rsid w:val="21792A65"/>
    <w:rsid w:val="217A2E0F"/>
    <w:rsid w:val="2193452A"/>
    <w:rsid w:val="21B762A8"/>
    <w:rsid w:val="21BB683A"/>
    <w:rsid w:val="2217240B"/>
    <w:rsid w:val="22D91B2B"/>
    <w:rsid w:val="23077D4E"/>
    <w:rsid w:val="23360FB7"/>
    <w:rsid w:val="233F1C1A"/>
    <w:rsid w:val="238A1360"/>
    <w:rsid w:val="23DC390D"/>
    <w:rsid w:val="243C1637"/>
    <w:rsid w:val="24B6415E"/>
    <w:rsid w:val="24D43B95"/>
    <w:rsid w:val="24ED56A6"/>
    <w:rsid w:val="24FA56B7"/>
    <w:rsid w:val="250E572C"/>
    <w:rsid w:val="25173472"/>
    <w:rsid w:val="2545520C"/>
    <w:rsid w:val="2560231B"/>
    <w:rsid w:val="25DC28F7"/>
    <w:rsid w:val="25F75F69"/>
    <w:rsid w:val="2670658E"/>
    <w:rsid w:val="269A360B"/>
    <w:rsid w:val="26B0306C"/>
    <w:rsid w:val="26E825C8"/>
    <w:rsid w:val="26EC5F74"/>
    <w:rsid w:val="27190A70"/>
    <w:rsid w:val="271C5DBB"/>
    <w:rsid w:val="27E242E0"/>
    <w:rsid w:val="27FE3C12"/>
    <w:rsid w:val="28EF3B26"/>
    <w:rsid w:val="29021E02"/>
    <w:rsid w:val="297C07AE"/>
    <w:rsid w:val="29A21154"/>
    <w:rsid w:val="2A007F5B"/>
    <w:rsid w:val="2A1060BE"/>
    <w:rsid w:val="2A281202"/>
    <w:rsid w:val="2A390196"/>
    <w:rsid w:val="2AB128F0"/>
    <w:rsid w:val="2B5841C1"/>
    <w:rsid w:val="2B595E2A"/>
    <w:rsid w:val="2BB60EE7"/>
    <w:rsid w:val="2C154F85"/>
    <w:rsid w:val="2C1C465A"/>
    <w:rsid w:val="2C720CEA"/>
    <w:rsid w:val="2C770676"/>
    <w:rsid w:val="2CAD4098"/>
    <w:rsid w:val="2CDA4049"/>
    <w:rsid w:val="2CE7730B"/>
    <w:rsid w:val="2D2D63DC"/>
    <w:rsid w:val="2D52327C"/>
    <w:rsid w:val="2D554F56"/>
    <w:rsid w:val="2D8543B7"/>
    <w:rsid w:val="2D975676"/>
    <w:rsid w:val="2DDA23F4"/>
    <w:rsid w:val="2E2726AA"/>
    <w:rsid w:val="2E431DEA"/>
    <w:rsid w:val="2E510C79"/>
    <w:rsid w:val="2E550B42"/>
    <w:rsid w:val="2EBE7135"/>
    <w:rsid w:val="2EDA5D78"/>
    <w:rsid w:val="2EE73794"/>
    <w:rsid w:val="2F016887"/>
    <w:rsid w:val="2F1E302B"/>
    <w:rsid w:val="2F3958EC"/>
    <w:rsid w:val="2F456666"/>
    <w:rsid w:val="2F5B602D"/>
    <w:rsid w:val="2F5C5601"/>
    <w:rsid w:val="2F982273"/>
    <w:rsid w:val="2FBB4D1E"/>
    <w:rsid w:val="30586A11"/>
    <w:rsid w:val="30667C7E"/>
    <w:rsid w:val="30691CD3"/>
    <w:rsid w:val="30F906D1"/>
    <w:rsid w:val="31061083"/>
    <w:rsid w:val="312468F3"/>
    <w:rsid w:val="31747791"/>
    <w:rsid w:val="31833619"/>
    <w:rsid w:val="318A49A8"/>
    <w:rsid w:val="31F54F51"/>
    <w:rsid w:val="32481599"/>
    <w:rsid w:val="32600172"/>
    <w:rsid w:val="326C2300"/>
    <w:rsid w:val="328C76E4"/>
    <w:rsid w:val="32D527CF"/>
    <w:rsid w:val="32DD31FD"/>
    <w:rsid w:val="333A0A87"/>
    <w:rsid w:val="337711EF"/>
    <w:rsid w:val="339F1425"/>
    <w:rsid w:val="33A414D9"/>
    <w:rsid w:val="33DD05A2"/>
    <w:rsid w:val="34022C9C"/>
    <w:rsid w:val="34451FE8"/>
    <w:rsid w:val="34834AFB"/>
    <w:rsid w:val="34CF6B59"/>
    <w:rsid w:val="34FB796B"/>
    <w:rsid w:val="35033594"/>
    <w:rsid w:val="357A2F85"/>
    <w:rsid w:val="35E328D9"/>
    <w:rsid w:val="35FF7F01"/>
    <w:rsid w:val="361C403D"/>
    <w:rsid w:val="3680105A"/>
    <w:rsid w:val="36E71451"/>
    <w:rsid w:val="37132A41"/>
    <w:rsid w:val="37524DDA"/>
    <w:rsid w:val="380B407D"/>
    <w:rsid w:val="3856055A"/>
    <w:rsid w:val="3894610C"/>
    <w:rsid w:val="38BD38B5"/>
    <w:rsid w:val="391C14A9"/>
    <w:rsid w:val="397E4168"/>
    <w:rsid w:val="399C6421"/>
    <w:rsid w:val="39A8026A"/>
    <w:rsid w:val="39D61D44"/>
    <w:rsid w:val="39E527EB"/>
    <w:rsid w:val="3A430246"/>
    <w:rsid w:val="3A773F37"/>
    <w:rsid w:val="3A8D5509"/>
    <w:rsid w:val="3ACD233D"/>
    <w:rsid w:val="3ADD5728"/>
    <w:rsid w:val="3B6B584A"/>
    <w:rsid w:val="3B800F61"/>
    <w:rsid w:val="3C067321"/>
    <w:rsid w:val="3C666012"/>
    <w:rsid w:val="3C670324"/>
    <w:rsid w:val="3CA1704A"/>
    <w:rsid w:val="3CEE766E"/>
    <w:rsid w:val="3CF36758"/>
    <w:rsid w:val="3D442BE1"/>
    <w:rsid w:val="3D762284"/>
    <w:rsid w:val="3E01121C"/>
    <w:rsid w:val="3E4203B8"/>
    <w:rsid w:val="3E6622F9"/>
    <w:rsid w:val="3EB17C38"/>
    <w:rsid w:val="3EB46FC0"/>
    <w:rsid w:val="3EB839A4"/>
    <w:rsid w:val="3EED2227"/>
    <w:rsid w:val="3F1C18FD"/>
    <w:rsid w:val="3F245BC9"/>
    <w:rsid w:val="3F865B66"/>
    <w:rsid w:val="3FA255B3"/>
    <w:rsid w:val="3FA761C7"/>
    <w:rsid w:val="3FAE18BB"/>
    <w:rsid w:val="3FB52413"/>
    <w:rsid w:val="3FC61956"/>
    <w:rsid w:val="4024747F"/>
    <w:rsid w:val="402E6E46"/>
    <w:rsid w:val="405B16ED"/>
    <w:rsid w:val="40776A3F"/>
    <w:rsid w:val="409E55B8"/>
    <w:rsid w:val="40AD0B59"/>
    <w:rsid w:val="40C31C84"/>
    <w:rsid w:val="40CE34BD"/>
    <w:rsid w:val="40E439A9"/>
    <w:rsid w:val="410404F2"/>
    <w:rsid w:val="414D77A0"/>
    <w:rsid w:val="41531E7B"/>
    <w:rsid w:val="41EA4FEF"/>
    <w:rsid w:val="42293D69"/>
    <w:rsid w:val="423436A7"/>
    <w:rsid w:val="42731488"/>
    <w:rsid w:val="42B9333F"/>
    <w:rsid w:val="42CB3134"/>
    <w:rsid w:val="42E7152D"/>
    <w:rsid w:val="42FD12BA"/>
    <w:rsid w:val="431353FB"/>
    <w:rsid w:val="437234EE"/>
    <w:rsid w:val="43BB7B41"/>
    <w:rsid w:val="43F94045"/>
    <w:rsid w:val="441D16AC"/>
    <w:rsid w:val="4428547F"/>
    <w:rsid w:val="445D7EAE"/>
    <w:rsid w:val="44653A2F"/>
    <w:rsid w:val="44667A57"/>
    <w:rsid w:val="448C018A"/>
    <w:rsid w:val="448E6105"/>
    <w:rsid w:val="44BF2763"/>
    <w:rsid w:val="45181346"/>
    <w:rsid w:val="452972ED"/>
    <w:rsid w:val="453273D9"/>
    <w:rsid w:val="454B2248"/>
    <w:rsid w:val="457E43CC"/>
    <w:rsid w:val="45837C34"/>
    <w:rsid w:val="466C2476"/>
    <w:rsid w:val="46C40504"/>
    <w:rsid w:val="46C422B2"/>
    <w:rsid w:val="470703F1"/>
    <w:rsid w:val="470D3C59"/>
    <w:rsid w:val="47347438"/>
    <w:rsid w:val="473B2403"/>
    <w:rsid w:val="475F1D8C"/>
    <w:rsid w:val="47A50EF6"/>
    <w:rsid w:val="47B32CCF"/>
    <w:rsid w:val="480B7F7B"/>
    <w:rsid w:val="481D7ECC"/>
    <w:rsid w:val="485E7987"/>
    <w:rsid w:val="486D24D6"/>
    <w:rsid w:val="487D6A2E"/>
    <w:rsid w:val="4884619D"/>
    <w:rsid w:val="488B59E9"/>
    <w:rsid w:val="48C36386"/>
    <w:rsid w:val="4901086F"/>
    <w:rsid w:val="4937326A"/>
    <w:rsid w:val="499A72FA"/>
    <w:rsid w:val="49D66751"/>
    <w:rsid w:val="49E37ED7"/>
    <w:rsid w:val="4A0D5D1E"/>
    <w:rsid w:val="4A784323"/>
    <w:rsid w:val="4A796119"/>
    <w:rsid w:val="4A946440"/>
    <w:rsid w:val="4AB72BC6"/>
    <w:rsid w:val="4ADA4094"/>
    <w:rsid w:val="4ADB3EBF"/>
    <w:rsid w:val="4AFB5120"/>
    <w:rsid w:val="4B297C86"/>
    <w:rsid w:val="4B380530"/>
    <w:rsid w:val="4B545C7E"/>
    <w:rsid w:val="4B614574"/>
    <w:rsid w:val="4BA00A3F"/>
    <w:rsid w:val="4BE25C68"/>
    <w:rsid w:val="4C045789"/>
    <w:rsid w:val="4C102A26"/>
    <w:rsid w:val="4C6C239D"/>
    <w:rsid w:val="4C9D5585"/>
    <w:rsid w:val="4CE27936"/>
    <w:rsid w:val="4CF11927"/>
    <w:rsid w:val="4CF90DD3"/>
    <w:rsid w:val="4D901DB0"/>
    <w:rsid w:val="4DE84AD8"/>
    <w:rsid w:val="4E41068C"/>
    <w:rsid w:val="4E6C1FF6"/>
    <w:rsid w:val="4E9C58C3"/>
    <w:rsid w:val="4EAA6DBF"/>
    <w:rsid w:val="4EEC530B"/>
    <w:rsid w:val="4F8E7901"/>
    <w:rsid w:val="4FBB22EE"/>
    <w:rsid w:val="4FCF779C"/>
    <w:rsid w:val="500100D3"/>
    <w:rsid w:val="504426F8"/>
    <w:rsid w:val="50672D84"/>
    <w:rsid w:val="51002139"/>
    <w:rsid w:val="518E492F"/>
    <w:rsid w:val="519239B4"/>
    <w:rsid w:val="51957179"/>
    <w:rsid w:val="51CE0489"/>
    <w:rsid w:val="51EA32B1"/>
    <w:rsid w:val="527252B8"/>
    <w:rsid w:val="529A73E2"/>
    <w:rsid w:val="52D65847"/>
    <w:rsid w:val="53424C8B"/>
    <w:rsid w:val="535350EA"/>
    <w:rsid w:val="53655757"/>
    <w:rsid w:val="53C75190"/>
    <w:rsid w:val="5402441A"/>
    <w:rsid w:val="5472334E"/>
    <w:rsid w:val="54D1548A"/>
    <w:rsid w:val="54F572E9"/>
    <w:rsid w:val="552A3C28"/>
    <w:rsid w:val="55936778"/>
    <w:rsid w:val="55A14CA3"/>
    <w:rsid w:val="55B96D89"/>
    <w:rsid w:val="5613290E"/>
    <w:rsid w:val="5641747C"/>
    <w:rsid w:val="56C1236A"/>
    <w:rsid w:val="57014E5D"/>
    <w:rsid w:val="57030643"/>
    <w:rsid w:val="57325016"/>
    <w:rsid w:val="577A36AD"/>
    <w:rsid w:val="57827197"/>
    <w:rsid w:val="579655A5"/>
    <w:rsid w:val="57AC482A"/>
    <w:rsid w:val="57B27F05"/>
    <w:rsid w:val="57FB596D"/>
    <w:rsid w:val="58013054"/>
    <w:rsid w:val="5840471E"/>
    <w:rsid w:val="5857440D"/>
    <w:rsid w:val="599718BF"/>
    <w:rsid w:val="59FF388E"/>
    <w:rsid w:val="5A236E98"/>
    <w:rsid w:val="5A2C7F2D"/>
    <w:rsid w:val="5A4A2677"/>
    <w:rsid w:val="5A513A05"/>
    <w:rsid w:val="5A9C5DEF"/>
    <w:rsid w:val="5AA11364"/>
    <w:rsid w:val="5B12588A"/>
    <w:rsid w:val="5C00366B"/>
    <w:rsid w:val="5C062C7C"/>
    <w:rsid w:val="5C357387"/>
    <w:rsid w:val="5C521DCE"/>
    <w:rsid w:val="5C78126C"/>
    <w:rsid w:val="5CC62032"/>
    <w:rsid w:val="5CE609BB"/>
    <w:rsid w:val="5CF01875"/>
    <w:rsid w:val="5CFE0FC7"/>
    <w:rsid w:val="5D1256CE"/>
    <w:rsid w:val="5D1E2CBD"/>
    <w:rsid w:val="5D852344"/>
    <w:rsid w:val="5DAA1DAA"/>
    <w:rsid w:val="5DB12557"/>
    <w:rsid w:val="5ED15115"/>
    <w:rsid w:val="5EE53628"/>
    <w:rsid w:val="5F2E5685"/>
    <w:rsid w:val="5F5A4820"/>
    <w:rsid w:val="5FFE520C"/>
    <w:rsid w:val="60492D51"/>
    <w:rsid w:val="608140B8"/>
    <w:rsid w:val="60947169"/>
    <w:rsid w:val="60F021CA"/>
    <w:rsid w:val="610B4B58"/>
    <w:rsid w:val="611A0FF5"/>
    <w:rsid w:val="618E6349"/>
    <w:rsid w:val="6190774E"/>
    <w:rsid w:val="61D13E38"/>
    <w:rsid w:val="61D858DE"/>
    <w:rsid w:val="61E63F77"/>
    <w:rsid w:val="62652744"/>
    <w:rsid w:val="62D653F0"/>
    <w:rsid w:val="62FE34D3"/>
    <w:rsid w:val="634C6A47"/>
    <w:rsid w:val="63762835"/>
    <w:rsid w:val="63C2204F"/>
    <w:rsid w:val="64484785"/>
    <w:rsid w:val="649C7F73"/>
    <w:rsid w:val="64FF6BCE"/>
    <w:rsid w:val="653E1685"/>
    <w:rsid w:val="654723FB"/>
    <w:rsid w:val="65486CAF"/>
    <w:rsid w:val="655156CF"/>
    <w:rsid w:val="65D55AE4"/>
    <w:rsid w:val="65DC064D"/>
    <w:rsid w:val="65E776CC"/>
    <w:rsid w:val="65EE7A5F"/>
    <w:rsid w:val="65F229F1"/>
    <w:rsid w:val="66083810"/>
    <w:rsid w:val="664A412A"/>
    <w:rsid w:val="664C0053"/>
    <w:rsid w:val="66B26502"/>
    <w:rsid w:val="66C64279"/>
    <w:rsid w:val="66E130A7"/>
    <w:rsid w:val="66E24451"/>
    <w:rsid w:val="66EF082E"/>
    <w:rsid w:val="670E5111"/>
    <w:rsid w:val="67114C48"/>
    <w:rsid w:val="67297ED0"/>
    <w:rsid w:val="673F27F0"/>
    <w:rsid w:val="674E0B28"/>
    <w:rsid w:val="674F5770"/>
    <w:rsid w:val="6766333E"/>
    <w:rsid w:val="6772090D"/>
    <w:rsid w:val="67734C2B"/>
    <w:rsid w:val="679D458D"/>
    <w:rsid w:val="67A57616"/>
    <w:rsid w:val="67B41856"/>
    <w:rsid w:val="67B6759E"/>
    <w:rsid w:val="67CE721E"/>
    <w:rsid w:val="683A01CF"/>
    <w:rsid w:val="68451B29"/>
    <w:rsid w:val="68537F81"/>
    <w:rsid w:val="68B553E7"/>
    <w:rsid w:val="69265E5C"/>
    <w:rsid w:val="69407A4E"/>
    <w:rsid w:val="697119CE"/>
    <w:rsid w:val="697F077D"/>
    <w:rsid w:val="698E2580"/>
    <w:rsid w:val="69931944"/>
    <w:rsid w:val="69BD2E65"/>
    <w:rsid w:val="69E5416A"/>
    <w:rsid w:val="69E702BF"/>
    <w:rsid w:val="6A3053E5"/>
    <w:rsid w:val="6A5F7F88"/>
    <w:rsid w:val="6A6F311E"/>
    <w:rsid w:val="6A7554EE"/>
    <w:rsid w:val="6A927E4E"/>
    <w:rsid w:val="6A941E18"/>
    <w:rsid w:val="6A9F07BD"/>
    <w:rsid w:val="6B0912CD"/>
    <w:rsid w:val="6B6537B4"/>
    <w:rsid w:val="6B6D398D"/>
    <w:rsid w:val="6BB23732"/>
    <w:rsid w:val="6BB43DF4"/>
    <w:rsid w:val="6BF918AF"/>
    <w:rsid w:val="6C3F3ABE"/>
    <w:rsid w:val="6C441C99"/>
    <w:rsid w:val="6C816B46"/>
    <w:rsid w:val="6DB12A80"/>
    <w:rsid w:val="6DB40DC4"/>
    <w:rsid w:val="6DC24EEE"/>
    <w:rsid w:val="6DC92ECC"/>
    <w:rsid w:val="6DC9627D"/>
    <w:rsid w:val="6DEC3F64"/>
    <w:rsid w:val="6E68246A"/>
    <w:rsid w:val="6E8227D3"/>
    <w:rsid w:val="6E904AAB"/>
    <w:rsid w:val="6EF92820"/>
    <w:rsid w:val="6F4A6F49"/>
    <w:rsid w:val="6F4D6A39"/>
    <w:rsid w:val="6F5558EE"/>
    <w:rsid w:val="6F583113"/>
    <w:rsid w:val="6FA67EF8"/>
    <w:rsid w:val="6FB1521A"/>
    <w:rsid w:val="6FCE2CCD"/>
    <w:rsid w:val="6FDF2A53"/>
    <w:rsid w:val="6FE65F9D"/>
    <w:rsid w:val="7005364A"/>
    <w:rsid w:val="705C4F3C"/>
    <w:rsid w:val="706053B9"/>
    <w:rsid w:val="70783DEE"/>
    <w:rsid w:val="70E909E4"/>
    <w:rsid w:val="7124790C"/>
    <w:rsid w:val="716B627F"/>
    <w:rsid w:val="716F2944"/>
    <w:rsid w:val="718874E4"/>
    <w:rsid w:val="71C07195"/>
    <w:rsid w:val="720C38AD"/>
    <w:rsid w:val="72323CC5"/>
    <w:rsid w:val="72CC4119"/>
    <w:rsid w:val="731C6FA3"/>
    <w:rsid w:val="733B0EDF"/>
    <w:rsid w:val="7343581A"/>
    <w:rsid w:val="735D03FA"/>
    <w:rsid w:val="7380227A"/>
    <w:rsid w:val="73B4236E"/>
    <w:rsid w:val="73D6483D"/>
    <w:rsid w:val="73DC3992"/>
    <w:rsid w:val="74146609"/>
    <w:rsid w:val="742A559B"/>
    <w:rsid w:val="7440091B"/>
    <w:rsid w:val="747D391D"/>
    <w:rsid w:val="74BB11FF"/>
    <w:rsid w:val="74E42341"/>
    <w:rsid w:val="7549603F"/>
    <w:rsid w:val="755322ED"/>
    <w:rsid w:val="75DE03EB"/>
    <w:rsid w:val="75F04884"/>
    <w:rsid w:val="75F53987"/>
    <w:rsid w:val="7618202E"/>
    <w:rsid w:val="767E58CC"/>
    <w:rsid w:val="768F7DB2"/>
    <w:rsid w:val="76FF46ED"/>
    <w:rsid w:val="77536AA1"/>
    <w:rsid w:val="77536BB7"/>
    <w:rsid w:val="776F78E1"/>
    <w:rsid w:val="77990EB7"/>
    <w:rsid w:val="77CC6D92"/>
    <w:rsid w:val="77D01FB6"/>
    <w:rsid w:val="77DA784D"/>
    <w:rsid w:val="780B1240"/>
    <w:rsid w:val="78171F01"/>
    <w:rsid w:val="782C31DF"/>
    <w:rsid w:val="7899684C"/>
    <w:rsid w:val="78C63304"/>
    <w:rsid w:val="78C9445D"/>
    <w:rsid w:val="78D15FE5"/>
    <w:rsid w:val="790E0FE8"/>
    <w:rsid w:val="79176E6D"/>
    <w:rsid w:val="792703D6"/>
    <w:rsid w:val="798E2128"/>
    <w:rsid w:val="79C913B2"/>
    <w:rsid w:val="7A1F0FD2"/>
    <w:rsid w:val="7A922523"/>
    <w:rsid w:val="7A957475"/>
    <w:rsid w:val="7A9C11B3"/>
    <w:rsid w:val="7AEA134C"/>
    <w:rsid w:val="7AFC4C21"/>
    <w:rsid w:val="7B114DBF"/>
    <w:rsid w:val="7B2745E3"/>
    <w:rsid w:val="7B4F7695"/>
    <w:rsid w:val="7BD05AAF"/>
    <w:rsid w:val="7C0E7550"/>
    <w:rsid w:val="7C2C23AB"/>
    <w:rsid w:val="7C43027A"/>
    <w:rsid w:val="7D1245B9"/>
    <w:rsid w:val="7DB82CDA"/>
    <w:rsid w:val="7E43391A"/>
    <w:rsid w:val="7E5751DF"/>
    <w:rsid w:val="7EBA751C"/>
    <w:rsid w:val="7ED02828"/>
    <w:rsid w:val="7F1430D0"/>
    <w:rsid w:val="7F21759B"/>
    <w:rsid w:val="7F692749"/>
    <w:rsid w:val="7FAB509F"/>
    <w:rsid w:val="7FF9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3880</Words>
  <Characters>4160</Characters>
  <Lines>23</Lines>
  <Paragraphs>6</Paragraphs>
  <TotalTime>7</TotalTime>
  <ScaleCrop>false</ScaleCrop>
  <LinksUpToDate>false</LinksUpToDate>
  <CharactersWithSpaces>4172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2020-03-26T08:07:00Z</dcterms:created>
  <dc:creator>xbany</dc:creator>
  <cp:lastModifiedBy>T志C</cp:lastModifiedBy>
  <dcterms:modified xsi:type="dcterms:W3CDTF">2024-02-06T03:57:11Z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FA60C7D6A2CF4AEA89463DE1E2B6E6F5</vt:lpwstr>
  </property>
</Properties>
</file>