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关于财政转移支付安排情况的说明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 年，市本级转移支付补助收入30.96亿元，比上年增加1.85亿元，增长6.36%，具体如下：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（1）返还性收入。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市本级返还性收入 2.53 亿元，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（2）一般性转移支付收入。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市本级一般性转移支付收入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亿元，比上年增加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增长24.8%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。其中：均衡性转移支付补助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.3 亿元，增加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亿元；固定数额补助1.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亿元，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亿元；县级基本财力保障机制奖补资0.4 亿元，与上年基本持平；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共同财政事权转移支付收入 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亿元；体制补助0.1 亿元，与上年持平；结算补助收入及企业事业单位划转补助-0.1 亿元，与上年基本持平；其他一般性转移支付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（3）专项转移支付收入。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市本级专项转移支付收入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下降14.4%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40848"/>
    <w:rsid w:val="7DB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2020-12-29T08:55:00Z</dcterms:created>
  <dc:creator>Administrator</dc:creator>
  <cp:lastModifiedBy>段翔 10.105.178.33</cp:lastModifiedBy>
  <dcterms:modified xsi:type="dcterms:W3CDTF">2020-12-29T09:11:49Z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