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AA6" w:rsidRDefault="00EF251C" w:rsidP="00D329F9">
      <w:pPr>
        <w:pStyle w:val="a5"/>
        <w:spacing w:before="0" w:beforeAutospacing="0" w:afterLines="100" w:after="312" w:afterAutospacing="0" w:line="560" w:lineRule="exact"/>
        <w:jc w:val="center"/>
        <w:rPr>
          <w:rFonts w:ascii="方正小标宋_GBK" w:eastAsia="方正小标宋_GBK" w:hAnsi="方正小标宋_GBK" w:cs="方正小标宋_GBK"/>
          <w:kern w:val="2"/>
          <w:sz w:val="44"/>
          <w:szCs w:val="44"/>
        </w:rPr>
      </w:pPr>
      <w:bookmarkStart w:id="0" w:name="_GoBack"/>
      <w:bookmarkEnd w:id="0"/>
      <w:r>
        <w:rPr>
          <w:rFonts w:ascii="方正小标宋_GBK" w:eastAsia="方正小标宋_GBK" w:hAnsi="方正小标宋_GBK" w:cs="方正小标宋_GBK" w:hint="eastAsia"/>
          <w:kern w:val="2"/>
          <w:sz w:val="44"/>
          <w:szCs w:val="44"/>
        </w:rPr>
        <w:t>2019年度预算绩效</w:t>
      </w:r>
      <w:r w:rsidR="00650F4D">
        <w:rPr>
          <w:rFonts w:ascii="方正小标宋_GBK" w:eastAsia="方正小标宋_GBK" w:hAnsi="方正小标宋_GBK" w:cs="方正小标宋_GBK" w:hint="eastAsia"/>
          <w:kern w:val="2"/>
          <w:sz w:val="44"/>
          <w:szCs w:val="44"/>
        </w:rPr>
        <w:t>管理</w:t>
      </w:r>
      <w:r>
        <w:rPr>
          <w:rFonts w:ascii="方正小标宋_GBK" w:eastAsia="方正小标宋_GBK" w:hAnsi="方正小标宋_GBK" w:cs="方正小标宋_GBK" w:hint="eastAsia"/>
          <w:kern w:val="2"/>
          <w:sz w:val="44"/>
          <w:szCs w:val="44"/>
        </w:rPr>
        <w:t>工作开展情况说明</w:t>
      </w:r>
    </w:p>
    <w:p w:rsidR="000F3AA6" w:rsidRDefault="000F3AA6">
      <w:pPr>
        <w:rPr>
          <w:rFonts w:cs="Times New Roman"/>
        </w:rPr>
      </w:pPr>
    </w:p>
    <w:p w:rsidR="000F3AA6" w:rsidRDefault="00EF251C">
      <w:pPr>
        <w:pStyle w:val="a5"/>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kern w:val="2"/>
          <w:sz w:val="32"/>
          <w:szCs w:val="32"/>
        </w:rPr>
        <w:t>2019年永州市认真贯彻落实党的十九大精神，按照《中共中央 国务院关于全面实施预算绩效管理的意见》和《中共湖南省委办公厅 湖南省人民政府办公厅关于全面实施预算绩效管理的实施意见》，</w:t>
      </w:r>
      <w:r>
        <w:rPr>
          <w:rFonts w:ascii="仿宋" w:eastAsia="仿宋" w:hAnsi="仿宋" w:cs="仿宋" w:hint="eastAsia"/>
          <w:kern w:val="2"/>
          <w:sz w:val="32"/>
          <w:szCs w:val="32"/>
          <w:shd w:val="clear" w:color="FFFFFF" w:fill="auto"/>
        </w:rPr>
        <w:t>紧紧</w:t>
      </w:r>
      <w:r>
        <w:rPr>
          <w:rFonts w:ascii="仿宋" w:eastAsia="仿宋" w:hAnsi="仿宋" w:cs="仿宋" w:hint="eastAsia"/>
          <w:kern w:val="2"/>
          <w:sz w:val="32"/>
          <w:szCs w:val="32"/>
        </w:rPr>
        <w:t>围绕市委、市政府安排的各项经济工作攻坚任务和民生社会事业，着力推进全面实施预算绩效管理</w:t>
      </w:r>
      <w:r>
        <w:rPr>
          <w:rFonts w:ascii="仿宋" w:eastAsia="仿宋" w:hAnsi="仿宋" w:cs="仿宋" w:hint="eastAsia"/>
          <w:sz w:val="32"/>
          <w:szCs w:val="32"/>
        </w:rPr>
        <w:t>。</w:t>
      </w:r>
    </w:p>
    <w:p w:rsidR="000F3AA6" w:rsidRDefault="00EF251C">
      <w:pPr>
        <w:pStyle w:val="a5"/>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一、</w:t>
      </w:r>
      <w:r>
        <w:rPr>
          <w:rFonts w:ascii="黑体" w:eastAsia="黑体" w:hAnsi="黑体" w:cs="黑体" w:hint="eastAsia"/>
          <w:sz w:val="32"/>
          <w:szCs w:val="32"/>
        </w:rPr>
        <w:t>2019年度预算绩效管理工作开展情况</w:t>
      </w:r>
    </w:p>
    <w:p w:rsidR="000F3AA6" w:rsidRDefault="00EF251C">
      <w:pPr>
        <w:pStyle w:val="a5"/>
        <w:shd w:val="clear" w:color="auto" w:fill="FFFFFF"/>
        <w:spacing w:before="0" w:beforeAutospacing="0" w:after="0" w:afterAutospacing="0" w:line="560" w:lineRule="exact"/>
        <w:ind w:firstLineChars="200" w:firstLine="640"/>
        <w:rPr>
          <w:rFonts w:ascii="仿宋" w:eastAsia="仿宋" w:hAnsi="仿宋" w:cs="仿宋"/>
          <w:sz w:val="32"/>
          <w:szCs w:val="32"/>
        </w:rPr>
      </w:pPr>
      <w:r>
        <w:rPr>
          <w:rFonts w:ascii="黑体" w:eastAsia="黑体" w:hAnsi="黑体" w:cs="黑体" w:hint="eastAsia"/>
          <w:color w:val="000000"/>
          <w:sz w:val="32"/>
          <w:szCs w:val="32"/>
        </w:rPr>
        <w:t>1.绩效管理基础不断完善。</w:t>
      </w:r>
      <w:r>
        <w:rPr>
          <w:rFonts w:ascii="仿宋" w:eastAsia="仿宋" w:hAnsi="仿宋" w:cs="仿宋" w:hint="eastAsia"/>
          <w:sz w:val="32"/>
          <w:szCs w:val="32"/>
        </w:rPr>
        <w:t>拟定了《市级预算支出</w:t>
      </w:r>
      <w:r>
        <w:rPr>
          <w:rFonts w:ascii="仿宋" w:eastAsia="仿宋" w:hAnsi="仿宋" w:cs="仿宋" w:hint="eastAsia"/>
          <w:sz w:val="32"/>
          <w:szCs w:val="32"/>
          <w:shd w:val="clear" w:color="auto" w:fill="FFFFFF"/>
        </w:rPr>
        <w:t>绩效目标管理内部工作规程》和《永州市财政局预算绩效管理工作操作流程》。</w:t>
      </w:r>
      <w:r>
        <w:rPr>
          <w:rFonts w:ascii="仿宋" w:eastAsia="仿宋" w:hAnsi="仿宋" w:cs="仿宋" w:hint="eastAsia"/>
          <w:sz w:val="32"/>
          <w:szCs w:val="32"/>
        </w:rPr>
        <w:t>组织全局各业务科室学习了《中共湖南省委办公厅、省人民政府办公厅关于全面实施预算绩效管理的实施意见》，召开了市直部门（单位）、县区财政局参加的全面深化预算绩效管理工作培训班，强化了部门（单位）预算绩效管理理念，提高了预算绩效管理意识，夯实了绩效管理操作实务，增强了经办人员的操作能力，明确了部门（单位）预算绩效管理责任。</w:t>
      </w:r>
    </w:p>
    <w:p w:rsidR="000F3AA6" w:rsidRDefault="00EF251C">
      <w:pPr>
        <w:pStyle w:val="a5"/>
        <w:shd w:val="clear" w:color="auto" w:fill="FFFFFF"/>
        <w:spacing w:before="0" w:beforeAutospacing="0" w:after="0" w:afterAutospacing="0" w:line="560" w:lineRule="exact"/>
        <w:ind w:firstLineChars="200" w:firstLine="640"/>
        <w:rPr>
          <w:rFonts w:ascii="仿宋" w:eastAsia="仿宋" w:hAnsi="仿宋" w:cs="仿宋"/>
          <w:sz w:val="32"/>
          <w:szCs w:val="32"/>
        </w:rPr>
      </w:pPr>
      <w:r>
        <w:rPr>
          <w:rFonts w:ascii="黑体" w:eastAsia="黑体" w:hAnsi="黑体" w:cs="黑体" w:hint="eastAsia"/>
          <w:color w:val="000000"/>
          <w:sz w:val="32"/>
          <w:szCs w:val="32"/>
        </w:rPr>
        <w:t>2.绩效目标管理不断深化。</w:t>
      </w:r>
      <w:r>
        <w:rPr>
          <w:rFonts w:ascii="仿宋" w:eastAsia="仿宋" w:hAnsi="仿宋" w:cs="仿宋" w:hint="eastAsia"/>
          <w:sz w:val="32"/>
          <w:szCs w:val="32"/>
        </w:rPr>
        <w:t>绩效目标申报基本实现常态化。所有市直一级预算单位都申报了专项资金和部门整体支出绩效目标，基本实现了绩效目标与部门预算一同申报，一同审核，一同公开。强化了扶贫项目资金绩效目标管理，组织开展扶贫项目绩效目标集中录入审核，积极组织指导2018</w:t>
      </w:r>
      <w:r>
        <w:rPr>
          <w:rFonts w:ascii="仿宋" w:eastAsia="仿宋" w:hAnsi="仿宋" w:cs="仿宋" w:hint="eastAsia"/>
          <w:sz w:val="32"/>
          <w:szCs w:val="32"/>
        </w:rPr>
        <w:lastRenderedPageBreak/>
        <w:t>年扶贫项目资金绩效自评的开展和完成进度督查工作，圆满完成了自评工作的上报。</w:t>
      </w:r>
    </w:p>
    <w:p w:rsidR="000F3AA6" w:rsidRDefault="00EF251C">
      <w:pPr>
        <w:pStyle w:val="a5"/>
        <w:shd w:val="clear" w:color="auto" w:fill="FFFFFF"/>
        <w:spacing w:before="0" w:beforeAutospacing="0" w:after="0" w:afterAutospacing="0" w:line="560" w:lineRule="exact"/>
        <w:ind w:firstLineChars="200" w:firstLine="640"/>
        <w:rPr>
          <w:rFonts w:ascii="仿宋" w:eastAsia="仿宋" w:hAnsi="仿宋" w:cs="仿宋"/>
          <w:sz w:val="32"/>
          <w:szCs w:val="32"/>
        </w:rPr>
      </w:pPr>
      <w:r>
        <w:rPr>
          <w:rFonts w:ascii="黑体" w:eastAsia="黑体" w:hAnsi="黑体" w:cs="黑体" w:hint="eastAsia"/>
          <w:color w:val="000000"/>
          <w:sz w:val="32"/>
          <w:szCs w:val="32"/>
        </w:rPr>
        <w:t>3.有效开展绩效运行监控。</w:t>
      </w:r>
      <w:r>
        <w:rPr>
          <w:rFonts w:ascii="仿宋" w:eastAsia="仿宋" w:hAnsi="仿宋" w:cs="仿宋" w:hint="eastAsia"/>
          <w:sz w:val="32"/>
          <w:szCs w:val="32"/>
        </w:rPr>
        <w:t>严格按照《永州市预算绩效运行跟踪管理办法》，对所有预算单位的整体支出开展有效的绩效运行监控，促进部门（单位）提高预算绩效管理。</w:t>
      </w:r>
    </w:p>
    <w:p w:rsidR="000F3AA6" w:rsidRDefault="00EF251C">
      <w:pPr>
        <w:pStyle w:val="a5"/>
        <w:shd w:val="clear" w:color="auto" w:fill="FFFFFF"/>
        <w:spacing w:before="0" w:beforeAutospacing="0" w:after="0" w:afterAutospacing="0" w:line="560" w:lineRule="exact"/>
        <w:ind w:firstLineChars="200" w:firstLine="640"/>
        <w:rPr>
          <w:rFonts w:ascii="仿宋" w:eastAsia="仿宋" w:hAnsi="仿宋" w:cs="仿宋"/>
          <w:sz w:val="32"/>
          <w:szCs w:val="32"/>
        </w:rPr>
      </w:pPr>
      <w:r>
        <w:rPr>
          <w:rFonts w:ascii="黑体" w:eastAsia="黑体" w:hAnsi="黑体" w:cs="黑体" w:hint="eastAsia"/>
          <w:color w:val="000000"/>
          <w:sz w:val="32"/>
          <w:szCs w:val="32"/>
        </w:rPr>
        <w:t>4.绩效评价工作稳步推进。</w:t>
      </w:r>
      <w:r>
        <w:rPr>
          <w:rFonts w:ascii="仿宋" w:eastAsia="仿宋" w:hAnsi="仿宋" w:cs="仿宋" w:hint="eastAsia"/>
          <w:sz w:val="32"/>
          <w:szCs w:val="32"/>
        </w:rPr>
        <w:t>实现绩效自评全覆盖，圆满完成扶贫项目资金自评。重点绩效评价有序推进</w:t>
      </w:r>
      <w:r>
        <w:rPr>
          <w:rFonts w:ascii="楷体" w:eastAsia="楷体" w:hAnsi="楷体" w:cs="楷体" w:hint="eastAsia"/>
          <w:b/>
          <w:bCs/>
          <w:sz w:val="32"/>
          <w:szCs w:val="32"/>
        </w:rPr>
        <w:t>。</w:t>
      </w:r>
      <w:r>
        <w:rPr>
          <w:rFonts w:ascii="仿宋" w:eastAsia="仿宋" w:hAnsi="仿宋" w:cs="仿宋" w:hint="eastAsia"/>
          <w:color w:val="000000"/>
          <w:sz w:val="32"/>
          <w:szCs w:val="32"/>
        </w:rPr>
        <w:t>对市里安排的教育费附加、文化发展资金等6</w:t>
      </w:r>
      <w:r>
        <w:rPr>
          <w:rFonts w:ascii="仿宋" w:eastAsia="仿宋" w:hAnsi="仿宋" w:cs="仿宋" w:hint="eastAsia"/>
          <w:sz w:val="32"/>
          <w:szCs w:val="32"/>
        </w:rPr>
        <w:t>个项目资金和市文体广电新闻出版局等4个单位开展部门整体支出绩效评价，资金评价量近3亿元。</w:t>
      </w:r>
    </w:p>
    <w:p w:rsidR="000F3AA6" w:rsidRDefault="00EF251C">
      <w:pPr>
        <w:pStyle w:val="a5"/>
        <w:shd w:val="clear" w:color="auto" w:fill="FFFFFF"/>
        <w:spacing w:before="0" w:beforeAutospacing="0" w:after="0" w:afterAutospacing="0" w:line="560" w:lineRule="exact"/>
        <w:ind w:firstLineChars="200" w:firstLine="640"/>
        <w:rPr>
          <w:rFonts w:ascii="仿宋" w:eastAsia="仿宋" w:hAnsi="仿宋" w:cs="仿宋"/>
          <w:color w:val="000000"/>
          <w:sz w:val="32"/>
          <w:szCs w:val="32"/>
        </w:rPr>
      </w:pPr>
      <w:r>
        <w:rPr>
          <w:rFonts w:ascii="黑体" w:eastAsia="黑体" w:hAnsi="黑体" w:cs="黑体" w:hint="eastAsia"/>
          <w:color w:val="000000"/>
          <w:sz w:val="32"/>
          <w:szCs w:val="32"/>
        </w:rPr>
        <w:t>5.强化评价结果的应用。</w:t>
      </w:r>
      <w:r>
        <w:rPr>
          <w:rFonts w:ascii="仿宋" w:eastAsia="仿宋" w:hAnsi="仿宋" w:cs="仿宋" w:hint="eastAsia"/>
          <w:color w:val="000000"/>
          <w:sz w:val="32"/>
          <w:szCs w:val="32"/>
        </w:rPr>
        <w:t>永州市将预算绩效管理工作内容纳入市委市政府对各市直单位的绩效评估考核，</w:t>
      </w:r>
      <w:r>
        <w:rPr>
          <w:rFonts w:ascii="仿宋" w:eastAsia="仿宋" w:hAnsi="仿宋" w:cs="仿宋" w:hint="eastAsia"/>
          <w:sz w:val="32"/>
          <w:szCs w:val="32"/>
        </w:rPr>
        <w:t>根据考核内容我们对市直部门（单位）的预算绩效管理工作进行了评估，按照绩效管理工作开展的“绩效目标申报、绩效运行监控、绩效自评、绩效评价运用”四个环节，对其中近十家的预算绩效管理工作提出了改进建议，并要求整改到位。</w:t>
      </w:r>
    </w:p>
    <w:p w:rsidR="000F3AA6" w:rsidRDefault="00EF251C">
      <w:pPr>
        <w:spacing w:line="560" w:lineRule="exact"/>
        <w:ind w:firstLineChars="200" w:firstLine="643"/>
        <w:rPr>
          <w:rFonts w:ascii="黑体" w:eastAsia="黑体" w:hAnsi="黑体" w:cs="黑体"/>
          <w:b/>
          <w:bCs/>
          <w:color w:val="000000"/>
          <w:sz w:val="32"/>
          <w:szCs w:val="32"/>
        </w:rPr>
      </w:pPr>
      <w:r>
        <w:rPr>
          <w:rFonts w:ascii="黑体" w:eastAsia="黑体" w:hAnsi="黑体" w:cs="黑体" w:hint="eastAsia"/>
          <w:b/>
          <w:bCs/>
          <w:color w:val="000000"/>
          <w:sz w:val="32"/>
          <w:szCs w:val="32"/>
        </w:rPr>
        <w:t>二、</w:t>
      </w:r>
      <w:r w:rsidR="00D329F9">
        <w:rPr>
          <w:rFonts w:ascii="黑体" w:eastAsia="黑体" w:hAnsi="黑体" w:cs="黑体" w:hint="eastAsia"/>
          <w:b/>
          <w:bCs/>
          <w:color w:val="000000"/>
          <w:sz w:val="32"/>
          <w:szCs w:val="32"/>
        </w:rPr>
        <w:t>2020年预算绩效</w:t>
      </w:r>
      <w:r>
        <w:rPr>
          <w:rFonts w:ascii="黑体" w:eastAsia="黑体" w:hAnsi="黑体" w:cs="黑体" w:hint="eastAsia"/>
          <w:b/>
          <w:bCs/>
          <w:color w:val="000000"/>
          <w:sz w:val="32"/>
          <w:szCs w:val="32"/>
        </w:rPr>
        <w:t>工作计划</w:t>
      </w:r>
    </w:p>
    <w:p w:rsidR="000F3AA6" w:rsidRDefault="00EF251C">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1.强化绩效目标管理。</w:t>
      </w:r>
      <w:r>
        <w:rPr>
          <w:rFonts w:ascii="仿宋" w:eastAsia="仿宋" w:hAnsi="仿宋" w:cs="仿宋" w:hint="eastAsia"/>
          <w:sz w:val="32"/>
          <w:szCs w:val="32"/>
        </w:rPr>
        <w:t>提升绩效目标填报质量，加强绩效目标审核，将绩效目标设置作为预算安排的前置条件，逐步将绩效目标审核结果提交同级人代会审议。</w:t>
      </w:r>
    </w:p>
    <w:p w:rsidR="000F3AA6" w:rsidRDefault="00EF251C">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2.继续开展绩效运行监控工作。</w:t>
      </w:r>
      <w:r>
        <w:rPr>
          <w:rFonts w:ascii="仿宋" w:eastAsia="仿宋" w:hAnsi="仿宋" w:cs="仿宋" w:hint="eastAsia"/>
          <w:sz w:val="32"/>
          <w:szCs w:val="32"/>
        </w:rPr>
        <w:t>继续实行对绩效目标实现程度和预算执行进度实行对比控制的“双监控”管理方式，对绩效运行适时监控管理。完善扶贫动态监控系统建设，连通扶贫项目库与财政扶贫资金动态监控平台，实现扶贫项目</w:t>
      </w:r>
      <w:r>
        <w:rPr>
          <w:rFonts w:ascii="仿宋" w:eastAsia="仿宋" w:hAnsi="仿宋" w:cs="仿宋" w:hint="eastAsia"/>
          <w:sz w:val="32"/>
          <w:szCs w:val="32"/>
        </w:rPr>
        <w:lastRenderedPageBreak/>
        <w:t>与财政扶贫资金同频运动，同步运行监控。</w:t>
      </w:r>
    </w:p>
    <w:p w:rsidR="000F3AA6" w:rsidRPr="00EF251C" w:rsidRDefault="00EF251C" w:rsidP="00D329F9">
      <w:pPr>
        <w:spacing w:line="560" w:lineRule="exact"/>
        <w:ind w:firstLineChars="200" w:firstLine="643"/>
        <w:rPr>
          <w:rFonts w:ascii="宋体" w:hAnsi="宋体" w:cs="宋体"/>
          <w:color w:val="000000"/>
          <w:sz w:val="32"/>
          <w:szCs w:val="32"/>
        </w:rPr>
      </w:pPr>
      <w:r>
        <w:rPr>
          <w:rFonts w:ascii="仿宋" w:eastAsia="仿宋" w:hAnsi="仿宋" w:cs="仿宋" w:hint="eastAsia"/>
          <w:b/>
          <w:bCs/>
          <w:sz w:val="32"/>
          <w:szCs w:val="32"/>
        </w:rPr>
        <w:t>3.逐步拓展预算绩效评价范围。</w:t>
      </w:r>
      <w:r>
        <w:rPr>
          <w:rFonts w:ascii="仿宋" w:eastAsia="仿宋" w:hAnsi="仿宋" w:cs="仿宋" w:hint="eastAsia"/>
          <w:sz w:val="32"/>
          <w:szCs w:val="32"/>
        </w:rPr>
        <w:t>自评方面，在一般公共预算绩效评价全覆盖的基础上，将绩效评价拓展到政府性基金预算、国有资本经营预算、社会保险基金预算；重点评价方面，逐步开展政府购买服务等项目的绩效评价。</w:t>
      </w:r>
    </w:p>
    <w:sectPr w:rsidR="000F3AA6" w:rsidRPr="00EF251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51C" w:rsidRDefault="00EF251C">
      <w:r>
        <w:separator/>
      </w:r>
    </w:p>
  </w:endnote>
  <w:endnote w:type="continuationSeparator" w:id="0">
    <w:p w:rsidR="00EF251C" w:rsidRDefault="00EF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7E5C9D18-9D11-4480-AAB3-8D8B18208A98}"/>
  </w:font>
  <w:font w:name="方正小标宋_GBK">
    <w:panose1 w:val="03000509000000000000"/>
    <w:charset w:val="86"/>
    <w:family w:val="script"/>
    <w:pitch w:val="fixed"/>
    <w:sig w:usb0="00000001" w:usb1="080E0000" w:usb2="00000010" w:usb3="00000000" w:csb0="00040000" w:csb1="00000000"/>
    <w:embedRegular r:id="rId2" w:subsetted="1" w:fontKey="{85E44E50-514D-42FE-B517-A6507A636C5E}"/>
  </w:font>
  <w:font w:name="仿宋">
    <w:panose1 w:val="02010609060101010101"/>
    <w:charset w:val="86"/>
    <w:family w:val="modern"/>
    <w:pitch w:val="fixed"/>
    <w:sig w:usb0="800002BF" w:usb1="38CF7CFA" w:usb2="00000016" w:usb3="00000000" w:csb0="00040001" w:csb1="00000000"/>
    <w:embedRegular r:id="rId3" w:subsetted="1" w:fontKey="{3684F9C1-7446-496A-80E3-D6E836B89CB9}"/>
    <w:embedBold r:id="rId4" w:subsetted="1" w:fontKey="{46DCB827-00A9-4C28-8F54-E03A3721A83A}"/>
  </w:font>
  <w:font w:name="黑体">
    <w:altName w:val="SimHei"/>
    <w:panose1 w:val="02010609060101010101"/>
    <w:charset w:val="86"/>
    <w:family w:val="modern"/>
    <w:pitch w:val="fixed"/>
    <w:sig w:usb0="800002BF" w:usb1="38CF7CFA" w:usb2="00000016" w:usb3="00000000" w:csb0="00040001" w:csb1="00000000"/>
    <w:embedRegular r:id="rId5" w:subsetted="1" w:fontKey="{8A9F94C5-B3C1-42C3-82B4-1A354CBBA961}"/>
    <w:embedBold r:id="rId6" w:subsetted="1" w:fontKey="{8D4D9BA3-0EAE-4383-B9BB-4388DB08F25A}"/>
  </w:font>
  <w:font w:name="楷体">
    <w:panose1 w:val="02010609060101010101"/>
    <w:charset w:val="86"/>
    <w:family w:val="modern"/>
    <w:pitch w:val="fixed"/>
    <w:sig w:usb0="800002BF" w:usb1="38CF7CFA" w:usb2="00000016" w:usb3="00000000" w:csb0="00040001" w:csb1="00000000"/>
    <w:embedBold r:id="rId7" w:subsetted="1" w:fontKey="{C9DCCCD3-BCF5-4FB3-9D23-7B62873BAD8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AA6" w:rsidRDefault="00FA61B2">
    <w:pPr>
      <w:pStyle w:val="a3"/>
      <w:rPr>
        <w:rFonts w:cs="Times New Roman"/>
      </w:rP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rsidR="000F3AA6" w:rsidRDefault="00EF251C">
                          <w:pPr>
                            <w:pStyle w:val="a3"/>
                            <w:rPr>
                              <w:rFonts w:cs="Times New Roman"/>
                            </w:rPr>
                          </w:pPr>
                          <w:r>
                            <w:fldChar w:fldCharType="begin"/>
                          </w:r>
                          <w:r>
                            <w:instrText xml:space="preserve"> PAGE  \* MERGEFORMAT </w:instrText>
                          </w:r>
                          <w:r>
                            <w:fldChar w:fldCharType="separate"/>
                          </w:r>
                          <w:r w:rsidR="00FA61B2">
                            <w:rPr>
                              <w:noProof/>
                            </w:rPr>
                            <w:t>2</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4.6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" filled="f" stroked="f" strokeweight=".5pt">
              <v:path arrowok="t"/>
              <v:textbox style="mso-fit-shape-to-text:t" inset="0,0,0,0">
                <w:txbxContent>
                  <w:p w:rsidR="000F3AA6" w:rsidRDefault="00EF251C">
                    <w:pPr>
                      <w:pStyle w:val="a3"/>
                      <w:rPr>
                        <w:rFonts w:cs="Times New Roman"/>
                      </w:rPr>
                    </w:pPr>
                    <w:r>
                      <w:fldChar w:fldCharType="begin"/>
                    </w:r>
                    <w:r>
                      <w:instrText xml:space="preserve"> PAGE  \* MERGEFORMAT </w:instrText>
                    </w:r>
                    <w:r>
                      <w:fldChar w:fldCharType="separate"/>
                    </w:r>
                    <w:r w:rsidR="00FA61B2">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51C" w:rsidRDefault="00EF251C">
      <w:r>
        <w:separator/>
      </w:r>
    </w:p>
  </w:footnote>
  <w:footnote w:type="continuationSeparator" w:id="0">
    <w:p w:rsidR="00EF251C" w:rsidRDefault="00EF2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E3E09"/>
    <w:rsid w:val="000B39EE"/>
    <w:rsid w:val="000F3AA6"/>
    <w:rsid w:val="00171278"/>
    <w:rsid w:val="001E0C49"/>
    <w:rsid w:val="001F0E51"/>
    <w:rsid w:val="00233644"/>
    <w:rsid w:val="002D11DE"/>
    <w:rsid w:val="002F203F"/>
    <w:rsid w:val="003F5219"/>
    <w:rsid w:val="00460A4C"/>
    <w:rsid w:val="0046208F"/>
    <w:rsid w:val="004C41CB"/>
    <w:rsid w:val="00506DD7"/>
    <w:rsid w:val="00650F4D"/>
    <w:rsid w:val="007D2894"/>
    <w:rsid w:val="008A2D57"/>
    <w:rsid w:val="008F288C"/>
    <w:rsid w:val="00934345"/>
    <w:rsid w:val="0094240B"/>
    <w:rsid w:val="00947D45"/>
    <w:rsid w:val="00A12436"/>
    <w:rsid w:val="00A61D0A"/>
    <w:rsid w:val="00AE3B8B"/>
    <w:rsid w:val="00AF1ECB"/>
    <w:rsid w:val="00B30D14"/>
    <w:rsid w:val="00B356A8"/>
    <w:rsid w:val="00BA5AE1"/>
    <w:rsid w:val="00C23354"/>
    <w:rsid w:val="00C7035B"/>
    <w:rsid w:val="00D329F9"/>
    <w:rsid w:val="00D52500"/>
    <w:rsid w:val="00E93DD6"/>
    <w:rsid w:val="00EC261D"/>
    <w:rsid w:val="00ED6C39"/>
    <w:rsid w:val="00EF251C"/>
    <w:rsid w:val="00F33F0D"/>
    <w:rsid w:val="00F80388"/>
    <w:rsid w:val="00F84CC7"/>
    <w:rsid w:val="00FA61B2"/>
    <w:rsid w:val="00FB2668"/>
    <w:rsid w:val="00FD58D4"/>
    <w:rsid w:val="015C729D"/>
    <w:rsid w:val="02FA45DF"/>
    <w:rsid w:val="051F2612"/>
    <w:rsid w:val="05ED3A29"/>
    <w:rsid w:val="07042273"/>
    <w:rsid w:val="08375871"/>
    <w:rsid w:val="08A63397"/>
    <w:rsid w:val="09554588"/>
    <w:rsid w:val="0960341E"/>
    <w:rsid w:val="099372D1"/>
    <w:rsid w:val="0B25221C"/>
    <w:rsid w:val="0C433A23"/>
    <w:rsid w:val="0C830478"/>
    <w:rsid w:val="0F6B663A"/>
    <w:rsid w:val="0F8852A3"/>
    <w:rsid w:val="10A92232"/>
    <w:rsid w:val="10BF6255"/>
    <w:rsid w:val="114D38A3"/>
    <w:rsid w:val="11F23ABB"/>
    <w:rsid w:val="12DE4B07"/>
    <w:rsid w:val="13596821"/>
    <w:rsid w:val="144B1F60"/>
    <w:rsid w:val="157C0934"/>
    <w:rsid w:val="15FD7EE4"/>
    <w:rsid w:val="1621595B"/>
    <w:rsid w:val="175B018B"/>
    <w:rsid w:val="17D172BB"/>
    <w:rsid w:val="185F1CE0"/>
    <w:rsid w:val="18BF3862"/>
    <w:rsid w:val="18C45DF8"/>
    <w:rsid w:val="192D4DDA"/>
    <w:rsid w:val="192F026C"/>
    <w:rsid w:val="19840B5D"/>
    <w:rsid w:val="1A814B54"/>
    <w:rsid w:val="1B335F02"/>
    <w:rsid w:val="1CF01F36"/>
    <w:rsid w:val="1CFF2B62"/>
    <w:rsid w:val="1F003800"/>
    <w:rsid w:val="1F4748ED"/>
    <w:rsid w:val="20A2358F"/>
    <w:rsid w:val="212202FC"/>
    <w:rsid w:val="21C62DF6"/>
    <w:rsid w:val="22DB7D8E"/>
    <w:rsid w:val="25D77F50"/>
    <w:rsid w:val="26A74517"/>
    <w:rsid w:val="272370F5"/>
    <w:rsid w:val="27591DCE"/>
    <w:rsid w:val="279C31EB"/>
    <w:rsid w:val="284F573E"/>
    <w:rsid w:val="288F1977"/>
    <w:rsid w:val="28CF6FE0"/>
    <w:rsid w:val="291052D4"/>
    <w:rsid w:val="293C2AC3"/>
    <w:rsid w:val="2BBF1276"/>
    <w:rsid w:val="2D36442D"/>
    <w:rsid w:val="2F412BF0"/>
    <w:rsid w:val="31E168D1"/>
    <w:rsid w:val="333B1FC2"/>
    <w:rsid w:val="340514C8"/>
    <w:rsid w:val="34566BDF"/>
    <w:rsid w:val="358547CC"/>
    <w:rsid w:val="368E456C"/>
    <w:rsid w:val="38994963"/>
    <w:rsid w:val="39BB1F5C"/>
    <w:rsid w:val="39C76430"/>
    <w:rsid w:val="3A02399B"/>
    <w:rsid w:val="3AB7316F"/>
    <w:rsid w:val="3CC52ED1"/>
    <w:rsid w:val="3E615836"/>
    <w:rsid w:val="40131CC2"/>
    <w:rsid w:val="4026362F"/>
    <w:rsid w:val="411D58CF"/>
    <w:rsid w:val="429356A0"/>
    <w:rsid w:val="42A774A1"/>
    <w:rsid w:val="431453EA"/>
    <w:rsid w:val="44F54E5F"/>
    <w:rsid w:val="46B266E7"/>
    <w:rsid w:val="482130D4"/>
    <w:rsid w:val="488F11B6"/>
    <w:rsid w:val="499332D0"/>
    <w:rsid w:val="49E64448"/>
    <w:rsid w:val="4B195557"/>
    <w:rsid w:val="4C423DBC"/>
    <w:rsid w:val="4C9D0D8E"/>
    <w:rsid w:val="4CC70395"/>
    <w:rsid w:val="4D7A14F2"/>
    <w:rsid w:val="4E062058"/>
    <w:rsid w:val="4E2F549D"/>
    <w:rsid w:val="4FC168FF"/>
    <w:rsid w:val="50504A73"/>
    <w:rsid w:val="506D34AF"/>
    <w:rsid w:val="511E3E09"/>
    <w:rsid w:val="515A6076"/>
    <w:rsid w:val="52197BD4"/>
    <w:rsid w:val="523A7B17"/>
    <w:rsid w:val="539F7C36"/>
    <w:rsid w:val="54B46ECB"/>
    <w:rsid w:val="55B8155E"/>
    <w:rsid w:val="55DC01D7"/>
    <w:rsid w:val="55E07BA7"/>
    <w:rsid w:val="566B008B"/>
    <w:rsid w:val="567F0A00"/>
    <w:rsid w:val="56AC65AE"/>
    <w:rsid w:val="57AD221E"/>
    <w:rsid w:val="58D64766"/>
    <w:rsid w:val="58EB6ED2"/>
    <w:rsid w:val="5A6618CD"/>
    <w:rsid w:val="5AC10CAA"/>
    <w:rsid w:val="5BD23CF8"/>
    <w:rsid w:val="5CE555CF"/>
    <w:rsid w:val="5CFB5140"/>
    <w:rsid w:val="5EA05D70"/>
    <w:rsid w:val="5EBB4905"/>
    <w:rsid w:val="608C1DCF"/>
    <w:rsid w:val="60926BDA"/>
    <w:rsid w:val="61304474"/>
    <w:rsid w:val="61E54F77"/>
    <w:rsid w:val="622A5F2A"/>
    <w:rsid w:val="6523417C"/>
    <w:rsid w:val="666E064E"/>
    <w:rsid w:val="66BD27B0"/>
    <w:rsid w:val="67DC3D5F"/>
    <w:rsid w:val="6B7A354D"/>
    <w:rsid w:val="6B9508E0"/>
    <w:rsid w:val="6C412ACD"/>
    <w:rsid w:val="6C9D1E27"/>
    <w:rsid w:val="6CD82A99"/>
    <w:rsid w:val="6E52230E"/>
    <w:rsid w:val="70B61871"/>
    <w:rsid w:val="73324762"/>
    <w:rsid w:val="73511E26"/>
    <w:rsid w:val="737F75F9"/>
    <w:rsid w:val="73A319BD"/>
    <w:rsid w:val="779A63E9"/>
    <w:rsid w:val="77BC26C0"/>
    <w:rsid w:val="78931ACA"/>
    <w:rsid w:val="78987DC4"/>
    <w:rsid w:val="78C95E63"/>
    <w:rsid w:val="7A264DCE"/>
    <w:rsid w:val="7A557D87"/>
    <w:rsid w:val="7D6400B1"/>
    <w:rsid w:val="7E2064D8"/>
    <w:rsid w:val="7EF72E86"/>
    <w:rsid w:val="7F023D19"/>
    <w:rsid w:val="7FB67716"/>
    <w:rsid w:val="7FEE17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Pr>
      <w:b/>
      <w:bCs/>
    </w:rPr>
  </w:style>
  <w:style w:type="character" w:customStyle="1" w:styleId="Char">
    <w:name w:val="页脚 Char"/>
    <w:link w:val="a3"/>
    <w:uiPriority w:val="99"/>
    <w:semiHidden/>
    <w:qFormat/>
    <w:rPr>
      <w:sz w:val="18"/>
      <w:szCs w:val="18"/>
    </w:rPr>
  </w:style>
  <w:style w:type="character" w:customStyle="1" w:styleId="Char0">
    <w:name w:val="页眉 Char"/>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Pr>
      <w:b/>
      <w:bCs/>
    </w:rPr>
  </w:style>
  <w:style w:type="character" w:customStyle="1" w:styleId="Char">
    <w:name w:val="页脚 Char"/>
    <w:link w:val="a3"/>
    <w:uiPriority w:val="99"/>
    <w:semiHidden/>
    <w:qFormat/>
    <w:rPr>
      <w:sz w:val="18"/>
      <w:szCs w:val="18"/>
    </w:rPr>
  </w:style>
  <w:style w:type="character" w:customStyle="1" w:styleId="Char0">
    <w:name w:val="页眉 Char"/>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182</Words>
  <Characters>1040</Characters>
  <Application>Microsoft Office Word</Application>
  <DocSecurity>0</DocSecurity>
  <Lines>8</Lines>
  <Paragraphs>2</Paragraphs>
  <ScaleCrop>false</ScaleCrop>
  <Company>Microsoft</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678hou</dc:creator>
  <cp:lastModifiedBy>xb21cn</cp:lastModifiedBy>
  <cp:revision>2</cp:revision>
  <cp:lastPrinted>2018-12-13T02:14:00Z</cp:lastPrinted>
  <dcterms:created xsi:type="dcterms:W3CDTF">2021-05-21T09:29:00Z</dcterms:created>
  <dcterms:modified xsi:type="dcterms:W3CDTF">2021-05-21T09:29:00Z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