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A3" w:rsidRPr="002A252B" w:rsidRDefault="00F35C97" w:rsidP="002A252B">
      <w:pPr>
        <w:snapToGrid w:val="0"/>
        <w:jc w:val="center"/>
        <w:rPr>
          <w:rFonts w:ascii="方正小标宋_GBK" w:eastAsia="方正小标宋_GBK" w:hAnsiTheme="majorEastAsia" w:cstheme="majorEastAsia" w:hint="eastAsia"/>
          <w:bCs/>
          <w:sz w:val="44"/>
          <w:szCs w:val="44"/>
        </w:rPr>
      </w:pPr>
      <w:r w:rsidRPr="002A252B">
        <w:rPr>
          <w:rFonts w:ascii="方正小标宋_GBK" w:eastAsia="方正小标宋_GBK" w:hAnsiTheme="majorEastAsia" w:cstheme="majorEastAsia" w:hint="eastAsia"/>
          <w:bCs/>
          <w:sz w:val="44"/>
          <w:szCs w:val="44"/>
        </w:rPr>
        <w:t>2019年永州市市级及所辖区转移支付情况说明（分地区、分项目）</w:t>
      </w:r>
    </w:p>
    <w:p w:rsidR="001F58A3" w:rsidRDefault="001F58A3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F58A3" w:rsidRDefault="00F35C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根据永州市市本级及所辖区预算汇总反映，2019年，省对永州市市级一般公共预算补助收入45.14亿元，其中：返还性收入4.81亿元，一般性转移支付37.94亿元，专项转移支付2.39亿元。分级次情况是：</w:t>
      </w:r>
    </w:p>
    <w:p w:rsidR="001F58A3" w:rsidRDefault="00F35C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1、市本级一般公共预算补助收入20.64亿元，其中：返还性支出2.57亿元，一般性转移支付17.18亿元，专项转移支付0.89亿元。</w:t>
      </w:r>
    </w:p>
    <w:p w:rsidR="001F58A3" w:rsidRDefault="00F35C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2、市辖区一般公共预算补助收入24.5亿元，其中：返还性支出2.24亿元，一般性转移支付20.76亿元，专项转移支付1.5亿元。</w:t>
      </w:r>
    </w:p>
    <w:p w:rsidR="001F58A3" w:rsidRDefault="00F35C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2019年，永州市本级及所辖区基金预算均未安排转移支付收入。</w:t>
      </w:r>
    </w:p>
    <w:p w:rsidR="001F58A3" w:rsidRDefault="001F58A3">
      <w:pPr>
        <w:ind w:firstLine="640"/>
        <w:rPr>
          <w:rFonts w:ascii="仿宋_GB2312" w:eastAsia="仿宋_GB2312"/>
          <w:sz w:val="32"/>
          <w:szCs w:val="32"/>
        </w:rPr>
      </w:pPr>
    </w:p>
    <w:p w:rsidR="001F58A3" w:rsidRDefault="00F35C9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附表：2019年永州市市级一般公共预算税收返还和转移支付预算情况表(分地区、分项目）</w:t>
      </w:r>
    </w:p>
    <w:p w:rsidR="001F58A3" w:rsidRDefault="001F58A3">
      <w:pPr>
        <w:ind w:firstLine="640"/>
        <w:rPr>
          <w:rFonts w:ascii="仿宋_GB2312" w:eastAsia="仿宋_GB2312"/>
          <w:sz w:val="32"/>
          <w:szCs w:val="32"/>
        </w:rPr>
      </w:pPr>
    </w:p>
    <w:p w:rsidR="001F58A3" w:rsidRDefault="001F58A3">
      <w:pPr>
        <w:rPr>
          <w:rFonts w:ascii="仿宋_GB2312" w:eastAsia="仿宋_GB2312"/>
          <w:sz w:val="32"/>
          <w:szCs w:val="32"/>
        </w:rPr>
      </w:pPr>
    </w:p>
    <w:p w:rsidR="001F58A3" w:rsidRDefault="001F58A3">
      <w:pPr>
        <w:rPr>
          <w:rFonts w:ascii="仿宋_GB2312" w:eastAsia="仿宋_GB2312"/>
          <w:sz w:val="32"/>
          <w:szCs w:val="32"/>
        </w:rPr>
        <w:sectPr w:rsidR="001F58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F58A3" w:rsidRDefault="00F35C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附表：</w:t>
      </w:r>
    </w:p>
    <w:tbl>
      <w:tblPr>
        <w:tblW w:w="14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1520"/>
        <w:gridCol w:w="1400"/>
        <w:gridCol w:w="1400"/>
        <w:gridCol w:w="1400"/>
        <w:gridCol w:w="1400"/>
        <w:gridCol w:w="1400"/>
        <w:gridCol w:w="1395"/>
        <w:gridCol w:w="6"/>
      </w:tblGrid>
      <w:tr w:rsidR="001F58A3" w:rsidTr="00F35C97">
        <w:trPr>
          <w:gridAfter w:val="1"/>
          <w:wAfter w:w="40" w:type="dxa"/>
          <w:trHeight w:val="600"/>
        </w:trPr>
        <w:tc>
          <w:tcPr>
            <w:tcW w:w="14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2019年永州市市级一般公共预算税收返还和转移支付预算情况表(分地区、分项目）</w:t>
            </w:r>
          </w:p>
        </w:tc>
      </w:tr>
      <w:tr w:rsidR="001F58A3" w:rsidTr="00F35C97">
        <w:trPr>
          <w:gridAfter w:val="1"/>
          <w:wAfter w:w="40" w:type="dxa"/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1F58A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 w:rsidR="001F58A3" w:rsidTr="00F35C97">
        <w:trPr>
          <w:gridAfter w:val="1"/>
          <w:wAfter w:w="40" w:type="dxa"/>
          <w:trHeight w:val="57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市本级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br/>
              <w:t>及辖区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市本级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零陵区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冷水滩区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永州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br/>
              <w:t>经开区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回龙圩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br/>
              <w:t>管理区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F58A3" w:rsidRDefault="00F35C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金洞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br/>
              <w:t>管理区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一、上级补助收入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451,403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206,403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94,979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107,763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11,779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15,382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15,097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（一）返还性收入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48,066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25,635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10,060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11,475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277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377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1.增值税和消费税税收返还收入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29,814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13,000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7,140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9,481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145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48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2.所得税基数返还收入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3,524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1,100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759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1,391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269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3.成品油税费改革税收返还收入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7,056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4,521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1,673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198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4.增值税五五分享税收返还收入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4,958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4,958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5.其他返还性收入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2,714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2,056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488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131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（二）一般性转移支付收入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379,422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171,840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84,919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96,288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2,894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9,453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14,028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1.体制补助收入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5,202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2,022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2,604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2.均衡性转移支付收入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170,897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80,000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42,795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38,424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3,426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6,252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3.县级基本财力保障机制奖补资金收入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22,472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1,754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12,950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7,463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251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4.结算补助收入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26,415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14,111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1,600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9,182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1,290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207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5.资源枯竭型城市转移支付补助收入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6.企业事业单位划转补助收入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356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-28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384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7.成品油税费改革转移支付补助收入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8.基层公检法司转移支付收入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4,757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4,727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22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9.城乡义务教育转移支付收入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16,061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4,000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4,680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5,745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363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1,273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10.基本养老金转移支付收入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52,927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36,829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12,123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2,635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840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11.城乡居民基本医疗保险转移支付收入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12.农村综合改革转移支付收入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4,387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3,624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198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471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13.产粮（油）大县奖励资金收入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4,588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2,283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2,305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14.重点生态功能区转移支付收入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6,098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2,744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1,899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707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748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15.革命老区转移支付收入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100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16.民族地区转移支付收入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17.贫困地区转移支付收入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1,702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282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219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1,201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18.固定数额补助收入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43,274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14,989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13,903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12,395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1,029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958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 w:rsidP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19.其他一般性转移支付收入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20,038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14,862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1,830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738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1,698 </w:t>
            </w:r>
          </w:p>
        </w:tc>
      </w:tr>
      <w:tr w:rsidR="001F58A3" w:rsidTr="00F35C97">
        <w:trPr>
          <w:gridAfter w:val="1"/>
          <w:wAfter w:w="40" w:type="dxa"/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（三）专项转移支付收入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23,915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8,928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1F58A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8,608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5,687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F58A3" w:rsidRDefault="00F35C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692 </w:t>
            </w: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1.一般公共服务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2.公共安全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2,737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2,660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3.教育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1,033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4.科学技术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5.文化旅游体育与传媒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418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6.社会保障和就业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7,010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4,850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1,633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527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7.卫生健康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8.节能环保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263</w:t>
            </w: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9.城乡社区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10.农林水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2,139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1,570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429</w:t>
            </w: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11.交通运输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12.资源勘探信息等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3,050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3,050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13.商业服务业等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14.自然资源海洋气象等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15.住房保障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5,648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3,000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2,648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16.粮油物资储备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35C97" w:rsidRPr="00F35C97" w:rsidTr="00F35C9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17.其他收入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BC5C98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35C97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C97" w:rsidRPr="00F35C97" w:rsidRDefault="00F35C97" w:rsidP="00F35C9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1F58A3" w:rsidRDefault="001F58A3">
      <w:pPr>
        <w:rPr>
          <w:rFonts w:ascii="仿宋_GB2312" w:eastAsia="仿宋_GB2312"/>
          <w:sz w:val="32"/>
          <w:szCs w:val="32"/>
        </w:rPr>
      </w:pPr>
    </w:p>
    <w:p w:rsidR="001F58A3" w:rsidRDefault="001F58A3">
      <w:pPr>
        <w:rPr>
          <w:rFonts w:ascii="仿宋_GB2312" w:eastAsia="仿宋_GB2312"/>
          <w:sz w:val="32"/>
          <w:szCs w:val="32"/>
        </w:rPr>
      </w:pPr>
    </w:p>
    <w:sectPr w:rsidR="001F58A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03"/>
    <w:rsid w:val="00007457"/>
    <w:rsid w:val="000203A4"/>
    <w:rsid w:val="000554E6"/>
    <w:rsid w:val="000744E0"/>
    <w:rsid w:val="00080EA1"/>
    <w:rsid w:val="000A13F0"/>
    <w:rsid w:val="000A1CEB"/>
    <w:rsid w:val="000A5A48"/>
    <w:rsid w:val="000B205F"/>
    <w:rsid w:val="000B56E9"/>
    <w:rsid w:val="000E1175"/>
    <w:rsid w:val="000F14A7"/>
    <w:rsid w:val="00105BAF"/>
    <w:rsid w:val="00115842"/>
    <w:rsid w:val="0018304F"/>
    <w:rsid w:val="001A39AF"/>
    <w:rsid w:val="001A7760"/>
    <w:rsid w:val="001C0E35"/>
    <w:rsid w:val="001C449A"/>
    <w:rsid w:val="001E409D"/>
    <w:rsid w:val="001E4273"/>
    <w:rsid w:val="001F58A3"/>
    <w:rsid w:val="00234E5E"/>
    <w:rsid w:val="002438F2"/>
    <w:rsid w:val="00271A0E"/>
    <w:rsid w:val="00271C87"/>
    <w:rsid w:val="002A252B"/>
    <w:rsid w:val="002A768B"/>
    <w:rsid w:val="002B3C98"/>
    <w:rsid w:val="002F6647"/>
    <w:rsid w:val="002F7AF5"/>
    <w:rsid w:val="003075D4"/>
    <w:rsid w:val="00325C8F"/>
    <w:rsid w:val="00335AC9"/>
    <w:rsid w:val="00340C4C"/>
    <w:rsid w:val="0034577B"/>
    <w:rsid w:val="0035243F"/>
    <w:rsid w:val="00375373"/>
    <w:rsid w:val="003860ED"/>
    <w:rsid w:val="003A49C5"/>
    <w:rsid w:val="003B5B03"/>
    <w:rsid w:val="003C3384"/>
    <w:rsid w:val="003D6B09"/>
    <w:rsid w:val="003E4C2C"/>
    <w:rsid w:val="003F523F"/>
    <w:rsid w:val="00407F16"/>
    <w:rsid w:val="00411051"/>
    <w:rsid w:val="004120F2"/>
    <w:rsid w:val="004139AA"/>
    <w:rsid w:val="00421133"/>
    <w:rsid w:val="00424339"/>
    <w:rsid w:val="0046056A"/>
    <w:rsid w:val="00465EC2"/>
    <w:rsid w:val="004B2AFA"/>
    <w:rsid w:val="004B64F2"/>
    <w:rsid w:val="005216C0"/>
    <w:rsid w:val="00541412"/>
    <w:rsid w:val="0054255D"/>
    <w:rsid w:val="0055055C"/>
    <w:rsid w:val="0056195F"/>
    <w:rsid w:val="0056588B"/>
    <w:rsid w:val="00581D61"/>
    <w:rsid w:val="00586CD2"/>
    <w:rsid w:val="005B56A1"/>
    <w:rsid w:val="005E2156"/>
    <w:rsid w:val="005E240E"/>
    <w:rsid w:val="005F3481"/>
    <w:rsid w:val="0062396F"/>
    <w:rsid w:val="00632160"/>
    <w:rsid w:val="00673D73"/>
    <w:rsid w:val="00673FBA"/>
    <w:rsid w:val="00682F1E"/>
    <w:rsid w:val="0069445F"/>
    <w:rsid w:val="00695949"/>
    <w:rsid w:val="006A35AF"/>
    <w:rsid w:val="006A6808"/>
    <w:rsid w:val="006D13E3"/>
    <w:rsid w:val="006D5250"/>
    <w:rsid w:val="006D7D1D"/>
    <w:rsid w:val="006E3F78"/>
    <w:rsid w:val="006E4776"/>
    <w:rsid w:val="0072040A"/>
    <w:rsid w:val="00725D2C"/>
    <w:rsid w:val="0074744B"/>
    <w:rsid w:val="007510F8"/>
    <w:rsid w:val="00766F16"/>
    <w:rsid w:val="00794F18"/>
    <w:rsid w:val="007C337B"/>
    <w:rsid w:val="007F418A"/>
    <w:rsid w:val="0081326D"/>
    <w:rsid w:val="00816198"/>
    <w:rsid w:val="00825780"/>
    <w:rsid w:val="0082729A"/>
    <w:rsid w:val="008552B7"/>
    <w:rsid w:val="008568A4"/>
    <w:rsid w:val="00865FDD"/>
    <w:rsid w:val="00876BC8"/>
    <w:rsid w:val="0088222C"/>
    <w:rsid w:val="008B23CD"/>
    <w:rsid w:val="008B6F22"/>
    <w:rsid w:val="008E44D6"/>
    <w:rsid w:val="008F3AED"/>
    <w:rsid w:val="00903096"/>
    <w:rsid w:val="00921193"/>
    <w:rsid w:val="00923388"/>
    <w:rsid w:val="00924001"/>
    <w:rsid w:val="00933D08"/>
    <w:rsid w:val="00935393"/>
    <w:rsid w:val="0093623D"/>
    <w:rsid w:val="009576C6"/>
    <w:rsid w:val="00957BFB"/>
    <w:rsid w:val="00963590"/>
    <w:rsid w:val="00974687"/>
    <w:rsid w:val="00983CA7"/>
    <w:rsid w:val="009A6F74"/>
    <w:rsid w:val="009C369C"/>
    <w:rsid w:val="009C7046"/>
    <w:rsid w:val="009D0216"/>
    <w:rsid w:val="009D4B85"/>
    <w:rsid w:val="009E4412"/>
    <w:rsid w:val="00A03A62"/>
    <w:rsid w:val="00A0592C"/>
    <w:rsid w:val="00A13F1F"/>
    <w:rsid w:val="00A431D1"/>
    <w:rsid w:val="00A65DF0"/>
    <w:rsid w:val="00A91230"/>
    <w:rsid w:val="00AD5AD1"/>
    <w:rsid w:val="00AD6C83"/>
    <w:rsid w:val="00B0178A"/>
    <w:rsid w:val="00B15561"/>
    <w:rsid w:val="00B303CF"/>
    <w:rsid w:val="00B6304F"/>
    <w:rsid w:val="00B63593"/>
    <w:rsid w:val="00B80975"/>
    <w:rsid w:val="00B80FA3"/>
    <w:rsid w:val="00B92058"/>
    <w:rsid w:val="00B92EA9"/>
    <w:rsid w:val="00BA0FA7"/>
    <w:rsid w:val="00BB31DA"/>
    <w:rsid w:val="00BC5C98"/>
    <w:rsid w:val="00BF7248"/>
    <w:rsid w:val="00C14013"/>
    <w:rsid w:val="00C160C1"/>
    <w:rsid w:val="00C345C5"/>
    <w:rsid w:val="00C43D3C"/>
    <w:rsid w:val="00C62FDD"/>
    <w:rsid w:val="00C72494"/>
    <w:rsid w:val="00C81AF6"/>
    <w:rsid w:val="00C93BBD"/>
    <w:rsid w:val="00C93F07"/>
    <w:rsid w:val="00CA2D0E"/>
    <w:rsid w:val="00CB2071"/>
    <w:rsid w:val="00CD7187"/>
    <w:rsid w:val="00CE400F"/>
    <w:rsid w:val="00CE43DC"/>
    <w:rsid w:val="00D16FAB"/>
    <w:rsid w:val="00D25E4A"/>
    <w:rsid w:val="00D331A2"/>
    <w:rsid w:val="00D34376"/>
    <w:rsid w:val="00D417EA"/>
    <w:rsid w:val="00D53F9B"/>
    <w:rsid w:val="00D66003"/>
    <w:rsid w:val="00DA3748"/>
    <w:rsid w:val="00DC3109"/>
    <w:rsid w:val="00DD2499"/>
    <w:rsid w:val="00E015E9"/>
    <w:rsid w:val="00E03BF7"/>
    <w:rsid w:val="00E074FE"/>
    <w:rsid w:val="00E25C92"/>
    <w:rsid w:val="00E32644"/>
    <w:rsid w:val="00E32F30"/>
    <w:rsid w:val="00E55E3C"/>
    <w:rsid w:val="00E67E81"/>
    <w:rsid w:val="00E73A2F"/>
    <w:rsid w:val="00E81EE3"/>
    <w:rsid w:val="00EA33CC"/>
    <w:rsid w:val="00EB02C8"/>
    <w:rsid w:val="00EB464A"/>
    <w:rsid w:val="00ED035B"/>
    <w:rsid w:val="00ED45CE"/>
    <w:rsid w:val="00EF026E"/>
    <w:rsid w:val="00F16C60"/>
    <w:rsid w:val="00F227A0"/>
    <w:rsid w:val="00F27A6C"/>
    <w:rsid w:val="00F35C97"/>
    <w:rsid w:val="00F40731"/>
    <w:rsid w:val="00F4715A"/>
    <w:rsid w:val="00F643B9"/>
    <w:rsid w:val="00F76C06"/>
    <w:rsid w:val="00FA35A6"/>
    <w:rsid w:val="00FC001B"/>
    <w:rsid w:val="00FD5690"/>
    <w:rsid w:val="00FF5A2B"/>
    <w:rsid w:val="00FF7357"/>
    <w:rsid w:val="069106B3"/>
    <w:rsid w:val="26570D35"/>
    <w:rsid w:val="2B7048BB"/>
    <w:rsid w:val="52117D05"/>
    <w:rsid w:val="7C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</cp:revision>
  <dcterms:created xsi:type="dcterms:W3CDTF">2020-02-14T07:42:00Z</dcterms:created>
  <dcterms:modified xsi:type="dcterms:W3CDTF">2021-05-26T02:03:00Z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