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8A1E1">
      <w:pPr>
        <w:rPr>
          <w:rFonts w:hint="eastAsia" w:ascii="仿宋_GB2312" w:hAnsi="仿宋_GB2312" w:eastAsia="仿宋_GB2312" w:cs="仿宋_GB2312"/>
          <w:color w:val="auto"/>
          <w:w w:val="98"/>
          <w:kern w:val="2"/>
          <w:sz w:val="32"/>
          <w:szCs w:val="32"/>
          <w:lang w:val="en-US" w:eastAsia="zh-CN" w:bidi="ar-SA"/>
        </w:rPr>
      </w:pPr>
      <w:r>
        <w:rPr>
          <w:rFonts w:hint="eastAsia" w:ascii="仿宋_GB2312" w:hAnsi="仿宋_GB2312" w:eastAsia="仿宋_GB2312" w:cs="仿宋_GB2312"/>
          <w:color w:val="auto"/>
          <w:w w:val="98"/>
          <w:kern w:val="2"/>
          <w:sz w:val="32"/>
          <w:szCs w:val="32"/>
          <w:lang w:val="en-US" w:eastAsia="zh-CN" w:bidi="ar-SA"/>
        </w:rPr>
        <w:t>附件2：</w:t>
      </w:r>
    </w:p>
    <w:p w14:paraId="5124F453">
      <w:pPr>
        <w:pStyle w:val="2"/>
        <w:rPr>
          <w:rFonts w:hint="eastAsia"/>
          <w:lang w:val="en-US" w:eastAsia="zh-CN"/>
        </w:rPr>
      </w:pPr>
    </w:p>
    <w:p w14:paraId="75E7D0D9">
      <w:pPr>
        <w:jc w:val="both"/>
        <w:rPr>
          <w:rFonts w:ascii="Times New Roman" w:hAnsi="Times New Roman" w:eastAsia="方正小标宋简体" w:cs="Times New Roman"/>
          <w:sz w:val="44"/>
          <w:szCs w:val="44"/>
        </w:rPr>
      </w:pPr>
      <w:r>
        <w:rPr>
          <w:rFonts w:eastAsia="方正小标宋简体"/>
          <w:sz w:val="44"/>
          <w:szCs w:val="44"/>
        </w:rPr>
        <w:t>关</w:t>
      </w:r>
      <w:r>
        <w:rPr>
          <w:rFonts w:ascii="Times New Roman" w:hAnsi="Times New Roman" w:eastAsia="方正小标宋简体" w:cs="Times New Roman"/>
          <w:sz w:val="44"/>
          <w:szCs w:val="44"/>
        </w:rPr>
        <w:t>于《</w:t>
      </w:r>
      <w:r>
        <w:rPr>
          <w:rFonts w:hint="eastAsia" w:ascii="Times New Roman" w:hAnsi="Times New Roman" w:eastAsia="方正小标宋简体" w:cs="Times New Roman"/>
          <w:sz w:val="44"/>
          <w:szCs w:val="44"/>
        </w:rPr>
        <w:t>永州摩崖石刻</w:t>
      </w:r>
      <w:r>
        <w:rPr>
          <w:rFonts w:hint="eastAsia" w:ascii="Times New Roman" w:hAnsi="Times New Roman" w:eastAsia="方正小标宋简体" w:cs="Times New Roman"/>
          <w:sz w:val="44"/>
          <w:szCs w:val="44"/>
          <w:lang w:eastAsia="zh-CN"/>
        </w:rPr>
        <w:t>保护</w:t>
      </w:r>
      <w:r>
        <w:rPr>
          <w:rFonts w:hint="eastAsia" w:ascii="Times New Roman" w:hAnsi="Times New Roman" w:eastAsia="方正小标宋简体" w:cs="Times New Roman"/>
          <w:sz w:val="44"/>
          <w:szCs w:val="44"/>
          <w:lang w:val="en-US" w:eastAsia="zh-CN"/>
        </w:rPr>
        <w:t>规定</w:t>
      </w:r>
      <w:r>
        <w:rPr>
          <w:rFonts w:ascii="Times New Roman" w:hAnsi="Times New Roman" w:eastAsia="方正小标宋简体" w:cs="Times New Roman"/>
          <w:sz w:val="44"/>
          <w:szCs w:val="44"/>
        </w:rPr>
        <w:t>（草案）》的</w:t>
      </w:r>
    </w:p>
    <w:p w14:paraId="5EF2779A">
      <w:pPr>
        <w:jc w:val="center"/>
        <w:rPr>
          <w:rFonts w:eastAsia="方正小标宋简体"/>
          <w:sz w:val="44"/>
          <w:szCs w:val="44"/>
        </w:rPr>
      </w:pPr>
      <w:r>
        <w:rPr>
          <w:rFonts w:eastAsia="方正小标宋简体"/>
          <w:sz w:val="44"/>
          <w:szCs w:val="44"/>
        </w:rPr>
        <w:t>起草说明</w:t>
      </w:r>
    </w:p>
    <w:p w14:paraId="13AF8D5E">
      <w:pPr>
        <w:pStyle w:val="5"/>
        <w:spacing w:line="560" w:lineRule="exact"/>
        <w:jc w:val="center"/>
        <w:rPr>
          <w:rFonts w:hint="default" w:ascii="仿宋_GB2312" w:hAnsi="仿宋_GB2312" w:eastAsia="仿宋_GB2312" w:cs="仿宋_GB2312"/>
          <w:color w:val="auto"/>
          <w:w w:val="98"/>
          <w:kern w:val="2"/>
          <w:sz w:val="32"/>
          <w:szCs w:val="32"/>
          <w:lang w:val="en-US" w:eastAsia="zh-CN" w:bidi="ar-SA"/>
        </w:rPr>
      </w:pPr>
    </w:p>
    <w:p w14:paraId="640D05E9">
      <w:pPr>
        <w:ind w:firstLine="626" w:firstLineChars="200"/>
        <w:rPr>
          <w:rFonts w:hint="eastAsia" w:ascii="方正黑体_GBK" w:hAnsi="方正黑体_GBK" w:eastAsia="方正黑体_GBK" w:cs="方正黑体_GBK"/>
          <w:b w:val="0"/>
          <w:bCs w:val="0"/>
          <w:color w:val="auto"/>
          <w:w w:val="98"/>
          <w:kern w:val="2"/>
          <w:sz w:val="32"/>
          <w:szCs w:val="32"/>
          <w:lang w:val="en-US" w:eastAsia="zh-CN" w:bidi="ar-SA"/>
        </w:rPr>
      </w:pPr>
      <w:r>
        <w:rPr>
          <w:rFonts w:hint="eastAsia" w:ascii="方正黑体_GBK" w:hAnsi="方正黑体_GBK" w:eastAsia="方正黑体_GBK" w:cs="方正黑体_GBK"/>
          <w:b w:val="0"/>
          <w:bCs w:val="0"/>
          <w:color w:val="auto"/>
          <w:w w:val="98"/>
          <w:kern w:val="2"/>
          <w:sz w:val="32"/>
          <w:szCs w:val="32"/>
          <w:lang w:val="en-US" w:eastAsia="zh-CN" w:bidi="ar-SA"/>
        </w:rPr>
        <w:t>一、制定《规定》的重要性和必要性</w:t>
      </w:r>
    </w:p>
    <w:p w14:paraId="696A5D72">
      <w:pPr>
        <w:ind w:firstLine="626" w:firstLineChars="200"/>
        <w:rPr>
          <w:rFonts w:hint="default" w:ascii="仿宋_GB2312" w:hAnsi="仿宋_GB2312" w:eastAsia="仿宋_GB2312" w:cs="仿宋_GB2312"/>
          <w:color w:val="auto"/>
          <w:w w:val="98"/>
          <w:kern w:val="2"/>
          <w:sz w:val="32"/>
          <w:szCs w:val="32"/>
          <w:lang w:val="en-US" w:eastAsia="zh-CN" w:bidi="ar-SA"/>
        </w:rPr>
      </w:pPr>
      <w:r>
        <w:rPr>
          <w:rFonts w:hint="eastAsia" w:ascii="仿宋_GB2312" w:hAnsi="仿宋_GB2312" w:eastAsia="仿宋_GB2312" w:cs="仿宋_GB2312"/>
          <w:color w:val="auto"/>
          <w:w w:val="98"/>
          <w:kern w:val="2"/>
          <w:sz w:val="32"/>
          <w:szCs w:val="32"/>
          <w:lang w:val="en-US" w:eastAsia="zh-CN" w:bidi="ar-SA"/>
        </w:rPr>
        <w:t>永州有遗存完整、数量丰富、成线成片的摩崖石刻群。</w:t>
      </w:r>
      <w:r>
        <w:rPr>
          <w:rFonts w:hint="default" w:ascii="仿宋_GB2312" w:hAnsi="仿宋_GB2312" w:eastAsia="仿宋_GB2312" w:cs="仿宋_GB2312"/>
          <w:color w:val="auto"/>
          <w:w w:val="98"/>
          <w:kern w:val="2"/>
          <w:sz w:val="32"/>
          <w:szCs w:val="32"/>
          <w:lang w:val="en-US" w:eastAsia="zh-CN" w:bidi="ar-SA"/>
        </w:rPr>
        <w:t>推进</w:t>
      </w:r>
      <w:r>
        <w:rPr>
          <w:rFonts w:hint="eastAsia" w:ascii="仿宋_GB2312" w:hAnsi="仿宋_GB2312" w:eastAsia="仿宋_GB2312" w:cs="仿宋_GB2312"/>
          <w:color w:val="auto"/>
          <w:w w:val="98"/>
          <w:kern w:val="2"/>
          <w:sz w:val="32"/>
          <w:szCs w:val="32"/>
          <w:lang w:val="en-US" w:eastAsia="zh-CN" w:bidi="ar-SA"/>
        </w:rPr>
        <w:t>摩崖石刻</w:t>
      </w:r>
      <w:r>
        <w:rPr>
          <w:rFonts w:hint="default" w:ascii="仿宋_GB2312" w:hAnsi="仿宋_GB2312" w:eastAsia="仿宋_GB2312" w:cs="仿宋_GB2312"/>
          <w:color w:val="auto"/>
          <w:w w:val="98"/>
          <w:kern w:val="2"/>
          <w:sz w:val="32"/>
          <w:szCs w:val="32"/>
          <w:lang w:val="en-US" w:eastAsia="zh-CN" w:bidi="ar-SA"/>
        </w:rPr>
        <w:t>管理立法，是落实</w:t>
      </w:r>
      <w:r>
        <w:rPr>
          <w:rFonts w:hint="eastAsia" w:ascii="仿宋_GB2312" w:hAnsi="仿宋_GB2312" w:eastAsia="仿宋_GB2312" w:cs="仿宋_GB2312"/>
          <w:color w:val="auto"/>
          <w:w w:val="98"/>
          <w:kern w:val="2"/>
          <w:sz w:val="32"/>
          <w:szCs w:val="32"/>
          <w:lang w:val="en-US" w:eastAsia="zh-CN" w:bidi="ar-SA"/>
        </w:rPr>
        <w:t>习近平总书记在文化传承发展座谈会上的重要</w:t>
      </w:r>
      <w:bookmarkStart w:id="0" w:name="_GoBack"/>
      <w:bookmarkEnd w:id="0"/>
      <w:r>
        <w:rPr>
          <w:rFonts w:hint="eastAsia" w:ascii="仿宋_GB2312" w:hAnsi="仿宋_GB2312" w:eastAsia="仿宋_GB2312" w:cs="仿宋_GB2312"/>
          <w:color w:val="auto"/>
          <w:w w:val="98"/>
          <w:kern w:val="2"/>
          <w:sz w:val="32"/>
          <w:szCs w:val="32"/>
          <w:lang w:val="en-US" w:eastAsia="zh-CN" w:bidi="ar-SA"/>
        </w:rPr>
        <w:t>讲话精神</w:t>
      </w:r>
      <w:r>
        <w:rPr>
          <w:rFonts w:hint="default" w:ascii="仿宋_GB2312" w:hAnsi="仿宋_GB2312" w:eastAsia="仿宋_GB2312" w:cs="仿宋_GB2312"/>
          <w:color w:val="auto"/>
          <w:w w:val="98"/>
          <w:kern w:val="2"/>
          <w:sz w:val="32"/>
          <w:szCs w:val="32"/>
          <w:lang w:val="en-US" w:eastAsia="zh-CN" w:bidi="ar-SA"/>
        </w:rPr>
        <w:t>，规范</w:t>
      </w:r>
      <w:r>
        <w:rPr>
          <w:rFonts w:hint="eastAsia" w:ascii="仿宋_GB2312" w:hAnsi="仿宋_GB2312" w:eastAsia="仿宋_GB2312" w:cs="仿宋_GB2312"/>
          <w:color w:val="auto"/>
          <w:w w:val="98"/>
          <w:kern w:val="2"/>
          <w:sz w:val="32"/>
          <w:szCs w:val="32"/>
          <w:lang w:val="en-US" w:eastAsia="zh-CN" w:bidi="ar-SA"/>
        </w:rPr>
        <w:t>摩崖石刻</w:t>
      </w:r>
      <w:r>
        <w:rPr>
          <w:rFonts w:hint="default" w:ascii="仿宋_GB2312" w:hAnsi="仿宋_GB2312" w:eastAsia="仿宋_GB2312" w:cs="仿宋_GB2312"/>
          <w:color w:val="auto"/>
          <w:w w:val="98"/>
          <w:kern w:val="2"/>
          <w:sz w:val="32"/>
          <w:szCs w:val="32"/>
          <w:lang w:val="en-US" w:eastAsia="zh-CN" w:bidi="ar-SA"/>
        </w:rPr>
        <w:t>管理工作的现实需要，是将永州实践成果固化为地方性法规的重要举措。</w:t>
      </w:r>
    </w:p>
    <w:p w14:paraId="4CB906F6">
      <w:pPr>
        <w:widowControl/>
        <w:ind w:firstLine="626" w:firstLineChars="200"/>
        <w:jc w:val="left"/>
        <w:rPr>
          <w:rFonts w:hint="default" w:ascii="仿宋_GB2312" w:hAnsi="仿宋_GB2312" w:eastAsia="仿宋_GB2312" w:cs="仿宋_GB2312"/>
          <w:color w:val="auto"/>
          <w:w w:val="98"/>
          <w:kern w:val="2"/>
          <w:sz w:val="32"/>
          <w:szCs w:val="32"/>
          <w:lang w:val="en-US" w:eastAsia="zh-CN" w:bidi="ar-SA"/>
        </w:rPr>
      </w:pPr>
      <w:r>
        <w:rPr>
          <w:rFonts w:hint="eastAsia" w:ascii="方正楷体_GBK" w:hAnsi="方正楷体_GBK" w:eastAsia="方正楷体_GBK" w:cs="方正楷体_GBK"/>
          <w:b/>
          <w:bCs/>
          <w:color w:val="auto"/>
          <w:w w:val="98"/>
          <w:kern w:val="2"/>
          <w:sz w:val="32"/>
          <w:szCs w:val="32"/>
          <w:lang w:val="en-US" w:eastAsia="zh-CN" w:bidi="ar-SA"/>
        </w:rPr>
        <w:t>一是申遗有要求。</w:t>
      </w:r>
      <w:r>
        <w:rPr>
          <w:rFonts w:hint="default" w:ascii="仿宋_GB2312" w:hAnsi="仿宋_GB2312" w:eastAsia="仿宋_GB2312" w:cs="仿宋_GB2312"/>
          <w:color w:val="auto"/>
          <w:w w:val="98"/>
          <w:kern w:val="2"/>
          <w:sz w:val="32"/>
          <w:szCs w:val="32"/>
          <w:lang w:val="en-US" w:eastAsia="zh-CN" w:bidi="ar-SA"/>
        </w:rPr>
        <w:t>为加强协调指导，进一步规范世界文化遗产申报工作，国家文物局制订了《世界文化遗产申报工作规程（试行）》，明确了申报相关各方的责任、权利和义务，申报项目应具备的条件和所需开展的工作，以及申报程序等</w:t>
      </w:r>
      <w:r>
        <w:rPr>
          <w:rFonts w:hint="eastAsia" w:ascii="仿宋_GB2312" w:hAnsi="仿宋_GB2312" w:eastAsia="仿宋_GB2312" w:cs="仿宋_GB2312"/>
          <w:color w:val="auto"/>
          <w:w w:val="98"/>
          <w:kern w:val="2"/>
          <w:sz w:val="32"/>
          <w:szCs w:val="32"/>
          <w:lang w:val="en-US" w:eastAsia="zh-CN" w:bidi="ar-SA"/>
        </w:rPr>
        <w:t>。</w:t>
      </w:r>
      <w:r>
        <w:rPr>
          <w:rFonts w:hint="default" w:ascii="仿宋_GB2312" w:hAnsi="仿宋_GB2312" w:eastAsia="仿宋_GB2312" w:cs="仿宋_GB2312"/>
          <w:color w:val="auto"/>
          <w:w w:val="98"/>
          <w:kern w:val="2"/>
          <w:sz w:val="32"/>
          <w:szCs w:val="32"/>
          <w:lang w:val="en-US" w:eastAsia="zh-CN" w:bidi="ar-SA"/>
        </w:rPr>
        <w:t>其中第十九条明确规定:颁布实施文化遗产保护的地方专项法规和规章。</w:t>
      </w:r>
    </w:p>
    <w:p w14:paraId="0C488974">
      <w:pPr>
        <w:widowControl/>
        <w:ind w:firstLine="626" w:firstLineChars="200"/>
        <w:jc w:val="left"/>
        <w:rPr>
          <w:rFonts w:hint="default" w:ascii="仿宋_GB2312" w:hAnsi="仿宋_GB2312" w:eastAsia="仿宋_GB2312" w:cs="仿宋_GB2312"/>
          <w:color w:val="auto"/>
          <w:w w:val="98"/>
          <w:kern w:val="2"/>
          <w:sz w:val="32"/>
          <w:szCs w:val="32"/>
          <w:lang w:val="en-US" w:eastAsia="zh-CN" w:bidi="ar-SA"/>
        </w:rPr>
      </w:pPr>
      <w:r>
        <w:rPr>
          <w:rFonts w:hint="eastAsia" w:ascii="方正楷体_GBK" w:hAnsi="方正楷体_GBK" w:eastAsia="方正楷体_GBK" w:cs="方正楷体_GBK"/>
          <w:b/>
          <w:bCs/>
          <w:color w:val="auto"/>
          <w:w w:val="98"/>
          <w:kern w:val="2"/>
          <w:sz w:val="32"/>
          <w:szCs w:val="32"/>
          <w:lang w:val="en-US" w:eastAsia="zh-CN" w:bidi="ar-SA"/>
        </w:rPr>
        <w:t>二是现实有需要。</w:t>
      </w:r>
      <w:r>
        <w:rPr>
          <w:rFonts w:hint="eastAsia" w:ascii="仿宋_GB2312" w:hAnsi="仿宋_GB2312" w:eastAsia="仿宋_GB2312" w:cs="仿宋_GB2312"/>
          <w:color w:val="auto"/>
          <w:w w:val="98"/>
          <w:kern w:val="2"/>
          <w:sz w:val="32"/>
          <w:szCs w:val="32"/>
          <w:lang w:val="en-US" w:eastAsia="zh-CN" w:bidi="ar-SA"/>
        </w:rPr>
        <w:t>永州境内现存摩崖石刻数量居全省第一。列为市级以上文物保护单位29处，其中全国重点文物保护单位7处，省级文物保护单位5处。整个南方地区共有21处摩崖石刻列入全国重点文物保护单位，永州占三分之一。</w:t>
      </w:r>
      <w:r>
        <w:rPr>
          <w:rFonts w:hint="default" w:ascii="仿宋_GB2312" w:hAnsi="仿宋_GB2312" w:eastAsia="仿宋_GB2312" w:cs="仿宋_GB2312"/>
          <w:color w:val="auto"/>
          <w:w w:val="98"/>
          <w:kern w:val="2"/>
          <w:sz w:val="32"/>
          <w:szCs w:val="32"/>
          <w:lang w:val="en-US" w:eastAsia="zh-CN" w:bidi="ar-SA"/>
        </w:rPr>
        <w:t>这些</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石刻散落在各县区和乡村，它们见证着历史的变迁，为地方史和民俗文化研究提供了十分宝贵的资料。然而，斗转星移，随着时代的发展，这些</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石刻也历经劫难，遭遇了自然毁损和人为破坏。尤其是近十多年来，我市城市建设和旅游发展突飞猛进，</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石刻保护面临的问题越来越突出，主要表现在：一是</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石刻保护的管理机制有待加强和完善。</w:t>
      </w:r>
      <w:r>
        <w:rPr>
          <w:rFonts w:hint="eastAsia" w:ascii="仿宋_GB2312" w:hAnsi="仿宋_GB2312" w:eastAsia="仿宋_GB2312" w:cs="仿宋_GB2312"/>
          <w:color w:val="auto"/>
          <w:w w:val="98"/>
          <w:kern w:val="2"/>
          <w:sz w:val="32"/>
          <w:szCs w:val="32"/>
          <w:lang w:val="en-US" w:eastAsia="zh-CN" w:bidi="ar-SA"/>
        </w:rPr>
        <w:t>我市摩崖</w:t>
      </w:r>
      <w:r>
        <w:rPr>
          <w:rFonts w:hint="default" w:ascii="仿宋_GB2312" w:hAnsi="仿宋_GB2312" w:eastAsia="仿宋_GB2312" w:cs="仿宋_GB2312"/>
          <w:color w:val="auto"/>
          <w:w w:val="98"/>
          <w:kern w:val="2"/>
          <w:sz w:val="32"/>
          <w:szCs w:val="32"/>
          <w:lang w:val="en-US" w:eastAsia="zh-CN" w:bidi="ar-SA"/>
        </w:rPr>
        <w:t>石刻分布较广，管理主体责任不明晰，有的是景区景点，有的是文化部门，在管理机构设置、经费保障、设施建设、监管措施等方面缺乏针对性，特别是对散落在乡野间的石刻更是缺乏保护办法。二是受自然和人为破坏情况日益严重。因我市</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石刻大多在露天石崖上，长期受裂隙、溶蚀、风化等自然因素破坏，不少重要石刻在近10年时间里已变得面目全非。三是</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石刻保护和文化旅游宣传教育结合不够。我市</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石刻是体现深厚历史文化底蕴的重要载体，具有极高的历史、文化、艺术、科学价值，但目前对</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石刻开展的文旅项目、爱国主义教育、廉政教育及群众性宣传活动较少，广大市民及游客对</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石刻这一历史文化瑰宝知之不多。四是</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石刻保护专门队伍人才奇缺，对石刻保护的研究开展少。据此，在认真分析总结我市</w:t>
      </w:r>
      <w:r>
        <w:rPr>
          <w:rFonts w:hint="eastAsia" w:ascii="仿宋_GB2312" w:hAnsi="仿宋_GB2312" w:eastAsia="仿宋_GB2312" w:cs="仿宋_GB2312"/>
          <w:color w:val="auto"/>
          <w:w w:val="98"/>
          <w:kern w:val="2"/>
          <w:sz w:val="32"/>
          <w:szCs w:val="32"/>
          <w:lang w:val="en-US" w:eastAsia="zh-CN" w:bidi="ar-SA"/>
        </w:rPr>
        <w:t>摩崖</w:t>
      </w:r>
      <w:r>
        <w:rPr>
          <w:rFonts w:hint="default" w:ascii="仿宋_GB2312" w:hAnsi="仿宋_GB2312" w:eastAsia="仿宋_GB2312" w:cs="仿宋_GB2312"/>
          <w:color w:val="auto"/>
          <w:w w:val="98"/>
          <w:kern w:val="2"/>
          <w:sz w:val="32"/>
          <w:szCs w:val="32"/>
          <w:lang w:val="en-US" w:eastAsia="zh-CN" w:bidi="ar-SA"/>
        </w:rPr>
        <w:t>石刻保护现状的情况下，研究制定符合实际和特色的摩崖石刻保护</w:t>
      </w:r>
      <w:r>
        <w:rPr>
          <w:rFonts w:hint="eastAsia" w:ascii="仿宋_GB2312" w:hAnsi="仿宋_GB2312" w:eastAsia="仿宋_GB2312" w:cs="仿宋_GB2312"/>
          <w:color w:val="auto"/>
          <w:w w:val="98"/>
          <w:kern w:val="2"/>
          <w:sz w:val="32"/>
          <w:szCs w:val="32"/>
          <w:lang w:val="en-US" w:eastAsia="zh-CN" w:bidi="ar-SA"/>
        </w:rPr>
        <w:t>规定</w:t>
      </w:r>
      <w:r>
        <w:rPr>
          <w:rFonts w:hint="default" w:ascii="仿宋_GB2312" w:hAnsi="仿宋_GB2312" w:eastAsia="仿宋_GB2312" w:cs="仿宋_GB2312"/>
          <w:color w:val="auto"/>
          <w:w w:val="98"/>
          <w:kern w:val="2"/>
          <w:sz w:val="32"/>
          <w:szCs w:val="32"/>
          <w:lang w:val="en-US" w:eastAsia="zh-CN" w:bidi="ar-SA"/>
        </w:rPr>
        <w:t>，不仅是必要的而且是紧迫的。</w:t>
      </w:r>
    </w:p>
    <w:p w14:paraId="263A264F">
      <w:pPr>
        <w:widowControl/>
        <w:ind w:firstLine="626" w:firstLineChars="200"/>
        <w:jc w:val="left"/>
        <w:rPr>
          <w:rFonts w:hint="default" w:ascii="仿宋_GB2312" w:hAnsi="仿宋_GB2312" w:eastAsia="仿宋_GB2312" w:cs="仿宋_GB2312"/>
          <w:color w:val="auto"/>
          <w:w w:val="98"/>
          <w:kern w:val="2"/>
          <w:sz w:val="32"/>
          <w:szCs w:val="32"/>
          <w:lang w:val="en-US" w:eastAsia="zh-CN" w:bidi="ar-SA"/>
        </w:rPr>
      </w:pPr>
      <w:r>
        <w:rPr>
          <w:rFonts w:hint="eastAsia" w:ascii="方正楷体_GBK" w:hAnsi="方正楷体_GBK" w:eastAsia="方正楷体_GBK" w:cs="方正楷体_GBK"/>
          <w:b/>
          <w:bCs/>
          <w:color w:val="auto"/>
          <w:w w:val="98"/>
          <w:kern w:val="2"/>
          <w:sz w:val="32"/>
          <w:szCs w:val="32"/>
          <w:lang w:val="en-US" w:eastAsia="zh-CN" w:bidi="ar-SA"/>
        </w:rPr>
        <w:t>三是外地有借鉴。</w:t>
      </w:r>
      <w:r>
        <w:rPr>
          <w:rFonts w:hint="default" w:ascii="仿宋_GB2312" w:hAnsi="仿宋_GB2312" w:eastAsia="仿宋_GB2312" w:cs="仿宋_GB2312"/>
          <w:color w:val="auto"/>
          <w:w w:val="98"/>
          <w:kern w:val="2"/>
          <w:sz w:val="32"/>
          <w:szCs w:val="32"/>
          <w:lang w:val="en-US" w:eastAsia="zh-CN" w:bidi="ar-SA"/>
        </w:rPr>
        <w:t>目前，</w:t>
      </w:r>
      <w:r>
        <w:rPr>
          <w:rFonts w:hint="eastAsia" w:ascii="仿宋_GB2312" w:hAnsi="仿宋_GB2312" w:eastAsia="仿宋_GB2312" w:cs="仿宋_GB2312"/>
          <w:color w:val="auto"/>
          <w:w w:val="98"/>
          <w:kern w:val="2"/>
          <w:sz w:val="32"/>
          <w:szCs w:val="32"/>
          <w:lang w:val="en-US" w:eastAsia="zh-CN" w:bidi="ar-SA"/>
        </w:rPr>
        <w:t>外地</w:t>
      </w:r>
      <w:r>
        <w:rPr>
          <w:rFonts w:hint="default" w:ascii="仿宋_GB2312" w:hAnsi="仿宋_GB2312" w:eastAsia="仿宋_GB2312" w:cs="仿宋_GB2312"/>
          <w:color w:val="auto"/>
          <w:w w:val="98"/>
          <w:kern w:val="2"/>
          <w:sz w:val="32"/>
          <w:szCs w:val="32"/>
          <w:lang w:val="en-US" w:eastAsia="zh-CN" w:bidi="ar-SA"/>
        </w:rPr>
        <w:t>已制定有《连云港市石刻保护条例》《重庆市大足石刻保护条例》《桂林市石刻保护条例》</w:t>
      </w:r>
      <w:r>
        <w:rPr>
          <w:rFonts w:hint="eastAsia" w:ascii="仿宋_GB2312" w:hAnsi="仿宋_GB2312" w:eastAsia="仿宋_GB2312" w:cs="仿宋_GB2312"/>
          <w:color w:val="auto"/>
          <w:w w:val="98"/>
          <w:kern w:val="2"/>
          <w:sz w:val="32"/>
          <w:szCs w:val="32"/>
          <w:lang w:val="en-US" w:eastAsia="zh-CN" w:bidi="ar-SA"/>
        </w:rPr>
        <w:t>地方性法规。这些条例的出台</w:t>
      </w:r>
      <w:r>
        <w:rPr>
          <w:rFonts w:hint="default" w:ascii="仿宋_GB2312" w:hAnsi="仿宋_GB2312" w:eastAsia="仿宋_GB2312" w:cs="仿宋_GB2312"/>
          <w:color w:val="auto"/>
          <w:w w:val="98"/>
          <w:kern w:val="2"/>
          <w:sz w:val="32"/>
          <w:szCs w:val="32"/>
          <w:lang w:val="en-US" w:eastAsia="zh-CN" w:bidi="ar-SA"/>
        </w:rPr>
        <w:t>对各地石刻的保护以及推动文旅融合起到了积极促进作用。各地的立法经验为我市制定地方性法规提供了较为充分的参考借鉴。</w:t>
      </w:r>
    </w:p>
    <w:p w14:paraId="5FFE20EC">
      <w:pPr>
        <w:ind w:firstLine="626" w:firstLineChars="200"/>
        <w:rPr>
          <w:rFonts w:hint="default" w:ascii="方正黑体_GBK" w:hAnsi="方正黑体_GBK" w:eastAsia="方正黑体_GBK" w:cs="方正黑体_GBK"/>
          <w:b w:val="0"/>
          <w:bCs w:val="0"/>
          <w:color w:val="auto"/>
          <w:w w:val="98"/>
          <w:kern w:val="2"/>
          <w:sz w:val="32"/>
          <w:szCs w:val="32"/>
          <w:lang w:val="en-US" w:eastAsia="zh-CN" w:bidi="ar-SA"/>
        </w:rPr>
      </w:pPr>
      <w:r>
        <w:rPr>
          <w:rFonts w:hint="default" w:ascii="方正黑体_GBK" w:hAnsi="方正黑体_GBK" w:eastAsia="方正黑体_GBK" w:cs="方正黑体_GBK"/>
          <w:b w:val="0"/>
          <w:bCs w:val="0"/>
          <w:color w:val="auto"/>
          <w:w w:val="98"/>
          <w:kern w:val="2"/>
          <w:sz w:val="32"/>
          <w:szCs w:val="32"/>
          <w:lang w:val="en-US" w:eastAsia="zh-CN" w:bidi="ar-SA"/>
        </w:rPr>
        <w:t>二、《</w:t>
      </w:r>
      <w:r>
        <w:rPr>
          <w:rFonts w:hint="eastAsia" w:ascii="方正黑体_GBK" w:hAnsi="方正黑体_GBK" w:eastAsia="方正黑体_GBK" w:cs="方正黑体_GBK"/>
          <w:b w:val="0"/>
          <w:bCs w:val="0"/>
          <w:color w:val="auto"/>
          <w:w w:val="98"/>
          <w:kern w:val="2"/>
          <w:sz w:val="32"/>
          <w:szCs w:val="32"/>
          <w:lang w:val="en-US" w:eastAsia="zh-CN" w:bidi="ar-SA"/>
        </w:rPr>
        <w:t>规定</w:t>
      </w:r>
      <w:r>
        <w:rPr>
          <w:rFonts w:hint="default" w:ascii="方正黑体_GBK" w:hAnsi="方正黑体_GBK" w:eastAsia="方正黑体_GBK" w:cs="方正黑体_GBK"/>
          <w:b w:val="0"/>
          <w:bCs w:val="0"/>
          <w:color w:val="auto"/>
          <w:w w:val="98"/>
          <w:kern w:val="2"/>
          <w:sz w:val="32"/>
          <w:szCs w:val="32"/>
          <w:lang w:val="en-US" w:eastAsia="zh-CN" w:bidi="ar-SA"/>
        </w:rPr>
        <w:t>》起草依据</w:t>
      </w:r>
    </w:p>
    <w:p w14:paraId="2AD80635">
      <w:pPr>
        <w:spacing w:line="580" w:lineRule="exact"/>
        <w:ind w:firstLine="626" w:firstLineChars="200"/>
        <w:jc w:val="both"/>
        <w:rPr>
          <w:rFonts w:hint="default" w:ascii="仿宋_GB2312" w:hAnsi="仿宋_GB2312" w:eastAsia="仿宋_GB2312" w:cs="仿宋_GB2312"/>
          <w:color w:val="auto"/>
          <w:w w:val="98"/>
          <w:kern w:val="2"/>
          <w:sz w:val="32"/>
          <w:szCs w:val="32"/>
          <w:lang w:val="en-US" w:eastAsia="zh-CN" w:bidi="ar-SA"/>
        </w:rPr>
      </w:pP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中华人民共和国文物保护法</w:t>
      </w: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第七条、《湖南省文物保护条例》第四条“一切机关、组织和个人都有依法保护文物的义务”，中共湖南省委办公厅、湖南省人民政府办公厅印发《关于加强全省文化保护利用工作的意见》要求“各级党委和政府应依法履行文物保护主体责任”</w:t>
      </w:r>
      <w:r>
        <w:rPr>
          <w:rFonts w:hint="default" w:ascii="仿宋_GB2312" w:hAnsi="仿宋_GB2312" w:eastAsia="仿宋_GB2312" w:cs="仿宋_GB2312"/>
          <w:color w:val="auto"/>
          <w:w w:val="98"/>
          <w:kern w:val="2"/>
          <w:sz w:val="32"/>
          <w:szCs w:val="32"/>
          <w:lang w:val="en-US" w:eastAsia="zh-CN" w:bidi="ar-SA"/>
        </w:rPr>
        <w:t>（湘</w:t>
      </w:r>
      <w:r>
        <w:rPr>
          <w:rFonts w:hint="eastAsia" w:ascii="仿宋_GB2312" w:hAnsi="仿宋_GB2312" w:eastAsia="仿宋_GB2312" w:cs="仿宋_GB2312"/>
          <w:color w:val="auto"/>
          <w:w w:val="98"/>
          <w:kern w:val="2"/>
          <w:sz w:val="32"/>
          <w:szCs w:val="32"/>
          <w:lang w:val="en-US" w:eastAsia="zh-CN" w:bidi="ar-SA"/>
        </w:rPr>
        <w:t>办</w:t>
      </w:r>
      <w:r>
        <w:rPr>
          <w:rFonts w:hint="default" w:ascii="仿宋_GB2312" w:hAnsi="仿宋_GB2312" w:eastAsia="仿宋_GB2312" w:cs="仿宋_GB2312"/>
          <w:color w:val="auto"/>
          <w:w w:val="98"/>
          <w:kern w:val="2"/>
          <w:sz w:val="32"/>
          <w:szCs w:val="32"/>
          <w:lang w:val="en-US" w:eastAsia="zh-CN" w:bidi="ar-SA"/>
        </w:rPr>
        <w:t>发〔202</w:t>
      </w:r>
      <w:r>
        <w:rPr>
          <w:rFonts w:hint="eastAsia" w:ascii="仿宋_GB2312" w:hAnsi="仿宋_GB2312" w:eastAsia="仿宋_GB2312" w:cs="仿宋_GB2312"/>
          <w:color w:val="auto"/>
          <w:w w:val="98"/>
          <w:kern w:val="2"/>
          <w:sz w:val="32"/>
          <w:szCs w:val="32"/>
          <w:lang w:val="en-US" w:eastAsia="zh-CN" w:bidi="ar-SA"/>
        </w:rPr>
        <w:t>3</w:t>
      </w: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10</w:t>
      </w:r>
      <w:r>
        <w:rPr>
          <w:rFonts w:hint="default" w:ascii="仿宋_GB2312" w:hAnsi="仿宋_GB2312" w:eastAsia="仿宋_GB2312" w:cs="仿宋_GB2312"/>
          <w:color w:val="auto"/>
          <w:w w:val="98"/>
          <w:kern w:val="2"/>
          <w:sz w:val="32"/>
          <w:szCs w:val="32"/>
          <w:lang w:val="en-US" w:eastAsia="zh-CN" w:bidi="ar-SA"/>
        </w:rPr>
        <w:t>号）等政策规定。参考学习了</w:t>
      </w:r>
      <w:r>
        <w:rPr>
          <w:rFonts w:hint="eastAsia" w:ascii="仿宋_GB2312" w:hAnsi="仿宋_GB2312" w:eastAsia="仿宋_GB2312" w:cs="仿宋_GB2312"/>
          <w:color w:val="auto"/>
          <w:w w:val="98"/>
          <w:kern w:val="2"/>
          <w:sz w:val="32"/>
          <w:szCs w:val="32"/>
          <w:lang w:val="en-US" w:eastAsia="zh-CN" w:bidi="ar-SA"/>
        </w:rPr>
        <w:t>重庆市、桂林市、资阳市、连云港市</w:t>
      </w:r>
      <w:r>
        <w:rPr>
          <w:rFonts w:hint="default" w:ascii="仿宋_GB2312" w:hAnsi="仿宋_GB2312" w:eastAsia="仿宋_GB2312" w:cs="仿宋_GB2312"/>
          <w:color w:val="auto"/>
          <w:w w:val="98"/>
          <w:kern w:val="2"/>
          <w:sz w:val="32"/>
          <w:szCs w:val="32"/>
          <w:lang w:val="en-US" w:eastAsia="zh-CN" w:bidi="ar-SA"/>
        </w:rPr>
        <w:t>等外省市地方性法规和一些好的经验做法。</w:t>
      </w:r>
    </w:p>
    <w:p w14:paraId="41900D8A">
      <w:pPr>
        <w:ind w:firstLine="626" w:firstLineChars="200"/>
        <w:rPr>
          <w:rFonts w:hint="default" w:ascii="方正黑体_GBK" w:hAnsi="方正黑体_GBK" w:eastAsia="方正黑体_GBK" w:cs="方正黑体_GBK"/>
          <w:b w:val="0"/>
          <w:bCs w:val="0"/>
          <w:color w:val="auto"/>
          <w:w w:val="98"/>
          <w:kern w:val="2"/>
          <w:sz w:val="32"/>
          <w:szCs w:val="32"/>
          <w:lang w:val="en-US" w:eastAsia="zh-CN" w:bidi="ar-SA"/>
        </w:rPr>
      </w:pPr>
      <w:r>
        <w:rPr>
          <w:rFonts w:hint="default" w:ascii="方正黑体_GBK" w:hAnsi="方正黑体_GBK" w:eastAsia="方正黑体_GBK" w:cs="方正黑体_GBK"/>
          <w:b w:val="0"/>
          <w:bCs w:val="0"/>
          <w:color w:val="auto"/>
          <w:w w:val="98"/>
          <w:kern w:val="2"/>
          <w:sz w:val="32"/>
          <w:szCs w:val="32"/>
          <w:lang w:val="en-US" w:eastAsia="zh-CN" w:bidi="ar-SA"/>
        </w:rPr>
        <w:t>三、《</w:t>
      </w:r>
      <w:r>
        <w:rPr>
          <w:rFonts w:hint="eastAsia" w:ascii="方正黑体_GBK" w:hAnsi="方正黑体_GBK" w:eastAsia="方正黑体_GBK" w:cs="方正黑体_GBK"/>
          <w:b w:val="0"/>
          <w:bCs w:val="0"/>
          <w:color w:val="auto"/>
          <w:w w:val="98"/>
          <w:kern w:val="2"/>
          <w:sz w:val="32"/>
          <w:szCs w:val="32"/>
          <w:lang w:val="en-US" w:eastAsia="zh-CN" w:bidi="ar-SA"/>
        </w:rPr>
        <w:t>规定</w:t>
      </w:r>
      <w:r>
        <w:rPr>
          <w:rFonts w:hint="default" w:ascii="方正黑体_GBK" w:hAnsi="方正黑体_GBK" w:eastAsia="方正黑体_GBK" w:cs="方正黑体_GBK"/>
          <w:b w:val="0"/>
          <w:bCs w:val="0"/>
          <w:color w:val="auto"/>
          <w:w w:val="98"/>
          <w:kern w:val="2"/>
          <w:sz w:val="32"/>
          <w:szCs w:val="32"/>
          <w:lang w:val="en-US" w:eastAsia="zh-CN" w:bidi="ar-SA"/>
        </w:rPr>
        <w:t>》</w:t>
      </w:r>
      <w:r>
        <w:rPr>
          <w:rFonts w:hint="eastAsia" w:ascii="方正黑体_GBK" w:hAnsi="方正黑体_GBK" w:eastAsia="方正黑体_GBK" w:cs="方正黑体_GBK"/>
          <w:b w:val="0"/>
          <w:bCs w:val="0"/>
          <w:color w:val="auto"/>
          <w:w w:val="98"/>
          <w:kern w:val="2"/>
          <w:sz w:val="32"/>
          <w:szCs w:val="32"/>
          <w:lang w:val="en-US" w:eastAsia="zh-CN" w:bidi="ar-SA"/>
        </w:rPr>
        <w:t>的</w:t>
      </w:r>
      <w:r>
        <w:rPr>
          <w:rFonts w:hint="default" w:ascii="方正黑体_GBK" w:hAnsi="方正黑体_GBK" w:eastAsia="方正黑体_GBK" w:cs="方正黑体_GBK"/>
          <w:b w:val="0"/>
          <w:bCs w:val="0"/>
          <w:color w:val="auto"/>
          <w:w w:val="98"/>
          <w:kern w:val="2"/>
          <w:sz w:val="32"/>
          <w:szCs w:val="32"/>
          <w:lang w:val="en-US" w:eastAsia="zh-CN" w:bidi="ar-SA"/>
        </w:rPr>
        <w:t>起草过程</w:t>
      </w:r>
    </w:p>
    <w:p w14:paraId="4278C6AB">
      <w:pPr>
        <w:ind w:firstLine="626" w:firstLineChars="200"/>
        <w:rPr>
          <w:rFonts w:hint="default" w:ascii="仿宋_GB2312" w:hAnsi="仿宋_GB2312" w:eastAsia="仿宋_GB2312" w:cs="仿宋_GB2312"/>
          <w:color w:val="auto"/>
          <w:w w:val="98"/>
          <w:kern w:val="2"/>
          <w:sz w:val="32"/>
          <w:szCs w:val="32"/>
          <w:lang w:val="en-US" w:eastAsia="zh-CN" w:bidi="ar-SA"/>
        </w:rPr>
      </w:pPr>
      <w:r>
        <w:rPr>
          <w:rFonts w:hint="default" w:ascii="仿宋_GB2312" w:hAnsi="仿宋_GB2312" w:eastAsia="仿宋_GB2312" w:cs="仿宋_GB2312"/>
          <w:color w:val="auto"/>
          <w:w w:val="98"/>
          <w:kern w:val="2"/>
          <w:sz w:val="32"/>
          <w:szCs w:val="32"/>
          <w:lang w:val="en-US" w:eastAsia="zh-CN" w:bidi="ar-SA"/>
        </w:rPr>
        <w:t>202</w:t>
      </w:r>
      <w:r>
        <w:rPr>
          <w:rFonts w:hint="eastAsia" w:ascii="仿宋_GB2312" w:hAnsi="仿宋_GB2312" w:eastAsia="仿宋_GB2312" w:cs="仿宋_GB2312"/>
          <w:color w:val="auto"/>
          <w:w w:val="98"/>
          <w:kern w:val="2"/>
          <w:sz w:val="32"/>
          <w:szCs w:val="32"/>
          <w:lang w:val="en-US" w:eastAsia="zh-CN" w:bidi="ar-SA"/>
        </w:rPr>
        <w:t>3</w:t>
      </w:r>
      <w:r>
        <w:rPr>
          <w:rFonts w:hint="default" w:ascii="仿宋_GB2312" w:hAnsi="仿宋_GB2312" w:eastAsia="仿宋_GB2312" w:cs="仿宋_GB2312"/>
          <w:color w:val="auto"/>
          <w:w w:val="98"/>
          <w:kern w:val="2"/>
          <w:sz w:val="32"/>
          <w:szCs w:val="32"/>
          <w:lang w:val="en-US" w:eastAsia="zh-CN" w:bidi="ar-SA"/>
        </w:rPr>
        <w:t>年</w:t>
      </w:r>
      <w:r>
        <w:rPr>
          <w:rFonts w:hint="eastAsia" w:ascii="仿宋_GB2312" w:hAnsi="仿宋_GB2312" w:eastAsia="仿宋_GB2312" w:cs="仿宋_GB2312"/>
          <w:color w:val="auto"/>
          <w:w w:val="98"/>
          <w:kern w:val="2"/>
          <w:sz w:val="32"/>
          <w:szCs w:val="32"/>
          <w:lang w:val="en-US" w:eastAsia="zh-CN" w:bidi="ar-SA"/>
        </w:rPr>
        <w:t>初</w:t>
      </w: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市人大常委会将摩崖石刻管理</w:t>
      </w:r>
      <w:r>
        <w:rPr>
          <w:rFonts w:hint="default" w:ascii="仿宋_GB2312" w:hAnsi="仿宋_GB2312" w:eastAsia="仿宋_GB2312" w:cs="仿宋_GB2312"/>
          <w:color w:val="auto"/>
          <w:w w:val="98"/>
          <w:kern w:val="2"/>
          <w:sz w:val="32"/>
          <w:szCs w:val="32"/>
          <w:lang w:val="en-US" w:eastAsia="zh-CN" w:bidi="ar-SA"/>
        </w:rPr>
        <w:t>纳入2023年立法计划。随后，</w:t>
      </w:r>
      <w:r>
        <w:rPr>
          <w:rFonts w:hint="eastAsia" w:ascii="仿宋_GB2312" w:hAnsi="仿宋_GB2312" w:eastAsia="仿宋_GB2312" w:cs="仿宋_GB2312"/>
          <w:color w:val="auto"/>
          <w:w w:val="98"/>
          <w:kern w:val="2"/>
          <w:sz w:val="32"/>
          <w:szCs w:val="32"/>
          <w:lang w:val="en-US" w:eastAsia="zh-CN" w:bidi="ar-SA"/>
        </w:rPr>
        <w:t>市文旅广体局牵头组织相关部门</w:t>
      </w:r>
      <w:r>
        <w:rPr>
          <w:rFonts w:hint="default" w:ascii="仿宋_GB2312" w:hAnsi="仿宋_GB2312" w:eastAsia="仿宋_GB2312" w:cs="仿宋_GB2312"/>
          <w:color w:val="auto"/>
          <w:w w:val="98"/>
          <w:kern w:val="2"/>
          <w:sz w:val="32"/>
          <w:szCs w:val="32"/>
          <w:lang w:val="en-US" w:eastAsia="zh-CN" w:bidi="ar-SA"/>
        </w:rPr>
        <w:t>开展了立法调研工作，总结我市实践经验，学习借鉴兄弟市州好的做法，</w:t>
      </w:r>
      <w:r>
        <w:rPr>
          <w:rFonts w:hint="eastAsia" w:ascii="仿宋_GB2312" w:hAnsi="仿宋_GB2312" w:eastAsia="仿宋_GB2312" w:cs="仿宋_GB2312"/>
          <w:color w:val="auto"/>
          <w:w w:val="98"/>
          <w:kern w:val="2"/>
          <w:sz w:val="32"/>
          <w:szCs w:val="32"/>
          <w:lang w:val="en-US" w:eastAsia="zh-CN" w:bidi="ar-SA"/>
        </w:rPr>
        <w:t>着手</w:t>
      </w:r>
      <w:r>
        <w:rPr>
          <w:rFonts w:hint="default" w:ascii="仿宋_GB2312" w:hAnsi="仿宋_GB2312" w:eastAsia="仿宋_GB2312" w:cs="仿宋_GB2312"/>
          <w:color w:val="auto"/>
          <w:w w:val="98"/>
          <w:kern w:val="2"/>
          <w:sz w:val="32"/>
          <w:szCs w:val="32"/>
          <w:lang w:val="en-US" w:eastAsia="zh-CN" w:bidi="ar-SA"/>
        </w:rPr>
        <w:t>起草《永州市</w:t>
      </w:r>
      <w:r>
        <w:rPr>
          <w:rFonts w:hint="eastAsia" w:ascii="仿宋_GB2312" w:hAnsi="仿宋_GB2312" w:eastAsia="仿宋_GB2312" w:cs="仿宋_GB2312"/>
          <w:color w:val="auto"/>
          <w:w w:val="98"/>
          <w:kern w:val="2"/>
          <w:sz w:val="32"/>
          <w:szCs w:val="32"/>
          <w:lang w:val="en-US" w:eastAsia="zh-CN" w:bidi="ar-SA"/>
        </w:rPr>
        <w:t>摩崖石刻保护规定</w:t>
      </w: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草案</w:t>
      </w:r>
      <w:r>
        <w:rPr>
          <w:rFonts w:hint="default" w:ascii="仿宋_GB2312" w:hAnsi="仿宋_GB2312" w:eastAsia="仿宋_GB2312" w:cs="仿宋_GB2312"/>
          <w:color w:val="auto"/>
          <w:w w:val="98"/>
          <w:kern w:val="2"/>
          <w:sz w:val="32"/>
          <w:szCs w:val="32"/>
          <w:lang w:val="en-US" w:eastAsia="zh-CN" w:bidi="ar-SA"/>
        </w:rPr>
        <w:t>）》</w:t>
      </w:r>
      <w:r>
        <w:rPr>
          <w:rFonts w:hint="default" w:ascii="仿宋_GB2312" w:hAnsi="仿宋_GB2312" w:eastAsia="仿宋_GB2312" w:cs="仿宋_GB2312"/>
          <w:color w:val="auto"/>
          <w:w w:val="98"/>
          <w:kern w:val="2"/>
          <w:sz w:val="32"/>
          <w:szCs w:val="32"/>
          <w:lang w:val="en" w:eastAsia="zh-CN" w:bidi="ar-SA"/>
        </w:rPr>
        <w:t>,</w:t>
      </w:r>
      <w:r>
        <w:rPr>
          <w:rFonts w:hint="eastAsia" w:ascii="仿宋_GB2312" w:hAnsi="仿宋_GB2312" w:eastAsia="仿宋_GB2312" w:cs="仿宋_GB2312"/>
          <w:color w:val="auto"/>
          <w:w w:val="98"/>
          <w:kern w:val="2"/>
          <w:sz w:val="32"/>
          <w:szCs w:val="32"/>
          <w:lang w:val="en" w:eastAsia="zh-CN" w:bidi="ar-SA"/>
        </w:rPr>
        <w:t>并向县区文物部门征集了意见</w:t>
      </w:r>
      <w:r>
        <w:rPr>
          <w:rFonts w:hint="default" w:ascii="仿宋_GB2312" w:hAnsi="仿宋_GB2312" w:eastAsia="仿宋_GB2312" w:cs="仿宋_GB2312"/>
          <w:color w:val="auto"/>
          <w:w w:val="98"/>
          <w:kern w:val="2"/>
          <w:sz w:val="32"/>
          <w:szCs w:val="32"/>
          <w:lang w:val="en-US" w:eastAsia="zh-CN" w:bidi="ar-SA"/>
        </w:rPr>
        <w:t>。</w:t>
      </w:r>
    </w:p>
    <w:p w14:paraId="4D22F762">
      <w:pPr>
        <w:ind w:firstLine="626" w:firstLineChars="200"/>
        <w:rPr>
          <w:rFonts w:hint="default" w:ascii="方正黑体_GBK" w:hAnsi="方正黑体_GBK" w:eastAsia="方正黑体_GBK" w:cs="方正黑体_GBK"/>
          <w:b w:val="0"/>
          <w:bCs w:val="0"/>
          <w:color w:val="auto"/>
          <w:w w:val="98"/>
          <w:kern w:val="2"/>
          <w:sz w:val="32"/>
          <w:szCs w:val="32"/>
          <w:lang w:val="en-US" w:eastAsia="zh-CN" w:bidi="ar-SA"/>
        </w:rPr>
      </w:pPr>
      <w:r>
        <w:rPr>
          <w:rFonts w:hint="default" w:ascii="方正黑体_GBK" w:hAnsi="方正黑体_GBK" w:eastAsia="方正黑体_GBK" w:cs="方正黑体_GBK"/>
          <w:b w:val="0"/>
          <w:bCs w:val="0"/>
          <w:color w:val="auto"/>
          <w:w w:val="98"/>
          <w:kern w:val="2"/>
          <w:sz w:val="32"/>
          <w:szCs w:val="32"/>
          <w:lang w:val="en-US" w:eastAsia="zh-CN" w:bidi="ar-SA"/>
        </w:rPr>
        <w:t>四、</w:t>
      </w:r>
      <w:r>
        <w:rPr>
          <w:rFonts w:hint="eastAsia" w:ascii="方正黑体_GBK" w:hAnsi="方正黑体_GBK" w:eastAsia="方正黑体_GBK" w:cs="方正黑体_GBK"/>
          <w:b w:val="0"/>
          <w:bCs w:val="0"/>
          <w:color w:val="auto"/>
          <w:w w:val="98"/>
          <w:kern w:val="2"/>
          <w:sz w:val="32"/>
          <w:szCs w:val="32"/>
          <w:lang w:val="en-US" w:eastAsia="zh-CN" w:bidi="ar-SA"/>
        </w:rPr>
        <w:t>《规定》</w:t>
      </w:r>
      <w:r>
        <w:rPr>
          <w:rFonts w:hint="default" w:ascii="方正黑体_GBK" w:hAnsi="方正黑体_GBK" w:eastAsia="方正黑体_GBK" w:cs="方正黑体_GBK"/>
          <w:b w:val="0"/>
          <w:bCs w:val="0"/>
          <w:color w:val="auto"/>
          <w:w w:val="98"/>
          <w:kern w:val="2"/>
          <w:sz w:val="32"/>
          <w:szCs w:val="32"/>
          <w:lang w:val="en-US" w:eastAsia="zh-CN" w:bidi="ar-SA"/>
        </w:rPr>
        <w:t>的主要内容</w:t>
      </w:r>
    </w:p>
    <w:p w14:paraId="164F4248">
      <w:pPr>
        <w:ind w:firstLine="626" w:firstLineChars="200"/>
        <w:rPr>
          <w:rFonts w:hint="default" w:ascii="仿宋_GB2312" w:hAnsi="仿宋_GB2312" w:eastAsia="仿宋_GB2312" w:cs="仿宋_GB2312"/>
          <w:color w:val="auto"/>
          <w:w w:val="98"/>
          <w:kern w:val="2"/>
          <w:sz w:val="32"/>
          <w:szCs w:val="32"/>
          <w:lang w:val="en-US" w:eastAsia="zh-CN" w:bidi="ar-SA"/>
        </w:rPr>
      </w:pPr>
      <w:r>
        <w:rPr>
          <w:rFonts w:hint="default" w:ascii="仿宋_GB2312" w:hAnsi="仿宋_GB2312" w:eastAsia="仿宋_GB2312" w:cs="仿宋_GB2312"/>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规定</w:t>
      </w:r>
      <w:r>
        <w:rPr>
          <w:rFonts w:hint="default" w:ascii="仿宋_GB2312" w:hAnsi="仿宋_GB2312" w:eastAsia="仿宋_GB2312" w:cs="仿宋_GB2312"/>
          <w:color w:val="auto"/>
          <w:w w:val="98"/>
          <w:kern w:val="2"/>
          <w:sz w:val="32"/>
          <w:szCs w:val="32"/>
          <w:lang w:val="en-US" w:eastAsia="zh-CN" w:bidi="ar-SA"/>
        </w:rPr>
        <w:t>》共</w:t>
      </w:r>
      <w:r>
        <w:rPr>
          <w:rFonts w:hint="eastAsia" w:ascii="仿宋_GB2312" w:hAnsi="仿宋_GB2312" w:eastAsia="仿宋_GB2312" w:cs="仿宋_GB2312"/>
          <w:color w:val="auto"/>
          <w:w w:val="98"/>
          <w:kern w:val="2"/>
          <w:sz w:val="32"/>
          <w:szCs w:val="32"/>
          <w:lang w:val="en-US" w:eastAsia="zh-CN" w:bidi="ar-SA"/>
        </w:rPr>
        <w:t>十五</w:t>
      </w:r>
      <w:r>
        <w:rPr>
          <w:rFonts w:hint="default" w:ascii="仿宋_GB2312" w:hAnsi="仿宋_GB2312" w:eastAsia="仿宋_GB2312" w:cs="仿宋_GB2312"/>
          <w:color w:val="auto"/>
          <w:w w:val="98"/>
          <w:kern w:val="2"/>
          <w:sz w:val="32"/>
          <w:szCs w:val="32"/>
          <w:lang w:val="en-US" w:eastAsia="zh-CN" w:bidi="ar-SA"/>
        </w:rPr>
        <w:t>条，主要从</w:t>
      </w:r>
      <w:r>
        <w:rPr>
          <w:rFonts w:hint="eastAsia" w:ascii="仿宋_GB2312" w:hAnsi="仿宋_GB2312" w:eastAsia="仿宋_GB2312" w:cs="仿宋_GB2312"/>
          <w:color w:val="auto"/>
          <w:w w:val="98"/>
          <w:kern w:val="2"/>
          <w:sz w:val="32"/>
          <w:szCs w:val="32"/>
          <w:lang w:val="en-US" w:eastAsia="zh-CN" w:bidi="ar-SA"/>
        </w:rPr>
        <w:t>保护对象</w:t>
      </w:r>
      <w:r>
        <w:rPr>
          <w:rFonts w:hint="default" w:ascii="仿宋_GB2312" w:hAnsi="仿宋_GB2312" w:eastAsia="仿宋_GB2312" w:cs="仿宋_GB2312"/>
          <w:color w:val="auto"/>
          <w:w w:val="98"/>
          <w:kern w:val="2"/>
          <w:sz w:val="32"/>
          <w:szCs w:val="32"/>
          <w:lang w:val="en-US" w:eastAsia="zh-CN" w:bidi="ar-SA"/>
        </w:rPr>
        <w:t>和</w:t>
      </w:r>
      <w:r>
        <w:rPr>
          <w:rFonts w:hint="eastAsia" w:ascii="仿宋_GB2312" w:hAnsi="仿宋_GB2312" w:eastAsia="仿宋_GB2312" w:cs="仿宋_GB2312"/>
          <w:color w:val="auto"/>
          <w:w w:val="98"/>
          <w:kern w:val="2"/>
          <w:sz w:val="32"/>
          <w:szCs w:val="32"/>
          <w:lang w:val="en-US" w:eastAsia="zh-CN" w:bidi="ar-SA"/>
        </w:rPr>
        <w:t>机构职责、管理</w:t>
      </w:r>
      <w:r>
        <w:rPr>
          <w:rFonts w:hint="default" w:ascii="仿宋_GB2312" w:hAnsi="仿宋_GB2312" w:eastAsia="仿宋_GB2312" w:cs="仿宋_GB2312"/>
          <w:color w:val="auto"/>
          <w:w w:val="98"/>
          <w:kern w:val="2"/>
          <w:sz w:val="32"/>
          <w:szCs w:val="32"/>
          <w:lang w:val="en-US" w:eastAsia="zh-CN" w:bidi="ar-SA"/>
        </w:rPr>
        <w:t>原则、</w:t>
      </w:r>
      <w:r>
        <w:rPr>
          <w:rFonts w:hint="eastAsia" w:ascii="仿宋_GB2312" w:hAnsi="仿宋_GB2312" w:eastAsia="仿宋_GB2312" w:cs="仿宋_GB2312"/>
          <w:color w:val="auto"/>
          <w:w w:val="98"/>
          <w:kern w:val="2"/>
          <w:sz w:val="32"/>
          <w:szCs w:val="32"/>
          <w:lang w:val="en-US" w:eastAsia="zh-CN" w:bidi="ar-SA"/>
        </w:rPr>
        <w:t>经费</w:t>
      </w:r>
      <w:r>
        <w:rPr>
          <w:rFonts w:hint="default" w:ascii="仿宋_GB2312" w:hAnsi="仿宋_GB2312" w:eastAsia="仿宋_GB2312" w:cs="仿宋_GB2312"/>
          <w:color w:val="auto"/>
          <w:w w:val="98"/>
          <w:kern w:val="2"/>
          <w:sz w:val="32"/>
          <w:szCs w:val="32"/>
          <w:lang w:val="en-US" w:eastAsia="zh-CN" w:bidi="ar-SA"/>
        </w:rPr>
        <w:t>保障及法律责任等方面进行规范。</w:t>
      </w:r>
    </w:p>
    <w:p w14:paraId="0E5AAC0C">
      <w:pPr>
        <w:ind w:firstLine="626" w:firstLineChars="200"/>
        <w:rPr>
          <w:rFonts w:hint="default" w:ascii="仿宋_GB2312" w:hAnsi="仿宋_GB2312" w:eastAsia="仿宋_GB2312" w:cs="仿宋_GB2312"/>
          <w:color w:val="auto"/>
          <w:w w:val="98"/>
          <w:kern w:val="2"/>
          <w:sz w:val="32"/>
          <w:szCs w:val="32"/>
          <w:lang w:val="en-US" w:eastAsia="zh-CN" w:bidi="ar-SA"/>
        </w:rPr>
      </w:pPr>
      <w:r>
        <w:rPr>
          <w:rFonts w:hint="default" w:ascii="方正楷体_GBK" w:hAnsi="方正楷体_GBK" w:eastAsia="方正楷体_GBK" w:cs="方正楷体_GBK"/>
          <w:b/>
          <w:bCs/>
          <w:color w:val="auto"/>
          <w:w w:val="98"/>
          <w:kern w:val="2"/>
          <w:sz w:val="32"/>
          <w:szCs w:val="32"/>
          <w:lang w:val="en-US" w:eastAsia="zh-CN" w:bidi="ar-SA"/>
        </w:rPr>
        <w:t>一是明确</w:t>
      </w:r>
      <w:r>
        <w:rPr>
          <w:rFonts w:hint="eastAsia" w:ascii="方正楷体_GBK" w:hAnsi="方正楷体_GBK" w:eastAsia="方正楷体_GBK" w:cs="方正楷体_GBK"/>
          <w:b/>
          <w:bCs/>
          <w:color w:val="auto"/>
          <w:w w:val="98"/>
          <w:kern w:val="2"/>
          <w:sz w:val="32"/>
          <w:szCs w:val="32"/>
          <w:lang w:val="en-US" w:eastAsia="zh-CN" w:bidi="ar-SA"/>
        </w:rPr>
        <w:t>保护对象</w:t>
      </w:r>
      <w:r>
        <w:rPr>
          <w:rFonts w:hint="default" w:ascii="方正楷体_GBK" w:hAnsi="方正楷体_GBK" w:eastAsia="方正楷体_GBK" w:cs="方正楷体_GBK"/>
          <w:b/>
          <w:bCs/>
          <w:color w:val="auto"/>
          <w:w w:val="98"/>
          <w:kern w:val="2"/>
          <w:sz w:val="32"/>
          <w:szCs w:val="32"/>
          <w:lang w:val="en-US" w:eastAsia="zh-CN" w:bidi="ar-SA"/>
        </w:rPr>
        <w:t>及</w:t>
      </w:r>
      <w:r>
        <w:rPr>
          <w:rFonts w:hint="eastAsia" w:ascii="方正楷体_GBK" w:hAnsi="方正楷体_GBK" w:eastAsia="方正楷体_GBK" w:cs="方正楷体_GBK"/>
          <w:b/>
          <w:bCs/>
          <w:color w:val="auto"/>
          <w:w w:val="98"/>
          <w:kern w:val="2"/>
          <w:sz w:val="32"/>
          <w:szCs w:val="32"/>
          <w:lang w:val="en-US" w:eastAsia="zh-CN" w:bidi="ar-SA"/>
        </w:rPr>
        <w:t>机构职责</w:t>
      </w:r>
      <w:r>
        <w:rPr>
          <w:rFonts w:hint="default" w:ascii="方正楷体_GBK" w:hAnsi="方正楷体_GBK" w:eastAsia="方正楷体_GBK" w:cs="方正楷体_GBK"/>
          <w:b/>
          <w:bCs/>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规定》中所指摩崖石刻，专指永州境内的文字石刻，即利用天然的石壁刻文记事，有别于其他地方造像或者岩画。加强摩岩石刻管理，应当贯彻落实《中华人民共和国文物保护法》、《湖南省文物保护条例》的有关要求，明确各级政府的管理责任，建立健全市、县区、乡镇街道、村民自治委员会等四级管理体系，强化各级文物部门的监督职责和相关单位的部门职责。</w:t>
      </w:r>
    </w:p>
    <w:p w14:paraId="16C289D1">
      <w:pPr>
        <w:ind w:firstLine="626" w:firstLineChars="200"/>
        <w:rPr>
          <w:rFonts w:hint="eastAsia" w:ascii="仿宋_GB2312" w:hAnsi="仿宋_GB2312" w:eastAsia="仿宋_GB2312" w:cs="仿宋_GB2312"/>
          <w:color w:val="auto"/>
          <w:w w:val="98"/>
          <w:kern w:val="2"/>
          <w:sz w:val="32"/>
          <w:szCs w:val="32"/>
          <w:lang w:val="en-US" w:eastAsia="zh-CN" w:bidi="ar-SA"/>
        </w:rPr>
      </w:pPr>
      <w:r>
        <w:rPr>
          <w:rFonts w:hint="eastAsia" w:ascii="仿宋_GB2312" w:hAnsi="仿宋_GB2312" w:eastAsia="仿宋_GB2312" w:cs="仿宋_GB2312"/>
          <w:color w:val="auto"/>
          <w:w w:val="98"/>
          <w:kern w:val="2"/>
          <w:sz w:val="32"/>
          <w:szCs w:val="32"/>
          <w:lang w:val="en-US" w:eastAsia="zh-CN" w:bidi="ar-SA"/>
        </w:rPr>
        <w:t>永州境内现存摩崖石刻景观约50处，纳入国保、省保、市县区级文保范围及未定级的遗存石刻2100余方，数量居全省第一。</w:t>
      </w:r>
    </w:p>
    <w:p w14:paraId="18E31C6E">
      <w:pPr>
        <w:ind w:firstLine="626" w:firstLineChars="200"/>
        <w:rPr>
          <w:rFonts w:hint="eastAsia" w:ascii="仿宋_GB2312" w:hAnsi="仿宋_GB2312" w:eastAsia="仿宋_GB2312" w:cs="仿宋_GB2312"/>
          <w:color w:val="auto"/>
          <w:w w:val="98"/>
          <w:kern w:val="2"/>
          <w:sz w:val="32"/>
          <w:szCs w:val="32"/>
          <w:lang w:val="en-US" w:eastAsia="zh-CN" w:bidi="ar-SA"/>
        </w:rPr>
      </w:pPr>
      <w:r>
        <w:rPr>
          <w:rFonts w:hint="default" w:ascii="方正楷体_GBK" w:hAnsi="方正楷体_GBK" w:eastAsia="方正楷体_GBK" w:cs="方正楷体_GBK"/>
          <w:b/>
          <w:bCs/>
          <w:color w:val="auto"/>
          <w:w w:val="98"/>
          <w:kern w:val="2"/>
          <w:sz w:val="32"/>
          <w:szCs w:val="32"/>
          <w:lang w:val="en-US" w:eastAsia="zh-CN" w:bidi="ar-SA"/>
        </w:rPr>
        <w:t>二是明确</w:t>
      </w:r>
      <w:r>
        <w:rPr>
          <w:rFonts w:hint="eastAsia" w:ascii="方正楷体_GBK" w:hAnsi="方正楷体_GBK" w:eastAsia="方正楷体_GBK" w:cs="方正楷体_GBK"/>
          <w:b/>
          <w:bCs/>
          <w:color w:val="auto"/>
          <w:w w:val="98"/>
          <w:kern w:val="2"/>
          <w:sz w:val="32"/>
          <w:szCs w:val="32"/>
          <w:lang w:val="en-US" w:eastAsia="zh-CN" w:bidi="ar-SA"/>
        </w:rPr>
        <w:t>经费来源及人才保证</w:t>
      </w:r>
      <w:r>
        <w:rPr>
          <w:rFonts w:hint="default" w:ascii="方正楷体_GBK" w:hAnsi="方正楷体_GBK" w:eastAsia="方正楷体_GBK" w:cs="方正楷体_GBK"/>
          <w:b/>
          <w:bCs/>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在调研中我们发现，除国保、省保可以争取上级资金实施必要的保护外，市、县区级摩崖石刻文保单位由于经费缺乏损毁现象较为严重，另外由于专业人才缺乏，文物部门在摩崖石刻保护利用方面也显得力不从心，因此根据《中华人民共和国文物保护法》“地方各级人民政府负责本行政区域内的文物保护工作”“县级以上人民政府应当将文物保护事业纳入本级国民经济和社会发展规划，所需经费列入本级财政预算”之要求。《规定》在经费及人才保护方面予以了明确。</w:t>
      </w:r>
    </w:p>
    <w:p w14:paraId="3E6E98C2">
      <w:pPr>
        <w:ind w:firstLine="626" w:firstLineChars="200"/>
        <w:rPr>
          <w:rFonts w:hint="default" w:ascii="仿宋_GB2312" w:hAnsi="仿宋_GB2312" w:eastAsia="仿宋_GB2312" w:cs="仿宋_GB2312"/>
          <w:color w:val="auto"/>
          <w:w w:val="98"/>
          <w:kern w:val="2"/>
          <w:sz w:val="32"/>
          <w:szCs w:val="32"/>
          <w:lang w:val="en-US" w:eastAsia="zh-CN" w:bidi="ar-SA"/>
        </w:rPr>
      </w:pPr>
      <w:r>
        <w:rPr>
          <w:rFonts w:hint="default" w:ascii="方正楷体_GBK" w:hAnsi="方正楷体_GBK" w:eastAsia="方正楷体_GBK" w:cs="方正楷体_GBK"/>
          <w:b/>
          <w:bCs/>
          <w:color w:val="auto"/>
          <w:w w:val="98"/>
          <w:kern w:val="2"/>
          <w:sz w:val="32"/>
          <w:szCs w:val="32"/>
          <w:lang w:val="en-US" w:eastAsia="zh-CN" w:bidi="ar-SA"/>
        </w:rPr>
        <w:t>三是明确</w:t>
      </w:r>
      <w:r>
        <w:rPr>
          <w:rFonts w:hint="eastAsia" w:ascii="方正楷体_GBK" w:hAnsi="方正楷体_GBK" w:eastAsia="方正楷体_GBK" w:cs="方正楷体_GBK"/>
          <w:b/>
          <w:bCs/>
          <w:color w:val="auto"/>
          <w:w w:val="98"/>
          <w:kern w:val="2"/>
          <w:sz w:val="32"/>
          <w:szCs w:val="32"/>
          <w:lang w:val="en-US" w:eastAsia="zh-CN" w:bidi="ar-SA"/>
        </w:rPr>
        <w:t>摩崖石刻本体、保护范围和建设控制地带内外的禁止行为</w:t>
      </w:r>
      <w:r>
        <w:rPr>
          <w:rFonts w:hint="default" w:ascii="方正楷体_GBK" w:hAnsi="方正楷体_GBK" w:eastAsia="方正楷体_GBK" w:cs="方正楷体_GBK"/>
          <w:b/>
          <w:bCs/>
          <w:color w:val="auto"/>
          <w:w w:val="98"/>
          <w:kern w:val="2"/>
          <w:sz w:val="32"/>
          <w:szCs w:val="32"/>
          <w:lang w:val="en-US" w:eastAsia="zh-CN" w:bidi="ar-SA"/>
        </w:rPr>
        <w:t>。</w:t>
      </w:r>
      <w:r>
        <w:rPr>
          <w:rFonts w:hint="eastAsia" w:ascii="仿宋_GB2312" w:hAnsi="仿宋_GB2312" w:eastAsia="仿宋_GB2312" w:cs="仿宋_GB2312"/>
          <w:color w:val="auto"/>
          <w:w w:val="98"/>
          <w:kern w:val="2"/>
          <w:sz w:val="32"/>
          <w:szCs w:val="32"/>
          <w:lang w:val="en-US" w:eastAsia="zh-CN" w:bidi="ar-SA"/>
        </w:rPr>
        <w:t>在调研中还发现部分石刻附近仍存在违章建筑、违规经营、违规进入等造成了石刻受损、字迹磨损以及对石刻造成潜在危害等行为和现象，如祁阳市在浯溪摩崖石刻上游建设的水电拦河坝，汛期泄洪冲击石刻严重。因此，在明确摩崖石刻本体、保护范围和建设控制地带内的禁止行为时，特别强调了在摩崖石刻建设控制地带外进行的建设工程如对石刻安全、石刻历史风貌危害或影响，应予以及时治理。同时明确了如对摩崖石刻本体造成损毁应给予相应的处罚。</w:t>
      </w:r>
    </w:p>
    <w:p w14:paraId="421230B7">
      <w:pPr>
        <w:ind w:firstLine="626" w:firstLineChars="200"/>
      </w:pPr>
      <w:r>
        <w:rPr>
          <w:rFonts w:hint="default" w:ascii="方正楷体_GBK" w:hAnsi="方正楷体_GBK" w:eastAsia="方正楷体_GBK" w:cs="方正楷体_GBK"/>
          <w:b/>
          <w:bCs/>
          <w:color w:val="auto"/>
          <w:w w:val="98"/>
          <w:kern w:val="2"/>
          <w:sz w:val="32"/>
          <w:szCs w:val="32"/>
          <w:lang w:val="en-US" w:eastAsia="zh-CN" w:bidi="ar-SA"/>
        </w:rPr>
        <w:t>四是明确</w:t>
      </w:r>
      <w:r>
        <w:rPr>
          <w:rFonts w:hint="eastAsia" w:ascii="方正楷体_GBK" w:hAnsi="方正楷体_GBK" w:eastAsia="方正楷体_GBK" w:cs="方正楷体_GBK"/>
          <w:b/>
          <w:bCs/>
          <w:color w:val="auto"/>
          <w:w w:val="98"/>
          <w:kern w:val="2"/>
          <w:sz w:val="32"/>
          <w:szCs w:val="32"/>
          <w:lang w:val="en-US" w:eastAsia="zh-CN" w:bidi="ar-SA"/>
        </w:rPr>
        <w:t>了对摩崖石刻的活化利用。</w:t>
      </w:r>
      <w:r>
        <w:rPr>
          <w:rFonts w:hint="eastAsia" w:ascii="仿宋_GB2312" w:hAnsi="仿宋_GB2312" w:eastAsia="仿宋_GB2312" w:cs="仿宋_GB2312"/>
          <w:color w:val="auto"/>
          <w:w w:val="98"/>
          <w:kern w:val="2"/>
          <w:sz w:val="32"/>
          <w:szCs w:val="32"/>
          <w:lang w:val="en-US" w:eastAsia="zh-CN" w:bidi="ar-SA"/>
        </w:rPr>
        <w:t>习近平总书记强调“要认真贯彻落实党中央关于坚持保护第一、加强管理、挖掘价值、有效利用、让文物活起来的工作要求，全面提升文物保护利用和文化遗产保护传承水平”“创新展览展示，推动文物活化利用”。因此，《规定》对提升摩崖石刻保护的科技水平及促进摩崖石刻文化与旅游产业融合发展等做出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0000000000000000000"/>
    <w:charset w:val="00"/>
    <w:family w:val="auto"/>
    <w:pitch w:val="default"/>
    <w:sig w:usb0="00000000" w:usb1="00000000" w:usb2="00000000"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k4MTMzNGNiNmU5OWIyZDkyZTk2ZDNkMzdjZjgifQ=="/>
  </w:docVars>
  <w:rsids>
    <w:rsidRoot w:val="00000000"/>
    <w:rsid w:val="1C1A3D64"/>
    <w:rsid w:val="27D82724"/>
    <w:rsid w:val="2E6613DF"/>
    <w:rsid w:val="379FC0A1"/>
    <w:rsid w:val="60B97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cs="永中宋体"/>
    </w:rPr>
  </w:style>
  <w:style w:type="paragraph" w:customStyle="1" w:styleId="5">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2246</Words>
  <Characters>2263</Characters>
  <Lines>0</Lines>
  <Paragraphs>0</Paragraphs>
  <TotalTime>3</TotalTime>
  <ScaleCrop>false</ScaleCrop>
  <LinksUpToDate>false</LinksUpToDate>
  <CharactersWithSpaces>2263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Administrator.2016-20170517BZ</dc:creator>
  <cp:lastModifiedBy>唐亚云</cp:lastModifiedBy>
  <dcterms:modified xsi:type="dcterms:W3CDTF">2025-04-10T08:07:18Z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AD04D0EA0EDF4A449E8D574782BEB08A_12</vt:lpwstr>
  </property>
  <property fmtid="{D5CDD505-2E9C-101B-9397-08002B2CF9AE}" pid="4" name="KSOTemplateDocerSaveRecord">
    <vt:lpwstr>eyJoZGlkIjoiNWJkMDk4MTMzNGNiNmU5OWIyZDkyZTk2ZDNkMzdjZjgifQ==</vt:lpwstr>
  </property>
</Properties>
</file>