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rFonts w:hint="eastAsia" w:ascii="方正小标宋简体" w:hAnsi="方正小标宋简体" w:eastAsia="方正小标宋简体" w:cs="方正小标宋简体"/>
          <w:bCs/>
          <w:i w:val="0"/>
          <w:caps w:val="0"/>
          <w:color w:val="auto"/>
          <w:spacing w:val="0"/>
          <w:kern w:val="0"/>
          <w:sz w:val="44"/>
          <w:szCs w:val="44"/>
          <w:u w:val="none"/>
          <w:shd w:val="clear" w:fill="FFFFFF"/>
          <w:lang w:val="en-US" w:eastAsia="zh-CN" w:bidi="ar"/>
        </w:rPr>
      </w:pPr>
      <w:r>
        <w:rPr>
          <w:rFonts w:hint="eastAsia" w:ascii="方正小标宋简体" w:hAnsi="方正小标宋简体" w:eastAsia="方正小标宋简体" w:cs="方正小标宋简体"/>
          <w:bCs/>
          <w:i w:val="0"/>
          <w:caps w:val="0"/>
          <w:color w:val="auto"/>
          <w:spacing w:val="0"/>
          <w:kern w:val="0"/>
          <w:sz w:val="44"/>
          <w:szCs w:val="44"/>
          <w:u w:val="none"/>
          <w:shd w:val="clear" w:fill="FFFFFF"/>
          <w:lang w:eastAsia="zh-CN" w:bidi="ar"/>
        </w:rPr>
        <w:t>永州</w:t>
      </w:r>
      <w:r>
        <w:rPr>
          <w:rFonts w:hint="eastAsia" w:ascii="方正小标宋简体" w:hAnsi="方正小标宋简体" w:eastAsia="方正小标宋简体" w:cs="方正小标宋简体"/>
          <w:bCs/>
          <w:i w:val="0"/>
          <w:caps w:val="0"/>
          <w:color w:val="auto"/>
          <w:spacing w:val="0"/>
          <w:kern w:val="0"/>
          <w:sz w:val="44"/>
          <w:szCs w:val="44"/>
          <w:u w:val="none"/>
          <w:shd w:val="clear" w:fill="FFFFFF"/>
          <w:lang w:val="en-US" w:eastAsia="zh-CN" w:bidi="ar"/>
        </w:rPr>
        <w:t>市</w:t>
      </w:r>
      <w:r>
        <w:rPr>
          <w:rFonts w:hint="eastAsia" w:ascii="方正小标宋简体" w:hAnsi="方正小标宋简体" w:eastAsia="方正小标宋简体" w:cs="方正小标宋简体"/>
          <w:bCs/>
          <w:i w:val="0"/>
          <w:caps w:val="0"/>
          <w:color w:val="auto"/>
          <w:spacing w:val="0"/>
          <w:kern w:val="0"/>
          <w:sz w:val="44"/>
          <w:szCs w:val="44"/>
          <w:u w:val="none"/>
          <w:shd w:val="clear" w:fill="FFFFFF"/>
          <w:lang w:val="en-US" w:eastAsia="zh-CN" w:bidi="ar"/>
        </w:rPr>
        <w:t>特困人员认定办法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rFonts w:hint="eastAsia" w:ascii="CESI楷体-GB2312" w:hAnsi="CESI楷体-GB2312" w:eastAsia="CESI楷体-GB2312" w:cs="CESI楷体-GB2312"/>
          <w:i w:val="0"/>
          <w:caps w:val="0"/>
          <w:color w:val="auto"/>
          <w:spacing w:val="0"/>
          <w:sz w:val="32"/>
          <w:szCs w:val="32"/>
          <w:u w:val="none"/>
        </w:rPr>
      </w:pPr>
      <w:r>
        <w:rPr>
          <w:rFonts w:hint="eastAsia" w:ascii="CESI楷体-GB2312" w:hAnsi="CESI楷体-GB2312" w:eastAsia="CESI楷体-GB2312" w:cs="CESI楷体-GB2312"/>
          <w:i w:val="0"/>
          <w:caps w:val="0"/>
          <w:color w:val="auto"/>
          <w:spacing w:val="0"/>
          <w:sz w:val="32"/>
          <w:szCs w:val="32"/>
          <w:u w:val="none"/>
        </w:rPr>
        <w:t>（征求意见稿）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Microsoft YaHei" w:cs="Times New Roman"/>
          <w:bCs/>
          <w:i w:val="0"/>
          <w:caps w:val="0"/>
          <w:color w:val="auto"/>
          <w:spacing w:val="0"/>
          <w:kern w:val="0"/>
          <w:sz w:val="32"/>
          <w:szCs w:val="32"/>
          <w:u w:val="none"/>
          <w:shd w:val="clear" w:fill="FFFFFF"/>
          <w:lang w:val="en-US" w:eastAsia="zh-CN" w:bidi="ar"/>
        </w:rPr>
      </w:pPr>
      <w:r>
        <w:rPr>
          <w:rFonts w:hint="default" w:ascii="Times New Roman" w:hAnsi="Times New Roman" w:eastAsia="Microsoft YaHei" w:cs="Times New Roman"/>
          <w:bCs/>
          <w:i w:val="0"/>
          <w:caps w:val="0"/>
          <w:color w:val="auto"/>
          <w:spacing w:val="0"/>
          <w:kern w:val="0"/>
          <w:sz w:val="32"/>
          <w:szCs w:val="32"/>
          <w:u w:val="non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color w:val="auto"/>
          <w:sz w:val="32"/>
          <w:szCs w:val="32"/>
          <w:u w:val="none"/>
        </w:rPr>
      </w:pPr>
      <w:r>
        <w:rPr>
          <w:rFonts w:ascii="黑体" w:hAnsi="宋体" w:eastAsia="黑体" w:cs="黑体"/>
          <w:bCs/>
          <w:i w:val="0"/>
          <w:caps w:val="0"/>
          <w:color w:val="auto"/>
          <w:spacing w:val="0"/>
          <w:kern w:val="0"/>
          <w:sz w:val="32"/>
          <w:szCs w:val="32"/>
          <w:u w:val="none"/>
          <w:shd w:val="clear" w:fill="FFFFFF"/>
          <w:lang w:val="en-US" w:eastAsia="zh-CN" w:bidi="ar"/>
        </w:rPr>
        <w:t>第一章</w:t>
      </w:r>
      <w:r>
        <w:rPr>
          <w:rFonts w:hint="default" w:ascii="Times New Roman" w:hAnsi="Times New Roman" w:eastAsia="Microsoft YaHei" w:cs="Times New Roman"/>
          <w:bCs/>
          <w:i w:val="0"/>
          <w:caps w:val="0"/>
          <w:color w:val="auto"/>
          <w:spacing w:val="0"/>
          <w:kern w:val="0"/>
          <w:sz w:val="32"/>
          <w:szCs w:val="32"/>
          <w:u w:val="none"/>
          <w:shd w:val="clear" w:fill="FFFFFF"/>
          <w:lang w:val="en-US" w:eastAsia="zh-CN" w:bidi="ar"/>
        </w:rPr>
        <w:t>  </w:t>
      </w:r>
      <w:r>
        <w:rPr>
          <w:rFonts w:hint="eastAsia" w:ascii="黑体" w:hAnsi="宋体" w:eastAsia="黑体" w:cs="黑体"/>
          <w:bCs/>
          <w:i w:val="0"/>
          <w:caps w:val="0"/>
          <w:color w:val="auto"/>
          <w:spacing w:val="0"/>
          <w:kern w:val="0"/>
          <w:sz w:val="32"/>
          <w:szCs w:val="32"/>
          <w:u w:val="none"/>
          <w:shd w:val="clear" w:fill="FFFFFF"/>
          <w:lang w:val="en-US" w:eastAsia="zh-CN" w:bidi="ar"/>
        </w:rPr>
        <w:t>总</w:t>
      </w:r>
      <w:r>
        <w:rPr>
          <w:rFonts w:hint="default" w:ascii="Times New Roman" w:hAnsi="Times New Roman" w:eastAsia="Microsoft YaHei" w:cs="Times New Roman"/>
          <w:bCs/>
          <w:i w:val="0"/>
          <w:caps w:val="0"/>
          <w:color w:val="auto"/>
          <w:spacing w:val="0"/>
          <w:kern w:val="0"/>
          <w:sz w:val="32"/>
          <w:szCs w:val="32"/>
          <w:u w:val="none"/>
          <w:shd w:val="clear" w:fill="FFFFFF"/>
          <w:lang w:val="en-US" w:eastAsia="zh-CN" w:bidi="ar"/>
        </w:rPr>
        <w:t>  </w:t>
      </w:r>
      <w:r>
        <w:rPr>
          <w:rFonts w:hint="eastAsia" w:ascii="黑体" w:hAnsi="宋体" w:eastAsia="黑体" w:cs="黑体"/>
          <w:bCs/>
          <w:i w:val="0"/>
          <w:caps w:val="0"/>
          <w:color w:val="auto"/>
          <w:spacing w:val="0"/>
          <w:kern w:val="0"/>
          <w:sz w:val="32"/>
          <w:szCs w:val="32"/>
          <w:u w:val="none"/>
          <w:shd w:val="clear" w:fill="FFFFFF"/>
          <w:lang w:val="en-US" w:eastAsia="zh-CN" w:bidi="ar"/>
        </w:rPr>
        <w:t>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snapToGrid w:val="0"/>
          <w:color w:val="auto"/>
          <w:kern w:val="0"/>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第一条   </w:t>
      </w:r>
      <w:r>
        <w:rPr>
          <w:rFonts w:hint="eastAsia" w:ascii="仿宋_GB2312" w:hAnsi="仿宋_GB2312" w:eastAsia="仿宋_GB2312" w:cs="仿宋_GB2312"/>
          <w:color w:val="auto"/>
          <w:sz w:val="32"/>
          <w:szCs w:val="32"/>
          <w:u w:val="none"/>
        </w:rPr>
        <w:t>根据《民政部</w:t>
      </w:r>
      <w:bookmarkStart w:id="0" w:name="_GoBack"/>
      <w:bookmarkEnd w:id="0"/>
      <w:r>
        <w:rPr>
          <w:rFonts w:hint="eastAsia" w:ascii="仿宋_GB2312" w:hAnsi="仿宋_GB2312" w:eastAsia="仿宋_GB2312" w:cs="仿宋_GB2312"/>
          <w:color w:val="auto"/>
          <w:sz w:val="32"/>
          <w:szCs w:val="32"/>
          <w:u w:val="none"/>
        </w:rPr>
        <w:t>关于印发〈特困人员认定办法〉的通知》</w:t>
      </w:r>
      <w:r>
        <w:rPr>
          <w:rFonts w:hint="eastAsia" w:ascii="仿宋_GB2312" w:hAnsi="仿宋_GB2312" w:eastAsia="仿宋_GB2312" w:cs="仿宋_GB2312"/>
          <w:snapToGrid w:val="0"/>
          <w:color w:val="auto"/>
          <w:kern w:val="0"/>
          <w:sz w:val="32"/>
          <w:szCs w:val="32"/>
          <w:u w:val="none"/>
        </w:rPr>
        <w:t>（民发〔2021〕43号）、</w:t>
      </w:r>
      <w:r>
        <w:rPr>
          <w:rFonts w:hint="eastAsia" w:ascii="仿宋_GB2312" w:hAnsi="仿宋_GB2312" w:eastAsia="仿宋_GB2312" w:cs="仿宋_GB2312"/>
          <w:color w:val="auto"/>
          <w:sz w:val="32"/>
          <w:szCs w:val="32"/>
          <w:u w:val="none"/>
        </w:rPr>
        <w:t>《中共湖南省委办公厅 湖南省人民政府办公厅印发〈关于改革完善社会救助制度的实施意见〉的通知》（</w:t>
      </w:r>
      <w:r>
        <w:rPr>
          <w:rFonts w:hint="eastAsia" w:ascii="仿宋_GB2312" w:hAnsi="仿宋_GB2312" w:eastAsia="仿宋_GB2312" w:cs="仿宋_GB2312"/>
          <w:snapToGrid w:val="0"/>
          <w:color w:val="auto"/>
          <w:kern w:val="0"/>
          <w:sz w:val="32"/>
          <w:szCs w:val="32"/>
          <w:u w:val="none"/>
        </w:rPr>
        <w:t>湘办发〔2020〕25号）和</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《湖南省民政厅关于印发〈湖南省特困人员认定办法〉的通知》（湘民发〔2021〕35号）等相关规定，结合我市实际，</w:t>
      </w:r>
      <w:r>
        <w:rPr>
          <w:rFonts w:hint="eastAsia" w:ascii="仿宋_GB2312" w:hAnsi="仿宋_GB2312" w:eastAsia="仿宋_GB2312" w:cs="仿宋_GB2312"/>
          <w:snapToGrid w:val="0"/>
          <w:color w:val="auto"/>
          <w:kern w:val="0"/>
          <w:sz w:val="32"/>
          <w:szCs w:val="32"/>
          <w:u w:val="none"/>
          <w:lang w:val="en-US" w:eastAsia="zh-CN"/>
        </w:rPr>
        <w:t>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第二条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特困人员认定工作应当遵循以下原则：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（一）属地管理，分级负责；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（二）严格规范，高效便民；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（三）应救尽救，应养尽养；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（四）公开、公平、公正。</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第三条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 </w:t>
      </w:r>
      <w:r>
        <w:rPr>
          <w:rFonts w:hint="eastAsia" w:ascii="仿宋_GB2312" w:hAnsi="仿宋_GB2312" w:eastAsia="仿宋_GB2312" w:cs="仿宋_GB2312"/>
          <w:color w:val="auto"/>
          <w:sz w:val="32"/>
          <w:szCs w:val="32"/>
          <w:u w:val="none"/>
        </w:rPr>
        <w:t>县级以上人民政府民政部门统筹做好本辖区内特困人员认定及救助供养工作。</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县级人民政府民政部门负责特困人员认定的审核确认工作，乡镇人民政府（街道办事处）负责特困人员认定的受理、初审工作。村（居）民委员会协助做好相关工作。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bCs w:val="0"/>
          <w:i w:val="0"/>
          <w:caps w:val="0"/>
          <w:color w:val="auto"/>
          <w:spacing w:val="0"/>
          <w:sz w:val="32"/>
          <w:szCs w:val="32"/>
          <w:u w:val="none"/>
        </w:rPr>
      </w:pPr>
      <w:r>
        <w:rPr>
          <w:rFonts w:hint="eastAsia" w:ascii="仿宋_GB2312" w:hAnsi="仿宋_GB2312" w:eastAsia="仿宋_GB2312" w:cs="仿宋_GB2312"/>
          <w:b w:val="0"/>
          <w:bCs w:val="0"/>
          <w:i w:val="0"/>
          <w:caps w:val="0"/>
          <w:color w:val="auto"/>
          <w:spacing w:val="0"/>
          <w:sz w:val="32"/>
          <w:szCs w:val="32"/>
          <w:u w:val="none"/>
        </w:rPr>
        <w:t>经县级人民政府同意</w:t>
      </w:r>
      <w:r>
        <w:rPr>
          <w:rFonts w:hint="eastAsia" w:ascii="仿宋_GB2312" w:hAnsi="仿宋_GB2312" w:eastAsia="仿宋_GB2312" w:cs="仿宋_GB2312"/>
          <w:b w:val="0"/>
          <w:bCs w:val="0"/>
          <w:i w:val="0"/>
          <w:caps w:val="0"/>
          <w:color w:val="auto"/>
          <w:spacing w:val="0"/>
          <w:sz w:val="32"/>
          <w:szCs w:val="32"/>
          <w:u w:val="none"/>
        </w:rPr>
        <w:t>，</w:t>
      </w:r>
      <w:r>
        <w:rPr>
          <w:rFonts w:hint="eastAsia" w:ascii="仿宋_GB2312" w:hAnsi="仿宋_GB2312" w:eastAsia="仿宋_GB2312" w:cs="仿宋_GB2312"/>
          <w:b w:val="0"/>
          <w:bCs w:val="0"/>
          <w:i w:val="0"/>
          <w:caps w:val="0"/>
          <w:color w:val="auto"/>
          <w:spacing w:val="0"/>
          <w:sz w:val="32"/>
          <w:szCs w:val="32"/>
          <w:u w:val="none"/>
        </w:rPr>
        <w:t>有条件的地方可依法依规按程序将特困人员认定权限委托下放至乡镇人民政府（街道办事处），</w:t>
      </w:r>
      <w:r>
        <w:rPr>
          <w:rFonts w:hint="eastAsia" w:ascii="仿宋_GB2312" w:hAnsi="仿宋_GB2312" w:eastAsia="仿宋_GB2312" w:cs="仿宋_GB2312"/>
          <w:b w:val="0"/>
          <w:bCs w:val="0"/>
          <w:i w:val="0"/>
          <w:caps w:val="0"/>
          <w:color w:val="auto"/>
          <w:spacing w:val="0"/>
          <w:sz w:val="32"/>
          <w:szCs w:val="32"/>
          <w:u w:val="none"/>
        </w:rPr>
        <w:t>并与乡镇人民政府（街道办事处）履行委托下放手续，</w:t>
      </w:r>
      <w:r>
        <w:rPr>
          <w:rFonts w:hint="eastAsia" w:ascii="仿宋_GB2312" w:hAnsi="仿宋_GB2312" w:eastAsia="仿宋_GB2312" w:cs="仿宋_GB2312"/>
          <w:b w:val="0"/>
          <w:bCs w:val="0"/>
          <w:i w:val="0"/>
          <w:caps w:val="0"/>
          <w:color w:val="auto"/>
          <w:spacing w:val="0"/>
          <w:sz w:val="32"/>
          <w:szCs w:val="32"/>
          <w:u w:val="none"/>
        </w:rPr>
        <w:t>县级人民政府民政部门加强监督指导。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color w:val="auto"/>
          <w:sz w:val="32"/>
          <w:szCs w:val="32"/>
          <w:u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color w:val="auto"/>
          <w:sz w:val="32"/>
          <w:szCs w:val="32"/>
          <w:u w:val="none"/>
        </w:rPr>
      </w:pPr>
      <w:r>
        <w:rPr>
          <w:rFonts w:hint="eastAsia" w:ascii="黑体" w:hAnsi="宋体" w:eastAsia="黑体" w:cs="黑体"/>
          <w:bCs/>
          <w:i w:val="0"/>
          <w:caps w:val="0"/>
          <w:color w:val="auto"/>
          <w:spacing w:val="0"/>
          <w:kern w:val="0"/>
          <w:sz w:val="32"/>
          <w:szCs w:val="32"/>
          <w:u w:val="none"/>
          <w:shd w:val="clear" w:fill="FFFFFF"/>
          <w:lang w:val="en-US" w:eastAsia="zh-CN" w:bidi="ar"/>
        </w:rPr>
        <w:t>第二章</w:t>
      </w:r>
      <w:r>
        <w:rPr>
          <w:rFonts w:hint="default" w:ascii="Times New Roman" w:hAnsi="Times New Roman" w:eastAsia="Microsoft YaHei" w:cs="Times New Roman"/>
          <w:bCs/>
          <w:i w:val="0"/>
          <w:caps w:val="0"/>
          <w:color w:val="auto"/>
          <w:spacing w:val="0"/>
          <w:kern w:val="0"/>
          <w:sz w:val="32"/>
          <w:szCs w:val="32"/>
          <w:u w:val="none"/>
          <w:shd w:val="clear" w:fill="FFFFFF"/>
          <w:lang w:val="en-US" w:eastAsia="zh-CN" w:bidi="ar"/>
        </w:rPr>
        <w:t>  </w:t>
      </w:r>
      <w:r>
        <w:rPr>
          <w:rFonts w:hint="eastAsia" w:ascii="黑体" w:hAnsi="宋体" w:eastAsia="黑体" w:cs="黑体"/>
          <w:bCs/>
          <w:i w:val="0"/>
          <w:caps w:val="0"/>
          <w:color w:val="auto"/>
          <w:spacing w:val="0"/>
          <w:kern w:val="0"/>
          <w:sz w:val="32"/>
          <w:szCs w:val="32"/>
          <w:u w:val="none"/>
          <w:shd w:val="clear" w:fill="FFFFFF"/>
          <w:lang w:val="en-US" w:eastAsia="zh-CN" w:bidi="ar"/>
        </w:rPr>
        <w:t>认定条件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第四条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 同时具备以下条件的老年人、残疾人和未成年人，应当依法纳入特困人员救助供养范围：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（一）无劳动能力；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（二）无生活来源；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（三）无法定赡养、抚养、扶养义务人或者其法定义务人无履行义务能力。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第五条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符合下列情形之一的，应当认定为本办法所称的无劳动能力：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（一）60周岁以上的老年人；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（二）未满16周岁的未成年人；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（三）残疾等级为一、二、三级的智力、精神残疾人，残疾等级为一、二级的肢体残疾人，残疾等级为一级的视力残疾人。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（四）患有当地有关部门认定的重特大疾病，完全丧失生活自理能力一年以上，且持有中华人民共和国残疾人证的重病患者。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第六条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申请人收入低于当地最低生活保障标准，且财产符合当地特困人员财产状况规定的，应当认定为本办法所称的无生活来源。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第七条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前款所称收入包括工资性收入、经营净收入、财产净收入、转移净收入等各类收入。城乡居民基本养老保险基础养老金、基本医疗保险等社会保险和优待抚恤金、高龄津贴、计划生育特别扶助金不计入在内。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第八条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 本办法第六条所称财产是指拥有的全部动产和不动产。动产主要包括银行存款、证券、基金、商业保险、债权、互联网金融资产以及车辆等。不动产主要包括房屋、林木等定着物。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有下列情形之一的，不符合本办法第六条所称特困人员财产状况规定：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（一）</w:t>
      </w:r>
      <w:r>
        <w:rPr>
          <w:rFonts w:hint="eastAsia" w:ascii="仿宋_GB2312" w:hAnsi="仿宋_GB2312" w:eastAsia="仿宋_GB2312" w:cs="仿宋_GB2312"/>
          <w:color w:val="auto"/>
          <w:sz w:val="32"/>
          <w:szCs w:val="32"/>
          <w:highlight w:val="none"/>
          <w:u w:val="none"/>
        </w:rPr>
        <w:t>现金、银行存款、股票、基金、分红保险等</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金融资产（市值）超过上年度当地居民人均消费支出1.2倍的；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（二）拥有两套及以上房产的（</w:t>
      </w:r>
      <w:r>
        <w:rPr>
          <w:rFonts w:hint="eastAsia" w:ascii="仿宋_GB2312" w:hAnsi="仿宋_GB2312" w:eastAsia="仿宋_GB2312" w:cs="仿宋_GB2312"/>
          <w:color w:val="auto"/>
          <w:sz w:val="32"/>
          <w:szCs w:val="32"/>
          <w:highlight w:val="none"/>
          <w:u w:val="none"/>
        </w:rPr>
        <w:t>危房、刚需自用房和家庭人均住房建筑面积低于当地统计部门公布的上年度人均住房建筑面积的除外</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）；拥有非住宅类房屋，且非兼做唯一居住场所的；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default" w:ascii="仿宋_GB2312" w:hAnsi="仿宋_GB2312" w:eastAsia="仿宋_GB2312" w:cs="仿宋_GB2312"/>
          <w:color w:val="auto"/>
          <w:sz w:val="32"/>
          <w:szCs w:val="32"/>
          <w:highlight w:val="none"/>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（三）申请特困人员救助供养前</w:t>
      </w:r>
      <w:r>
        <w:rPr>
          <w:rFonts w:hint="eastAsia" w:ascii="仿宋_GB2312" w:hAnsi="仿宋_GB2312" w:eastAsia="仿宋_GB2312" w:cs="仿宋_GB2312"/>
          <w:color w:val="auto"/>
          <w:sz w:val="32"/>
          <w:szCs w:val="32"/>
          <w:highlight w:val="none"/>
          <w:u w:val="none"/>
        </w:rPr>
        <w:t>12个月内或享受</w:t>
      </w:r>
      <w:r>
        <w:rPr>
          <w:rFonts w:hint="default" w:ascii="仿宋_GB2312" w:hAnsi="仿宋_GB2312" w:eastAsia="仿宋_GB2312" w:cs="仿宋_GB2312"/>
          <w:color w:val="auto"/>
          <w:sz w:val="32"/>
          <w:szCs w:val="32"/>
          <w:highlight w:val="none"/>
          <w:u w:val="none"/>
        </w:rPr>
        <w:t>特困人员救助供养</w:t>
      </w:r>
      <w:r>
        <w:rPr>
          <w:rFonts w:hint="eastAsia" w:ascii="仿宋_GB2312" w:hAnsi="仿宋_GB2312" w:eastAsia="仿宋_GB2312" w:cs="仿宋_GB2312"/>
          <w:color w:val="auto"/>
          <w:sz w:val="32"/>
          <w:szCs w:val="32"/>
          <w:highlight w:val="none"/>
          <w:u w:val="none"/>
        </w:rPr>
        <w:t>期间</w:t>
      </w:r>
      <w:r>
        <w:rPr>
          <w:rFonts w:hint="eastAsia" w:ascii="仿宋_GB2312" w:hAnsi="仿宋_GB2312" w:eastAsia="仿宋_GB2312" w:cs="仿宋_GB2312"/>
          <w:color w:val="auto"/>
          <w:sz w:val="32"/>
          <w:szCs w:val="32"/>
          <w:highlight w:val="none"/>
          <w:u w:val="none"/>
        </w:rPr>
        <w:t>购置房产、宅基地、新改扩建房屋或高标准装修住房且无突发困难的（按政策规定标准实施的危房改造、拆迁安置、异地搬迁或不可抗力损坏房屋修建的除外）</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（四）拥有机动车辆</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w:t>
      </w:r>
      <w:r>
        <w:rPr>
          <w:rFonts w:hint="eastAsia" w:ascii="仿宋_GB2312" w:hAnsi="仿宋_GB2312" w:eastAsia="仿宋_GB2312" w:cs="仿宋_GB2312"/>
          <w:color w:val="auto"/>
          <w:sz w:val="32"/>
          <w:szCs w:val="32"/>
          <w:highlight w:val="none"/>
          <w:u w:val="none"/>
        </w:rPr>
        <w:t>肢体残疾人代步车、摩托车、作为唯一谋生工具的小型经营性车辆除外</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w:t>
      </w:r>
      <w:r>
        <w:rPr>
          <w:rFonts w:hint="eastAsia" w:ascii="仿宋_GB2312" w:hAnsi="仿宋_GB2312" w:eastAsia="仿宋_GB2312" w:cs="仿宋_GB2312"/>
          <w:color w:val="auto"/>
          <w:sz w:val="32"/>
          <w:szCs w:val="32"/>
          <w:highlight w:val="none"/>
          <w:u w:val="none"/>
        </w:rPr>
        <w:t>营运船舶、工程机械和大型农机具的</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w:t>
      </w:r>
      <w:r>
        <w:rPr>
          <w:rFonts w:hint="default" w:ascii="仿宋_GB2312" w:hAnsi="仿宋_GB2312" w:eastAsia="仿宋_GB2312" w:cs="仿宋_GB2312"/>
          <w:bCs/>
          <w:i w:val="0"/>
          <w:caps w:val="0"/>
          <w:color w:val="auto"/>
          <w:spacing w:val="0"/>
          <w:kern w:val="0"/>
          <w:sz w:val="32"/>
          <w:szCs w:val="32"/>
          <w:u w:val="none"/>
          <w:shd w:val="clear" w:fill="FFFFFF"/>
          <w:lang w:eastAsia="zh-CN" w:bidi="ar"/>
        </w:rPr>
        <w:t>五</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）有企业登记注册且在经营的；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w:t>
      </w:r>
      <w:r>
        <w:rPr>
          <w:rFonts w:hint="default" w:ascii="仿宋_GB2312" w:hAnsi="仿宋_GB2312" w:eastAsia="仿宋_GB2312" w:cs="仿宋_GB2312"/>
          <w:bCs/>
          <w:i w:val="0"/>
          <w:caps w:val="0"/>
          <w:color w:val="auto"/>
          <w:spacing w:val="0"/>
          <w:kern w:val="0"/>
          <w:sz w:val="32"/>
          <w:szCs w:val="32"/>
          <w:u w:val="none"/>
          <w:shd w:val="clear" w:fill="FFFFFF"/>
          <w:lang w:eastAsia="zh-CN" w:bidi="ar"/>
        </w:rPr>
        <w:t>六</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）雇佣他人从事经营性活动的；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w:t>
      </w:r>
      <w:r>
        <w:rPr>
          <w:rFonts w:hint="default" w:ascii="仿宋_GB2312" w:hAnsi="仿宋_GB2312" w:eastAsia="仿宋_GB2312" w:cs="仿宋_GB2312"/>
          <w:bCs/>
          <w:i w:val="0"/>
          <w:caps w:val="0"/>
          <w:color w:val="auto"/>
          <w:spacing w:val="0"/>
          <w:kern w:val="0"/>
          <w:sz w:val="32"/>
          <w:szCs w:val="32"/>
          <w:u w:val="none"/>
          <w:shd w:val="clear" w:fill="FFFFFF"/>
          <w:lang w:eastAsia="zh-CN" w:bidi="ar"/>
        </w:rPr>
        <w:t>七</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）通过离婚、赠予、放弃继承等方式，放弃和转移财产、增加债</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务，致使财产消极减少，足以影响对其特困人员身份认定的；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w:t>
      </w:r>
      <w:r>
        <w:rPr>
          <w:rFonts w:hint="default" w:ascii="仿宋_GB2312" w:hAnsi="仿宋_GB2312" w:eastAsia="仿宋_GB2312" w:cs="仿宋_GB2312"/>
          <w:bCs/>
          <w:i w:val="0"/>
          <w:caps w:val="0"/>
          <w:color w:val="auto"/>
          <w:spacing w:val="0"/>
          <w:kern w:val="0"/>
          <w:sz w:val="32"/>
          <w:szCs w:val="32"/>
          <w:u w:val="none"/>
          <w:shd w:val="clear" w:fill="FFFFFF"/>
          <w:lang w:eastAsia="zh-CN" w:bidi="ar"/>
        </w:rPr>
        <w:t>八</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）县级</w:t>
      </w:r>
      <w:r>
        <w:rPr>
          <w:rFonts w:hint="eastAsia" w:ascii="仿宋_GB2312" w:hAnsi="仿宋_GB2312" w:eastAsia="仿宋_GB2312" w:cs="仿宋_GB2312"/>
          <w:bCs/>
          <w:i w:val="0"/>
          <w:caps w:val="0"/>
          <w:color w:val="auto"/>
          <w:spacing w:val="0"/>
          <w:kern w:val="0"/>
          <w:sz w:val="32"/>
          <w:szCs w:val="32"/>
          <w:u w:val="none"/>
          <w:shd w:val="clear" w:fill="FFFFFF"/>
          <w:lang w:eastAsia="zh-CN" w:bidi="ar"/>
        </w:rPr>
        <w:t>及以上人民政府</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民政部门规定的其他情形。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有出借身份证进行企业登记注册、购买房屋、购买车辆等情形的，应当按规定办理变更登记或过户等相关手续。未按要求办理变更登记或过户的，按本人所拥有财产认定。</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caps w:val="0"/>
          <w:color w:val="auto"/>
          <w:spacing w:val="0"/>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第九条</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  本办法规定以外的收入和财产的核算评估参照《湖南省民政厅  湖南省财政厅  湖南省人力资源和社会保障厅  湖南省农业农村厅  湖南省统计局关于印发〈湖南省社会救助家庭经济状况核算评估办法〉的通知》（湘民发〔2019〕31号）</w:t>
      </w:r>
      <w:r>
        <w:rPr>
          <w:rFonts w:hint="eastAsia" w:ascii="仿宋_GB2312" w:hAnsi="仿宋_GB2312" w:eastAsia="仿宋_GB2312" w:cs="仿宋_GB2312"/>
          <w:bCs/>
          <w:i w:val="0"/>
          <w:caps w:val="0"/>
          <w:color w:val="auto"/>
          <w:spacing w:val="0"/>
          <w:kern w:val="0"/>
          <w:sz w:val="32"/>
          <w:szCs w:val="32"/>
          <w:u w:val="none"/>
          <w:shd w:val="clear" w:fill="FFFFFF"/>
          <w:lang w:eastAsia="zh-CN" w:bidi="ar"/>
        </w:rPr>
        <w:t>、</w:t>
      </w:r>
      <w:r>
        <w:rPr>
          <w:rFonts w:hint="eastAsia" w:ascii="仿宋_GB2312" w:hAnsi="仿宋_GB2312" w:eastAsia="仿宋_GB2312" w:cs="仿宋_GB2312"/>
          <w:i w:val="0"/>
          <w:caps w:val="0"/>
          <w:color w:val="auto"/>
          <w:spacing w:val="0"/>
          <w:sz w:val="32"/>
          <w:szCs w:val="32"/>
          <w:u w:val="none"/>
        </w:rPr>
        <w:t>《永州市民政局</w:t>
      </w:r>
      <w:r>
        <w:rPr>
          <w:rFonts w:hint="default" w:ascii="仿宋_GB2312" w:hAnsi="仿宋_GB2312" w:eastAsia="仿宋_GB2312" w:cs="仿宋_GB2312"/>
          <w:i w:val="0"/>
          <w:caps w:val="0"/>
          <w:color w:val="auto"/>
          <w:spacing w:val="0"/>
          <w:sz w:val="32"/>
          <w:szCs w:val="32"/>
          <w:u w:val="none"/>
        </w:rPr>
        <w:t xml:space="preserve"> </w:t>
      </w:r>
      <w:r>
        <w:rPr>
          <w:rFonts w:hint="eastAsia" w:ascii="仿宋_GB2312" w:hAnsi="仿宋_GB2312" w:eastAsia="仿宋_GB2312" w:cs="仿宋_GB2312"/>
          <w:i w:val="0"/>
          <w:caps w:val="0"/>
          <w:color w:val="auto"/>
          <w:spacing w:val="0"/>
          <w:sz w:val="32"/>
          <w:szCs w:val="32"/>
          <w:u w:val="none"/>
        </w:rPr>
        <w:t>永州市财政局</w:t>
      </w:r>
      <w:r>
        <w:rPr>
          <w:rFonts w:hint="default" w:ascii="仿宋_GB2312" w:hAnsi="仿宋_GB2312" w:eastAsia="仿宋_GB2312" w:cs="仿宋_GB2312"/>
          <w:i w:val="0"/>
          <w:caps w:val="0"/>
          <w:color w:val="auto"/>
          <w:spacing w:val="0"/>
          <w:sz w:val="32"/>
          <w:szCs w:val="32"/>
          <w:u w:val="none"/>
        </w:rPr>
        <w:t xml:space="preserve"> </w:t>
      </w:r>
      <w:r>
        <w:rPr>
          <w:rFonts w:hint="eastAsia" w:ascii="仿宋_GB2312" w:hAnsi="仿宋_GB2312" w:eastAsia="仿宋_GB2312" w:cs="仿宋_GB2312"/>
          <w:i w:val="0"/>
          <w:caps w:val="0"/>
          <w:color w:val="auto"/>
          <w:spacing w:val="0"/>
          <w:sz w:val="32"/>
          <w:szCs w:val="32"/>
          <w:u w:val="none"/>
        </w:rPr>
        <w:t>永州市人力资源和社会保障局</w:t>
      </w:r>
      <w:r>
        <w:rPr>
          <w:rFonts w:hint="default" w:ascii="仿宋_GB2312" w:hAnsi="仿宋_GB2312" w:eastAsia="仿宋_GB2312" w:cs="仿宋_GB2312"/>
          <w:i w:val="0"/>
          <w:caps w:val="0"/>
          <w:color w:val="auto"/>
          <w:spacing w:val="0"/>
          <w:sz w:val="32"/>
          <w:szCs w:val="32"/>
          <w:u w:val="none"/>
        </w:rPr>
        <w:t xml:space="preserve"> </w:t>
      </w:r>
      <w:r>
        <w:rPr>
          <w:rFonts w:hint="eastAsia" w:ascii="仿宋_GB2312" w:hAnsi="仿宋_GB2312" w:eastAsia="仿宋_GB2312" w:cs="仿宋_GB2312"/>
          <w:i w:val="0"/>
          <w:caps w:val="0"/>
          <w:color w:val="auto"/>
          <w:spacing w:val="0"/>
          <w:sz w:val="32"/>
          <w:szCs w:val="32"/>
          <w:u w:val="none"/>
        </w:rPr>
        <w:t>永州市农业农村局</w:t>
      </w:r>
      <w:r>
        <w:rPr>
          <w:rFonts w:hint="default" w:ascii="仿宋_GB2312" w:hAnsi="仿宋_GB2312" w:eastAsia="仿宋_GB2312" w:cs="仿宋_GB2312"/>
          <w:i w:val="0"/>
          <w:caps w:val="0"/>
          <w:color w:val="auto"/>
          <w:spacing w:val="0"/>
          <w:sz w:val="32"/>
          <w:szCs w:val="32"/>
          <w:u w:val="none"/>
        </w:rPr>
        <w:t xml:space="preserve"> </w:t>
      </w:r>
      <w:r>
        <w:rPr>
          <w:rFonts w:hint="eastAsia" w:ascii="仿宋_GB2312" w:hAnsi="仿宋_GB2312" w:eastAsia="仿宋_GB2312" w:cs="仿宋_GB2312"/>
          <w:i w:val="0"/>
          <w:caps w:val="0"/>
          <w:color w:val="auto"/>
          <w:spacing w:val="0"/>
          <w:sz w:val="32"/>
          <w:szCs w:val="32"/>
          <w:u w:val="none"/>
        </w:rPr>
        <w:t>永州市统计局关于印发&lt;永州市社会救助家庭经济状况核算评估办法&gt;的通知》（永民发〔2021〕14号）及县级人民政府民政部门相关规定执行。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第十条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 法定义务人符合下列情形之一的，应当认定为本办法所称的无履行义务能力：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（一）特困人员；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（二）60周岁以上的最低生活保障对象；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（三）70周岁以上的老年人，本人收入低于当地上年度人均可支配收入，且其财产符合当地最低生活保障边缘家庭财产状况规定的；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（四）重度残疾人和残疾等级为三级的智力、精神残疾人，本人收入低于当地上年度人均可支配收入，且其财产符合当地最低生活保障边缘家庭财产状况规定的；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（五）无民事行为能力、被宣告失踪或者在监狱服刑的人员，且其财产符合当地最低生活保障边缘家庭财产状况规定的。</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方正仿宋_GBK" w:cs="Times New Roman"/>
          <w:color w:val="auto"/>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第十一条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 </w:t>
      </w:r>
      <w:r>
        <w:rPr>
          <w:rFonts w:hint="eastAsia" w:ascii="Times New Roman" w:hAnsi="Times New Roman" w:eastAsia="方正仿宋_GBK" w:cs="Times New Roman"/>
          <w:color w:val="auto"/>
          <w:sz w:val="32"/>
          <w:szCs w:val="32"/>
          <w:u w:val="none"/>
        </w:rPr>
        <w:t>纳入特困人员救助供养范围的，不再适用最低生活保障政策；纳入特困人员救助供养范围的残疾人，不再享受困难残疾人生活补贴和重度残疾人护理补贴。</w:t>
      </w:r>
      <w:r>
        <w:rPr>
          <w:rFonts w:ascii="Times New Roman" w:hAnsi="Times New Roman" w:eastAsia="方正仿宋_GBK" w:cs="Times New Roman"/>
          <w:color w:val="auto"/>
          <w:sz w:val="32"/>
          <w:szCs w:val="32"/>
          <w:u w:val="none"/>
        </w:rPr>
        <w:t>同时符合特困人员救助供养条件和</w:t>
      </w:r>
      <w:r>
        <w:rPr>
          <w:rFonts w:hint="eastAsia" w:ascii="Times New Roman" w:hAnsi="Times New Roman" w:eastAsia="方正仿宋_GBK" w:cs="Times New Roman"/>
          <w:color w:val="auto"/>
          <w:sz w:val="32"/>
          <w:szCs w:val="32"/>
          <w:u w:val="none"/>
        </w:rPr>
        <w:t>孤儿、事实无人抚养儿童</w:t>
      </w:r>
      <w:r>
        <w:rPr>
          <w:rFonts w:ascii="Times New Roman" w:hAnsi="Times New Roman" w:eastAsia="方正仿宋_GBK" w:cs="Times New Roman"/>
          <w:color w:val="auto"/>
          <w:sz w:val="32"/>
          <w:szCs w:val="32"/>
          <w:u w:val="none"/>
        </w:rPr>
        <w:t>认定条件的未成年人，选择申请纳入</w:t>
      </w:r>
      <w:r>
        <w:rPr>
          <w:rFonts w:hint="eastAsia" w:ascii="Times New Roman" w:hAnsi="Times New Roman" w:eastAsia="方正仿宋_GBK" w:cs="Times New Roman"/>
          <w:color w:val="auto"/>
          <w:sz w:val="32"/>
          <w:szCs w:val="32"/>
          <w:u w:val="none"/>
        </w:rPr>
        <w:t>孤儿、事实无人抚养儿童</w:t>
      </w:r>
      <w:r>
        <w:rPr>
          <w:rFonts w:ascii="Times New Roman" w:hAnsi="Times New Roman" w:eastAsia="方正仿宋_GBK" w:cs="Times New Roman"/>
          <w:color w:val="auto"/>
          <w:sz w:val="32"/>
          <w:szCs w:val="32"/>
          <w:u w:val="none"/>
        </w:rPr>
        <w:t>基本生活保障范围的，不再认定为特困人员。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rFonts w:hint="eastAsia" w:ascii="黑体" w:hAnsi="黑体" w:eastAsia="黑体" w:cs="黑体"/>
          <w:color w:val="auto"/>
          <w:sz w:val="32"/>
          <w:szCs w:val="32"/>
          <w:u w:val="none"/>
        </w:rPr>
      </w:pPr>
      <w:r>
        <w:rPr>
          <w:rFonts w:hint="eastAsia" w:ascii="黑体" w:hAnsi="黑体" w:eastAsia="黑体" w:cs="黑体"/>
          <w:bCs/>
          <w:i w:val="0"/>
          <w:caps w:val="0"/>
          <w:color w:val="auto"/>
          <w:spacing w:val="0"/>
          <w:kern w:val="0"/>
          <w:sz w:val="32"/>
          <w:szCs w:val="32"/>
          <w:u w:val="none"/>
          <w:shd w:val="clear" w:fill="FFFFFF"/>
          <w:lang w:val="en-US" w:eastAsia="zh-CN" w:bidi="ar"/>
        </w:rPr>
        <w:t>第三章  申请及受理</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第十二条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申请特困人员救助供养，应当由本人向户籍所在地乡镇人民政府（街道办事处）提出书面申请；本人申请有困难的，可以委托村（居）民委员会或者他人代为提出申请</w:t>
      </w:r>
      <w:r>
        <w:rPr>
          <w:rFonts w:hint="default" w:ascii="仿宋_GB2312" w:hAnsi="仿宋_GB2312" w:eastAsia="仿宋_GB2312" w:cs="仿宋_GB2312"/>
          <w:bCs/>
          <w:i w:val="0"/>
          <w:caps w:val="0"/>
          <w:color w:val="auto"/>
          <w:spacing w:val="0"/>
          <w:kern w:val="0"/>
          <w:sz w:val="32"/>
          <w:szCs w:val="32"/>
          <w:u w:val="none"/>
          <w:shd w:val="clear" w:fill="FFFFFF"/>
          <w:lang w:eastAsia="zh-CN" w:bidi="ar"/>
        </w:rPr>
        <w:t>，</w:t>
      </w:r>
      <w:r>
        <w:rPr>
          <w:rFonts w:hint="eastAsia" w:ascii="Times New Roman" w:hAnsi="Times New Roman" w:eastAsia="方正仿宋_GBK" w:cs="Times New Roman"/>
          <w:b w:val="0"/>
          <w:bCs w:val="0"/>
          <w:color w:val="auto"/>
          <w:sz w:val="32"/>
          <w:szCs w:val="32"/>
          <w:u w:val="none"/>
        </w:rPr>
        <w:t>委托代理人代为申请的，应当履行相应的委托手续</w:t>
      </w:r>
      <w:r>
        <w:rPr>
          <w:rFonts w:hint="eastAsia" w:ascii="仿宋_GB2312" w:hAnsi="仿宋_GB2312" w:eastAsia="仿宋_GB2312" w:cs="仿宋_GB2312"/>
          <w:b w:val="0"/>
          <w:bCs w:val="0"/>
          <w:i w:val="0"/>
          <w:caps w:val="0"/>
          <w:color w:val="auto"/>
          <w:spacing w:val="0"/>
          <w:kern w:val="0"/>
          <w:sz w:val="32"/>
          <w:szCs w:val="32"/>
          <w:u w:val="none"/>
          <w:shd w:val="clear" w:fill="FFFFFF"/>
          <w:lang w:val="en-US" w:eastAsia="zh-CN" w:bidi="ar"/>
        </w:rPr>
        <w:t>；</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实施网上申请受理的地方，可按要求通过互联网提出申请。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申请材料主要包括本人有效身份证明，劳动能力、生活来源、财产状况以及赡养、抚养、扶养情况的书面声明，所提供信息真实、完整的承诺书。残疾人应当提供中华人民共和国残疾人证，重特大疾病患者应当提供县级以上（含县级）医院出具的疾病诊断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申请人及其法定义务人应当履行授权核查家庭经济状况的相关手续。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第十三条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乡镇人民政府（街道办事处）、村（居）民委员会应当及时了解掌握</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本行政区域内</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居民的生活情况，发现可能符合特困人员救助供养条件的，应当告知其救助供养政策，对因无民事行为能力或者限制民事行为能力等原因无法提出申请的，应当主动帮助其申请。</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pPr>
      <w:r>
        <w:rPr>
          <w:rFonts w:hint="eastAsia" w:ascii="CESI楷体-GB2312" w:hAnsi="CESI楷体-GB2312" w:eastAsia="CESI楷体-GB2312" w:cs="CESI楷体-GB2312"/>
          <w:b/>
          <w:bCs/>
          <w:i w:val="0"/>
          <w:caps w:val="0"/>
          <w:color w:val="auto"/>
          <w:spacing w:val="0"/>
          <w:kern w:val="0"/>
          <w:sz w:val="32"/>
          <w:szCs w:val="32"/>
          <w:u w:val="none"/>
          <w:shd w:val="clear" w:fill="FFFFFF"/>
          <w:lang w:val="en-US" w:eastAsia="zh-CN" w:bidi="ar"/>
        </w:rPr>
        <w:t>第十四条</w:t>
      </w:r>
      <w:r>
        <w:rPr>
          <w:rFonts w:hint="eastAsia" w:ascii="CESI楷体-GB2312" w:hAnsi="CESI楷体-GB2312" w:eastAsia="CESI楷体-GB2312" w:cs="CESI楷体-GB2312"/>
          <w:bCs/>
          <w:i w:val="0"/>
          <w:caps w:val="0"/>
          <w:color w:val="auto"/>
          <w:spacing w:val="0"/>
          <w:kern w:val="0"/>
          <w:sz w:val="32"/>
          <w:szCs w:val="32"/>
          <w:u w:val="none"/>
          <w:shd w:val="clear" w:fill="FFFFFF"/>
          <w:lang w:val="en-US" w:eastAsia="zh-CN" w:bidi="ar"/>
        </w:rPr>
        <w:t>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乡镇人民政府（街道办事处）应当对申请人或者其代理人提交的材料进行审查，材料齐备的，予以受理</w:t>
      </w:r>
      <w:r>
        <w:rPr>
          <w:rFonts w:hint="default" w:ascii="仿宋_GB2312" w:hAnsi="仿宋_GB2312" w:eastAsia="仿宋_GB2312" w:cs="仿宋_GB2312"/>
          <w:bCs/>
          <w:i w:val="0"/>
          <w:caps w:val="0"/>
          <w:color w:val="auto"/>
          <w:spacing w:val="0"/>
          <w:kern w:val="0"/>
          <w:sz w:val="32"/>
          <w:szCs w:val="32"/>
          <w:u w:val="none"/>
          <w:shd w:val="clear" w:fill="FFFFFF"/>
          <w:lang w:eastAsia="zh-CN" w:bidi="ar"/>
        </w:rPr>
        <w:t>，</w:t>
      </w:r>
      <w:r>
        <w:rPr>
          <w:rFonts w:hint="eastAsia" w:ascii="Times New Roman" w:hAnsi="Times New Roman" w:eastAsia="方正仿宋_GBK" w:cs="Times New Roman"/>
          <w:b w:val="0"/>
          <w:bCs w:val="0"/>
          <w:color w:val="auto"/>
          <w:sz w:val="32"/>
          <w:szCs w:val="32"/>
          <w:u w:val="none"/>
        </w:rPr>
        <w:t>并且向申请人出具受理通知书</w:t>
      </w:r>
      <w:r>
        <w:rPr>
          <w:rFonts w:hint="eastAsia" w:ascii="仿宋_GB2312" w:hAnsi="仿宋_GB2312" w:eastAsia="仿宋_GB2312" w:cs="仿宋_GB2312"/>
          <w:b w:val="0"/>
          <w:bCs w:val="0"/>
          <w:i w:val="0"/>
          <w:caps w:val="0"/>
          <w:color w:val="auto"/>
          <w:spacing w:val="0"/>
          <w:kern w:val="0"/>
          <w:sz w:val="32"/>
          <w:szCs w:val="32"/>
          <w:u w:val="none"/>
          <w:shd w:val="clear" w:fill="FFFFFF"/>
          <w:lang w:val="en-US" w:eastAsia="zh-CN" w:bidi="ar"/>
        </w:rPr>
        <w:t>；</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材料不齐备的，应当一次性告知申请人或者其代理人补齐所有规定材料</w:t>
      </w:r>
      <w:r>
        <w:rPr>
          <w:rFonts w:hint="default" w:ascii="仿宋_GB2312" w:hAnsi="仿宋_GB2312" w:eastAsia="仿宋_GB2312" w:cs="仿宋_GB2312"/>
          <w:bCs/>
          <w:i w:val="0"/>
          <w:caps w:val="0"/>
          <w:color w:val="auto"/>
          <w:spacing w:val="0"/>
          <w:kern w:val="0"/>
          <w:sz w:val="32"/>
          <w:szCs w:val="32"/>
          <w:u w:val="none"/>
          <w:shd w:val="clear" w:fill="FFFFFF"/>
          <w:lang w:eastAsia="zh-CN" w:bidi="ar"/>
        </w:rPr>
        <w:t>；</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可以通过政务服务平台查询</w:t>
      </w:r>
      <w:r>
        <w:rPr>
          <w:rFonts w:hint="default" w:ascii="仿宋_GB2312" w:hAnsi="仿宋_GB2312" w:eastAsia="仿宋_GB2312" w:cs="仿宋_GB2312"/>
          <w:bCs/>
          <w:i w:val="0"/>
          <w:caps w:val="0"/>
          <w:color w:val="auto"/>
          <w:spacing w:val="0"/>
          <w:kern w:val="0"/>
          <w:sz w:val="32"/>
          <w:szCs w:val="32"/>
          <w:u w:val="none"/>
          <w:shd w:val="clear" w:fill="FFFFFF"/>
          <w:lang w:eastAsia="zh-CN" w:bidi="ar"/>
        </w:rPr>
        <w:t>获取</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的相关材料，不得要求重复提交。</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u w:val="none"/>
        </w:rPr>
      </w:pPr>
      <w:r>
        <w:rPr>
          <w:rFonts w:hint="eastAsia" w:ascii="Times New Roman" w:hAnsi="Times New Roman" w:eastAsia="方正仿宋_GBK" w:cs="Times New Roman"/>
          <w:b w:val="0"/>
          <w:bCs w:val="0"/>
          <w:color w:val="auto"/>
          <w:sz w:val="32"/>
          <w:szCs w:val="32"/>
          <w:u w:val="none"/>
        </w:rPr>
        <w:t>对于</w:t>
      </w:r>
      <w:r>
        <w:rPr>
          <w:rFonts w:hint="default" w:ascii="Times New Roman" w:hAnsi="Times New Roman" w:eastAsia="方正仿宋_GBK" w:cs="Times New Roman"/>
          <w:b w:val="0"/>
          <w:bCs w:val="0"/>
          <w:color w:val="auto"/>
          <w:sz w:val="32"/>
          <w:szCs w:val="32"/>
          <w:u w:val="none"/>
        </w:rPr>
        <w:t>已经受理的特困人员认定申请，特困人员与</w:t>
      </w:r>
      <w:r>
        <w:rPr>
          <w:rFonts w:hint="eastAsia" w:ascii="Times New Roman" w:hAnsi="Times New Roman" w:eastAsia="方正仿宋_GBK" w:cs="Times New Roman"/>
          <w:b w:val="0"/>
          <w:bCs w:val="0"/>
          <w:color w:val="auto"/>
          <w:sz w:val="32"/>
          <w:szCs w:val="32"/>
          <w:u w:val="none"/>
        </w:rPr>
        <w:t>特困人员救助供养经办人员</w:t>
      </w:r>
      <w:r>
        <w:rPr>
          <w:rFonts w:hint="default" w:ascii="Times New Roman" w:hAnsi="Times New Roman" w:eastAsia="方正仿宋_GBK" w:cs="Times New Roman"/>
          <w:b w:val="0"/>
          <w:bCs w:val="0"/>
          <w:color w:val="auto"/>
          <w:sz w:val="32"/>
          <w:szCs w:val="32"/>
          <w:u w:val="none"/>
        </w:rPr>
        <w:t>或</w:t>
      </w:r>
      <w:r>
        <w:rPr>
          <w:rFonts w:hint="eastAsia" w:ascii="Times New Roman" w:hAnsi="Times New Roman" w:eastAsia="方正仿宋_GBK" w:cs="Times New Roman"/>
          <w:b w:val="0"/>
          <w:bCs w:val="0"/>
          <w:color w:val="auto"/>
          <w:sz w:val="32"/>
          <w:szCs w:val="32"/>
          <w:u w:val="none"/>
        </w:rPr>
        <w:t>村（居）民委员会成员有近亲属关系的，乡镇人民政府（街道办事处）应当单独登记备案</w:t>
      </w:r>
      <w:r>
        <w:rPr>
          <w:rFonts w:hint="default" w:ascii="Times New Roman" w:hAnsi="Times New Roman" w:eastAsia="方正仿宋_GBK" w:cs="Times New Roman"/>
          <w:b w:val="0"/>
          <w:bCs w:val="0"/>
          <w:color w:val="auto"/>
          <w:sz w:val="32"/>
          <w:szCs w:val="32"/>
          <w:u w:val="none"/>
        </w:rPr>
        <w:t>，</w:t>
      </w:r>
      <w:r>
        <w:rPr>
          <w:rFonts w:hint="eastAsia" w:ascii="Times New Roman" w:hAnsi="Times New Roman" w:eastAsia="方正仿宋_GBK" w:cs="Times New Roman"/>
          <w:b w:val="0"/>
          <w:bCs w:val="0"/>
          <w:color w:val="auto"/>
          <w:sz w:val="32"/>
          <w:szCs w:val="32"/>
          <w:u w:val="none"/>
        </w:rPr>
        <w:t>并上报县级人民政府民政部门，县级人民政府民政部门要单独归档备案，并加大对备案对象的监督。</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u w:val="none"/>
        </w:rPr>
      </w:pPr>
      <w:r>
        <w:rPr>
          <w:rFonts w:hint="eastAsia" w:ascii="Times New Roman" w:hAnsi="Times New Roman" w:eastAsia="方正仿宋_GBK" w:cs="Times New Roman"/>
          <w:b w:val="0"/>
          <w:bCs w:val="0"/>
          <w:color w:val="auto"/>
          <w:sz w:val="32"/>
          <w:szCs w:val="32"/>
          <w:u w:val="none"/>
        </w:rPr>
        <w:t>特困人员救助供养经办人员指负责或具体办理</w:t>
      </w:r>
      <w:r>
        <w:rPr>
          <w:rFonts w:hint="default" w:ascii="Times New Roman" w:hAnsi="Times New Roman" w:eastAsia="方正仿宋_GBK" w:cs="Times New Roman"/>
          <w:b w:val="0"/>
          <w:bCs w:val="0"/>
          <w:color w:val="auto"/>
          <w:sz w:val="32"/>
          <w:szCs w:val="32"/>
          <w:u w:val="none"/>
        </w:rPr>
        <w:t>特困人员救助供养申请</w:t>
      </w:r>
      <w:r>
        <w:rPr>
          <w:rFonts w:hint="eastAsia" w:ascii="Times New Roman" w:hAnsi="Times New Roman" w:eastAsia="方正仿宋_GBK" w:cs="Times New Roman"/>
          <w:b w:val="0"/>
          <w:bCs w:val="0"/>
          <w:color w:val="auto"/>
          <w:sz w:val="32"/>
          <w:szCs w:val="32"/>
          <w:u w:val="none"/>
        </w:rPr>
        <w:t>受理、家庭经济状况调查、审核确认等事项的县级人民政府民政部门及乡镇人民政府（街道办事处）工作人员。</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u w:val="none"/>
        </w:rPr>
      </w:pPr>
      <w:r>
        <w:rPr>
          <w:rFonts w:hint="eastAsia" w:ascii="Times New Roman" w:hAnsi="Times New Roman" w:eastAsia="方正仿宋_GBK" w:cs="Times New Roman"/>
          <w:b w:val="0"/>
          <w:bCs w:val="0"/>
          <w:color w:val="auto"/>
          <w:sz w:val="32"/>
          <w:szCs w:val="32"/>
          <w:u w:val="none"/>
        </w:rPr>
        <w:t>近亲属指配偶、父母、子女、兄弟姐妹、祖父母、外祖父母、孙子女、外孙子女。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rFonts w:hint="eastAsia" w:ascii="黑体" w:hAnsi="宋体" w:eastAsia="黑体" w:cs="黑体"/>
          <w:bCs/>
          <w:i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color w:val="auto"/>
          <w:sz w:val="32"/>
          <w:szCs w:val="32"/>
          <w:u w:val="none"/>
        </w:rPr>
      </w:pPr>
      <w:r>
        <w:rPr>
          <w:rFonts w:hint="eastAsia" w:ascii="黑体" w:hAnsi="宋体" w:eastAsia="黑体" w:cs="黑体"/>
          <w:bCs/>
          <w:i w:val="0"/>
          <w:caps w:val="0"/>
          <w:color w:val="auto"/>
          <w:spacing w:val="0"/>
          <w:kern w:val="0"/>
          <w:sz w:val="32"/>
          <w:szCs w:val="32"/>
          <w:u w:val="none"/>
          <w:shd w:val="clear" w:fill="FFFFFF"/>
          <w:lang w:val="en-US" w:eastAsia="zh-CN" w:bidi="ar"/>
        </w:rPr>
        <w:t>第四章</w:t>
      </w:r>
      <w:r>
        <w:rPr>
          <w:rFonts w:hint="default" w:ascii="Times New Roman" w:hAnsi="Times New Roman" w:eastAsia="Microsoft YaHei" w:cs="Times New Roman"/>
          <w:bCs/>
          <w:i w:val="0"/>
          <w:caps w:val="0"/>
          <w:color w:val="auto"/>
          <w:spacing w:val="0"/>
          <w:kern w:val="0"/>
          <w:sz w:val="32"/>
          <w:szCs w:val="32"/>
          <w:u w:val="none"/>
          <w:shd w:val="clear" w:fill="FFFFFF"/>
          <w:lang w:val="en-US" w:eastAsia="zh-CN" w:bidi="ar"/>
        </w:rPr>
        <w:t>  </w:t>
      </w:r>
      <w:r>
        <w:rPr>
          <w:rFonts w:hint="eastAsia" w:ascii="黑体" w:hAnsi="宋体" w:eastAsia="黑体" w:cs="黑体"/>
          <w:bCs/>
          <w:i w:val="0"/>
          <w:caps w:val="0"/>
          <w:color w:val="auto"/>
          <w:spacing w:val="0"/>
          <w:kern w:val="0"/>
          <w:sz w:val="32"/>
          <w:szCs w:val="32"/>
          <w:u w:val="none"/>
          <w:shd w:val="clear" w:fill="FFFFFF"/>
          <w:lang w:val="en-US" w:eastAsia="zh-CN" w:bidi="ar"/>
        </w:rPr>
        <w:t>家庭经济状况调查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pPr>
      <w:r>
        <w:rPr>
          <w:rFonts w:hint="eastAsia" w:ascii="Times New Roman" w:hAnsi="楷体_GB2312" w:eastAsia="楷体_GB2312" w:cs="楷体_GB2312"/>
          <w:b/>
          <w:bCs/>
          <w:color w:val="auto"/>
          <w:sz w:val="32"/>
          <w:szCs w:val="32"/>
          <w:u w:val="none"/>
          <w:lang w:val="en-US" w:eastAsia="zh-CN"/>
        </w:rPr>
        <w:t>第十五条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乡镇人民政府（街道办事处）应当自受理特困人员救助供养申请之日起2个工作日内，提请县级民政部门居民家庭经济状况核对工作机构对申请人及其法定义务人开展家庭经济状况信息核对。</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u w:val="none"/>
        </w:rPr>
      </w:pPr>
      <w:r>
        <w:rPr>
          <w:rFonts w:hint="eastAsia" w:ascii="Times New Roman" w:hAnsi="Times New Roman" w:eastAsia="方正仿宋_GBK" w:cs="Times New Roman"/>
          <w:b w:val="0"/>
          <w:bCs w:val="0"/>
          <w:color w:val="auto"/>
          <w:sz w:val="32"/>
          <w:szCs w:val="32"/>
          <w:u w:val="none"/>
        </w:rPr>
        <w:t>申请人常住地与户籍所在地不一致的，常住地县级</w:t>
      </w:r>
      <w:r>
        <w:rPr>
          <w:rFonts w:hint="default" w:ascii="Times New Roman" w:hAnsi="Times New Roman" w:eastAsia="方正仿宋_GBK" w:cs="Times New Roman"/>
          <w:b w:val="0"/>
          <w:bCs w:val="0"/>
          <w:color w:val="auto"/>
          <w:sz w:val="32"/>
          <w:szCs w:val="32"/>
          <w:u w:val="none"/>
        </w:rPr>
        <w:t>人民政府</w:t>
      </w:r>
      <w:r>
        <w:rPr>
          <w:rFonts w:hint="eastAsia" w:ascii="Times New Roman" w:hAnsi="Times New Roman" w:eastAsia="方正仿宋_GBK" w:cs="Times New Roman"/>
          <w:b w:val="0"/>
          <w:bCs w:val="0"/>
          <w:color w:val="auto"/>
          <w:sz w:val="32"/>
          <w:szCs w:val="32"/>
          <w:u w:val="none"/>
        </w:rPr>
        <w:t>民政部门和乡镇人民政府（街道办事处）应协助户籍所在地县级</w:t>
      </w:r>
      <w:r>
        <w:rPr>
          <w:rFonts w:hint="default" w:ascii="Times New Roman" w:hAnsi="Times New Roman" w:eastAsia="方正仿宋_GBK" w:cs="Times New Roman"/>
          <w:b w:val="0"/>
          <w:bCs w:val="0"/>
          <w:color w:val="auto"/>
          <w:sz w:val="32"/>
          <w:szCs w:val="32"/>
          <w:u w:val="none"/>
        </w:rPr>
        <w:t>人民政府</w:t>
      </w:r>
      <w:r>
        <w:rPr>
          <w:rFonts w:hint="eastAsia" w:ascii="Times New Roman" w:hAnsi="Times New Roman" w:eastAsia="方正仿宋_GBK" w:cs="Times New Roman"/>
          <w:b w:val="0"/>
          <w:bCs w:val="0"/>
          <w:color w:val="auto"/>
          <w:sz w:val="32"/>
          <w:szCs w:val="32"/>
          <w:u w:val="none"/>
        </w:rPr>
        <w:t>民政部门和乡镇人民政府（街道办事处）开展家庭经济状况调查、动态管理等相关工作。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r>
        <w:rPr>
          <w:rFonts w:hint="eastAsia" w:ascii="Times New Roman" w:hAnsi="楷体_GB2312" w:eastAsia="楷体_GB2312" w:cs="楷体_GB2312"/>
          <w:b/>
          <w:bCs/>
          <w:color w:val="auto"/>
          <w:sz w:val="32"/>
          <w:szCs w:val="32"/>
          <w:u w:val="none"/>
          <w:lang w:val="en-US" w:eastAsia="zh-CN"/>
        </w:rPr>
        <w:t>第十六条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乡镇人民政府（街道办事处）应当在提请开展家庭经济状况信息核对的同时，通过入户调查、邻里访问、信函索证等方式对申请人的经济状况、实际生活状况以及赡养、抚养、扶养状况等进行调查核实。每组调查人员不得少于2人，调查完毕应当出具调查结果，由调查人员和申请人分别签字或按指纹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r>
        <w:rPr>
          <w:rFonts w:hint="eastAsia" w:ascii="Times New Roman" w:hAnsi="楷体_GB2312" w:eastAsia="楷体_GB2312" w:cs="楷体_GB2312"/>
          <w:b/>
          <w:bCs/>
          <w:color w:val="auto"/>
          <w:sz w:val="32"/>
          <w:szCs w:val="32"/>
          <w:u w:val="none"/>
          <w:lang w:val="en-US" w:eastAsia="zh-CN"/>
        </w:rPr>
        <w:t>第十七条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申请人以及有关单位、组织或者个人应当配合调查，如实提供有关情况。村（居）民委员会应当协助乡镇人民政府（街道办事处）开展调查工作。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b/>
          <w:bCs w:val="0"/>
          <w:color w:val="auto"/>
          <w:sz w:val="32"/>
          <w:szCs w:val="32"/>
          <w:u w:val="none"/>
        </w:rPr>
      </w:pPr>
      <w:r>
        <w:rPr>
          <w:rFonts w:hint="eastAsia" w:ascii="Times New Roman" w:hAnsi="楷体_GB2312" w:eastAsia="楷体_GB2312" w:cs="楷体_GB2312"/>
          <w:b/>
          <w:bCs/>
          <w:color w:val="auto"/>
          <w:sz w:val="32"/>
          <w:szCs w:val="32"/>
          <w:u w:val="none"/>
          <w:lang w:val="en-US" w:eastAsia="zh-CN"/>
        </w:rPr>
        <w:t>第十八条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县级民政部门居民家庭经济状况核对工作机构根据需要，依法依规对申请人及其法定义务人开展家庭经济状况核对。核对结果应当自收到乡镇人民政府（街道办事处）的家庭经济状况信息核对提请后</w:t>
      </w:r>
      <w:r>
        <w:rPr>
          <w:rFonts w:hint="eastAsia" w:ascii="仿宋_GB2312" w:hAnsi="仿宋_GB2312" w:eastAsia="仿宋_GB2312" w:cs="仿宋_GB2312"/>
          <w:bCs/>
          <w:i w:val="0"/>
          <w:caps w:val="0"/>
          <w:color w:val="auto"/>
          <w:spacing w:val="0"/>
          <w:kern w:val="0"/>
          <w:sz w:val="32"/>
          <w:szCs w:val="32"/>
          <w:u w:val="none"/>
          <w:shd w:val="clear" w:fill="FFFFFF"/>
          <w:lang w:eastAsia="zh-CN" w:bidi="ar"/>
        </w:rPr>
        <w:t>9</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个工作日内反馈。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pPr>
      <w:r>
        <w:rPr>
          <w:rFonts w:hint="eastAsia" w:ascii="Times New Roman" w:hAnsi="楷体_GB2312" w:eastAsia="楷体_GB2312" w:cs="楷体_GB2312"/>
          <w:b/>
          <w:bCs/>
          <w:color w:val="auto"/>
          <w:sz w:val="32"/>
          <w:szCs w:val="32"/>
          <w:u w:val="none"/>
          <w:lang w:val="en-US" w:eastAsia="zh-CN"/>
        </w:rPr>
        <w:t>第十九条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调查核实过程中，乡镇人民政府（街道办事处）可视情组织民主评议，在村（居）民委员会协助下，对申请人书面声明内容的真实性、完整性及调查核实结果的客观性进行评议。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color w:val="auto"/>
          <w:sz w:val="32"/>
          <w:szCs w:val="32"/>
          <w:u w:val="none"/>
        </w:rPr>
      </w:pPr>
      <w:r>
        <w:rPr>
          <w:rFonts w:hint="eastAsia" w:ascii="黑体" w:hAnsi="宋体" w:eastAsia="黑体" w:cs="黑体"/>
          <w:bCs/>
          <w:i w:val="0"/>
          <w:caps w:val="0"/>
          <w:color w:val="auto"/>
          <w:spacing w:val="0"/>
          <w:kern w:val="0"/>
          <w:sz w:val="32"/>
          <w:szCs w:val="32"/>
          <w:u w:val="none"/>
          <w:shd w:val="clear" w:fill="FFFFFF"/>
          <w:lang w:val="en-US" w:eastAsia="zh-CN" w:bidi="ar"/>
        </w:rPr>
        <w:t>第五章</w:t>
      </w:r>
      <w:r>
        <w:rPr>
          <w:rFonts w:hint="default" w:ascii="Times New Roman" w:hAnsi="Times New Roman" w:eastAsia="Microsoft YaHei" w:cs="Times New Roman"/>
          <w:bCs/>
          <w:i w:val="0"/>
          <w:caps w:val="0"/>
          <w:color w:val="auto"/>
          <w:spacing w:val="0"/>
          <w:kern w:val="0"/>
          <w:sz w:val="32"/>
          <w:szCs w:val="32"/>
          <w:u w:val="none"/>
          <w:shd w:val="clear" w:fill="FFFFFF"/>
          <w:lang w:val="en-US" w:eastAsia="zh-CN" w:bidi="ar"/>
        </w:rPr>
        <w:t>  </w:t>
      </w:r>
      <w:r>
        <w:rPr>
          <w:rFonts w:hint="eastAsia" w:ascii="黑体" w:hAnsi="宋体" w:eastAsia="黑体" w:cs="黑体"/>
          <w:bCs/>
          <w:i w:val="0"/>
          <w:caps w:val="0"/>
          <w:color w:val="auto"/>
          <w:spacing w:val="0"/>
          <w:kern w:val="0"/>
          <w:sz w:val="32"/>
          <w:szCs w:val="32"/>
          <w:u w:val="none"/>
          <w:shd w:val="clear" w:fill="FFFFFF"/>
          <w:lang w:val="en-US" w:eastAsia="zh-CN" w:bidi="ar"/>
        </w:rPr>
        <w:t>审核确认</w:t>
      </w:r>
    </w:p>
    <w:p>
      <w:pPr>
        <w:keepNext w:val="0"/>
        <w:keepLines w:val="0"/>
        <w:pageBreakBefore w:val="0"/>
        <w:kinsoku/>
        <w:overflowPunct/>
        <w:topLinePunct w:val="0"/>
        <w:autoSpaceDE/>
        <w:bidi w:val="0"/>
        <w:adjustRightInd/>
        <w:snapToGrid/>
        <w:spacing w:line="600" w:lineRule="exact"/>
        <w:ind w:firstLine="642" w:firstLineChars="200"/>
        <w:textAlignment w:val="auto"/>
        <w:rPr>
          <w:rFonts w:hint="eastAsia" w:ascii="Times New Roman" w:hAnsi="Times New Roman" w:eastAsia="仿宋_GB2312" w:cs="仿宋_GB2312"/>
          <w:color w:val="auto"/>
          <w:sz w:val="32"/>
          <w:szCs w:val="32"/>
          <w:u w:val="none"/>
        </w:rPr>
      </w:pPr>
      <w:r>
        <w:rPr>
          <w:rFonts w:hint="eastAsia" w:ascii="Times New Roman" w:hAnsi="楷体_GB2312" w:eastAsia="楷体_GB2312" w:cs="楷体_GB2312"/>
          <w:b/>
          <w:bCs/>
          <w:color w:val="auto"/>
          <w:sz w:val="32"/>
          <w:szCs w:val="32"/>
          <w:u w:val="none"/>
        </w:rPr>
        <w:t>第二十条</w:t>
      </w:r>
      <w:r>
        <w:rPr>
          <w:rFonts w:ascii="Times New Roman" w:hAnsi="Times New Roman" w:eastAsia="楷体_GB2312" w:cs="Times New Roman"/>
          <w:b/>
          <w:bCs/>
          <w:color w:val="auto"/>
          <w:sz w:val="32"/>
          <w:szCs w:val="32"/>
          <w:u w:val="none"/>
        </w:rPr>
        <w:t xml:space="preserve">  </w:t>
      </w:r>
      <w:r>
        <w:rPr>
          <w:rFonts w:hint="eastAsia" w:ascii="Times New Roman" w:hAnsi="Times New Roman" w:eastAsia="仿宋_GB2312" w:cs="仿宋_GB2312"/>
          <w:color w:val="auto"/>
          <w:sz w:val="32"/>
          <w:szCs w:val="32"/>
          <w:u w:val="none"/>
        </w:rPr>
        <w:t>乡镇人民政府（街道办事处）应当根据家庭经济状况调查核实情况，提出初审意见，并在申请人所在村（社区）村（居）务公开栏进行公示。公示期为</w:t>
      </w:r>
      <w:r>
        <w:rPr>
          <w:rFonts w:ascii="Times New Roman" w:hAnsi="Times New Roman" w:eastAsia="仿宋_GB2312" w:cs="Times New Roman"/>
          <w:color w:val="auto"/>
          <w:sz w:val="32"/>
          <w:szCs w:val="32"/>
          <w:u w:val="none"/>
        </w:rPr>
        <w:t>7</w:t>
      </w:r>
      <w:r>
        <w:rPr>
          <w:rFonts w:hint="eastAsia" w:ascii="Times New Roman" w:hAnsi="Times New Roman" w:eastAsia="仿宋_GB2312" w:cs="仿宋_GB2312"/>
          <w:color w:val="auto"/>
          <w:sz w:val="32"/>
          <w:szCs w:val="32"/>
          <w:u w:val="none"/>
        </w:rPr>
        <w:t>天。</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方正仿宋_GBK" w:cs="Times New Roman"/>
          <w:b w:val="0"/>
          <w:bCs w:val="0"/>
          <w:color w:val="auto"/>
          <w:sz w:val="32"/>
          <w:szCs w:val="32"/>
          <w:u w:val="none"/>
        </w:rPr>
      </w:pPr>
      <w:r>
        <w:rPr>
          <w:rFonts w:hint="eastAsia" w:ascii="Times New Roman" w:hAnsi="Times New Roman" w:eastAsia="仿宋_GB2312" w:cs="仿宋_GB2312"/>
          <w:color w:val="auto"/>
          <w:sz w:val="32"/>
          <w:szCs w:val="32"/>
          <w:u w:val="none"/>
        </w:rPr>
        <w:t>公示期满无异议的，乡镇人民政府（街道办事处）应当将初审意见连同申请材料、调查核实材料、初审意见等相关材料报送县级人民政府民政部门。对公示有异议的，申请人或者其代理人应当提供相关佐证材料，</w:t>
      </w:r>
      <w:r>
        <w:rPr>
          <w:rFonts w:hint="eastAsia" w:ascii="Times New Roman" w:hAnsi="Times New Roman" w:eastAsia="方正仿宋_GBK" w:cs="Times New Roman"/>
          <w:b w:val="0"/>
          <w:bCs w:val="0"/>
          <w:color w:val="auto"/>
          <w:sz w:val="32"/>
          <w:szCs w:val="32"/>
          <w:u w:val="none"/>
        </w:rPr>
        <w:t>乡镇人民政府（街道办事处）应当重新组织调查核实，在村（居）民委员会的协助下，对申请人书面声明内容的真实性、完整性及调查核实结果的客观性进行民主评议，在</w:t>
      </w:r>
      <w:r>
        <w:rPr>
          <w:rFonts w:hint="default" w:ascii="Times New Roman" w:hAnsi="Times New Roman" w:eastAsia="方正仿宋_GBK" w:cs="Times New Roman"/>
          <w:b w:val="0"/>
          <w:bCs w:val="0"/>
          <w:color w:val="auto"/>
          <w:sz w:val="32"/>
          <w:szCs w:val="32"/>
          <w:u w:val="none"/>
        </w:rPr>
        <w:t>10</w:t>
      </w:r>
      <w:r>
        <w:rPr>
          <w:rFonts w:hint="eastAsia" w:ascii="Times New Roman" w:hAnsi="Times New Roman" w:eastAsia="方正仿宋_GBK" w:cs="Times New Roman"/>
          <w:b w:val="0"/>
          <w:bCs w:val="0"/>
          <w:color w:val="auto"/>
          <w:sz w:val="32"/>
          <w:szCs w:val="32"/>
          <w:u w:val="none"/>
        </w:rPr>
        <w:t>个工作日内提出初审意见，并重新公示。</w:t>
      </w:r>
    </w:p>
    <w:p>
      <w:pPr>
        <w:keepNext w:val="0"/>
        <w:keepLines w:val="0"/>
        <w:pageBreakBefore w:val="0"/>
        <w:kinsoku/>
        <w:overflowPunct/>
        <w:topLinePunct w:val="0"/>
        <w:autoSpaceDE/>
        <w:bidi w:val="0"/>
        <w:adjustRightInd/>
        <w:snapToGrid/>
        <w:spacing w:line="600" w:lineRule="exact"/>
        <w:ind w:firstLine="642" w:firstLineChars="200"/>
        <w:textAlignment w:val="auto"/>
        <w:rPr>
          <w:rFonts w:hint="eastAsia" w:ascii="Times New Roman" w:hAnsi="Times New Roman" w:eastAsia="仿宋_GB2312" w:cs="仿宋_GB2312"/>
          <w:color w:val="auto"/>
          <w:sz w:val="32"/>
          <w:szCs w:val="32"/>
          <w:u w:val="none"/>
        </w:rPr>
      </w:pPr>
      <w:r>
        <w:rPr>
          <w:rFonts w:hint="eastAsia" w:ascii="Times New Roman" w:hAnsi="楷体_GB2312" w:eastAsia="楷体_GB2312" w:cs="楷体_GB2312"/>
          <w:b/>
          <w:bCs/>
          <w:color w:val="auto"/>
          <w:sz w:val="32"/>
          <w:szCs w:val="32"/>
          <w:u w:val="none"/>
        </w:rPr>
        <w:t>第二十一条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县级人民政府民政部门应当全面审核乡镇人民政府（街道办事处）上报的申请材料、调查核实材料和初审意见，按照不低于</w:t>
      </w:r>
      <w:r>
        <w:rPr>
          <w:rFonts w:ascii="Times New Roman" w:hAnsi="Times New Roman" w:eastAsia="仿宋_GB2312" w:cs="Times New Roman"/>
          <w:color w:val="auto"/>
          <w:sz w:val="32"/>
          <w:szCs w:val="32"/>
          <w:u w:val="none"/>
        </w:rPr>
        <w:t>30%</w:t>
      </w:r>
      <w:r>
        <w:rPr>
          <w:rFonts w:hint="eastAsia" w:ascii="Times New Roman" w:hAnsi="Times New Roman" w:eastAsia="仿宋_GB2312" w:cs="仿宋_GB2312"/>
          <w:color w:val="auto"/>
          <w:sz w:val="32"/>
          <w:szCs w:val="32"/>
          <w:u w:val="none"/>
        </w:rPr>
        <w:t>的比例随机抽查核实，并在</w:t>
      </w:r>
      <w:r>
        <w:rPr>
          <w:rFonts w:ascii="Times New Roman" w:hAnsi="Times New Roman" w:eastAsia="仿宋_GB2312" w:cs="Times New Roman"/>
          <w:color w:val="auto"/>
          <w:sz w:val="32"/>
          <w:szCs w:val="32"/>
          <w:u w:val="none"/>
        </w:rPr>
        <w:t>5</w:t>
      </w:r>
      <w:r>
        <w:rPr>
          <w:rFonts w:hint="eastAsia" w:ascii="Times New Roman" w:hAnsi="Times New Roman" w:eastAsia="仿宋_GB2312" w:cs="仿宋_GB2312"/>
          <w:color w:val="auto"/>
          <w:sz w:val="32"/>
          <w:szCs w:val="32"/>
          <w:u w:val="none"/>
        </w:rPr>
        <w:t>个工作日内提出审核确认意见。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800" w:firstLineChars="250"/>
        <w:jc w:val="both"/>
        <w:textAlignment w:val="auto"/>
        <w:rPr>
          <w:rFonts w:ascii="Times New Roman" w:hAnsi="Times New Roman" w:eastAsia="仿宋_GB2312" w:cs="Times New Roman"/>
          <w:color w:val="auto"/>
          <w:sz w:val="32"/>
          <w:szCs w:val="32"/>
          <w:u w:val="none"/>
        </w:rPr>
      </w:pPr>
      <w:r>
        <w:rPr>
          <w:rFonts w:hint="eastAsia" w:ascii="仿宋_GB2312" w:hAnsi="仿宋_GB2312" w:eastAsia="仿宋_GB2312" w:cs="仿宋_GB2312"/>
          <w:i w:val="0"/>
          <w:caps w:val="0"/>
          <w:color w:val="auto"/>
          <w:spacing w:val="0"/>
          <w:sz w:val="32"/>
          <w:szCs w:val="32"/>
          <w:u w:val="none"/>
        </w:rPr>
        <w:t>对单独登记备案或者在审核确认阶段接到投诉、举报的</w:t>
      </w:r>
      <w:r>
        <w:rPr>
          <w:rFonts w:hint="default" w:ascii="仿宋_GB2312" w:hAnsi="仿宋_GB2312" w:eastAsia="仿宋_GB2312" w:cs="仿宋_GB2312"/>
          <w:i w:val="0"/>
          <w:caps w:val="0"/>
          <w:color w:val="auto"/>
          <w:spacing w:val="0"/>
          <w:sz w:val="32"/>
          <w:szCs w:val="32"/>
          <w:u w:val="none"/>
        </w:rPr>
        <w:t>特困人员救助供养</w:t>
      </w:r>
      <w:r>
        <w:rPr>
          <w:rFonts w:hint="eastAsia" w:ascii="仿宋_GB2312" w:hAnsi="仿宋_GB2312" w:eastAsia="仿宋_GB2312" w:cs="仿宋_GB2312"/>
          <w:i w:val="0"/>
          <w:caps w:val="0"/>
          <w:color w:val="auto"/>
          <w:spacing w:val="0"/>
          <w:sz w:val="32"/>
          <w:szCs w:val="32"/>
          <w:u w:val="none"/>
        </w:rPr>
        <w:t>申请，县级人民政府民政部门应当入户调查。</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第二十二条</w:t>
      </w:r>
      <w:r>
        <w:rPr>
          <w:rFonts w:ascii="Times New Roman" w:hAnsi="Times New Roman" w:eastAsia="楷体_GB2312" w:cs="Times New Roman"/>
          <w:b/>
          <w:bCs/>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对符合救助供养条件的申请，县级人民政府民政部门应当及时予以确认，建立救助供养档案，从确认之日下月起给予救助供养待遇，并通过乡镇人民政府（街道办事处）在申请人所在村（社区）村（居）务公开栏公布。</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第二十三条</w:t>
      </w:r>
      <w:r>
        <w:rPr>
          <w:rFonts w:ascii="Times New Roman" w:hAnsi="Times New Roman" w:eastAsia="楷体_GB2312" w:cs="Times New Roman"/>
          <w:b/>
          <w:bCs/>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对不符合条件、不予同意的，县级人民政府民政部门应当在作出决定</w:t>
      </w:r>
      <w:r>
        <w:rPr>
          <w:rFonts w:ascii="Times New Roman" w:hAnsi="Times New Roman" w:eastAsia="仿宋_GB2312" w:cs="Times New Roman"/>
          <w:color w:val="auto"/>
          <w:sz w:val="32"/>
          <w:szCs w:val="32"/>
          <w:u w:val="none"/>
        </w:rPr>
        <w:t>3</w:t>
      </w:r>
      <w:r>
        <w:rPr>
          <w:rFonts w:hint="eastAsia" w:ascii="Times New Roman" w:hAnsi="Times New Roman" w:eastAsia="仿宋_GB2312" w:cs="仿宋_GB2312"/>
          <w:color w:val="auto"/>
          <w:sz w:val="32"/>
          <w:szCs w:val="32"/>
          <w:u w:val="none"/>
        </w:rPr>
        <w:t>个工作日内，通过乡镇人民政府（街道办事处）书面告知申请人或者其代理人并说明理由。</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 xml:space="preserve">第二十四条  </w:t>
      </w:r>
      <w:r>
        <w:rPr>
          <w:rFonts w:hint="eastAsia" w:ascii="Times New Roman" w:hAnsi="Times New Roman" w:eastAsia="仿宋_GB2312" w:cs="仿宋_GB2312"/>
          <w:color w:val="auto"/>
          <w:sz w:val="32"/>
          <w:szCs w:val="32"/>
          <w:u w:val="none"/>
        </w:rPr>
        <w:t>特困人员救助供养审核确认工作应当自受理之日起</w:t>
      </w:r>
      <w:r>
        <w:rPr>
          <w:rFonts w:ascii="Times New Roman" w:hAnsi="Times New Roman" w:eastAsia="仿宋_GB2312" w:cs="Times New Roman"/>
          <w:color w:val="auto"/>
          <w:sz w:val="32"/>
          <w:szCs w:val="32"/>
          <w:u w:val="none"/>
        </w:rPr>
        <w:t>25</w:t>
      </w:r>
      <w:r>
        <w:rPr>
          <w:rFonts w:hint="eastAsia" w:ascii="Times New Roman" w:hAnsi="Times New Roman" w:eastAsia="仿宋_GB2312" w:cs="仿宋_GB2312"/>
          <w:color w:val="auto"/>
          <w:sz w:val="32"/>
          <w:szCs w:val="32"/>
          <w:u w:val="none"/>
        </w:rPr>
        <w:t>个工作日内完成；特殊情况下，审核确认时限不得超过</w:t>
      </w:r>
      <w:r>
        <w:rPr>
          <w:rFonts w:ascii="Times New Roman" w:hAnsi="Times New Roman" w:eastAsia="仿宋_GB2312" w:cs="Times New Roman"/>
          <w:color w:val="auto"/>
          <w:sz w:val="32"/>
          <w:szCs w:val="32"/>
          <w:u w:val="none"/>
        </w:rPr>
        <w:t>40</w:t>
      </w:r>
      <w:r>
        <w:rPr>
          <w:rFonts w:hint="eastAsia" w:ascii="Times New Roman" w:hAnsi="Times New Roman" w:eastAsia="仿宋_GB2312" w:cs="仿宋_GB2312"/>
          <w:color w:val="auto"/>
          <w:sz w:val="32"/>
          <w:szCs w:val="32"/>
          <w:u w:val="none"/>
        </w:rPr>
        <w:t>个工作日。</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 xml:space="preserve">第二十五条  </w:t>
      </w:r>
      <w:r>
        <w:rPr>
          <w:rFonts w:hint="eastAsia" w:ascii="Times New Roman" w:hAnsi="Times New Roman" w:eastAsia="仿宋_GB2312" w:cs="仿宋_GB2312"/>
          <w:color w:val="auto"/>
          <w:sz w:val="32"/>
          <w:szCs w:val="32"/>
          <w:u w:val="none"/>
        </w:rPr>
        <w:t>县级人民政府民政部门应当在特困人员所在村（社区）村（居）务公开栏及相关官方网站公布特困人员姓名、家庭救助供养人数、生活自理能力等级、救助供养标准等信息，其中在村（社区）村（居）务公开栏公布的信息应当加盖县级人民政府民政部门或乡镇人民政府（街道办事处）公章。</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信息公布应当依法保护个人隐私，不得公开无关信息。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2" w:firstLineChars="200"/>
        <w:jc w:val="left"/>
        <w:textAlignment w:val="auto"/>
        <w:rPr>
          <w:rFonts w:hint="eastAsia" w:ascii="Times New Roman" w:hAnsi="楷体_GB2312" w:eastAsia="楷体_GB2312" w:cs="楷体_GB2312"/>
          <w:b/>
          <w:bCs/>
          <w:color w:val="auto"/>
          <w:sz w:val="32"/>
          <w:szCs w:val="32"/>
          <w:u w:val="none"/>
          <w:lang w:val="en-US" w:eastAsia="zh-CN"/>
        </w:rPr>
      </w:pPr>
      <w:r>
        <w:rPr>
          <w:rFonts w:hint="eastAsia" w:ascii="Times New Roman" w:hAnsi="楷体_GB2312" w:eastAsia="楷体_GB2312" w:cs="楷体_GB2312"/>
          <w:b/>
          <w:bCs/>
          <w:color w:val="auto"/>
          <w:sz w:val="32"/>
          <w:szCs w:val="32"/>
          <w:u w:val="none"/>
          <w:lang w:val="en-US" w:eastAsia="zh-CN"/>
        </w:rPr>
        <w:t>第二十六条</w:t>
      </w:r>
      <w:r>
        <w:rPr>
          <w:rFonts w:hint="default" w:ascii="Times New Roman" w:hAnsi="楷体_GB2312" w:eastAsia="楷体_GB2312" w:cs="楷体_GB2312"/>
          <w:b/>
          <w:bCs/>
          <w:color w:val="auto"/>
          <w:sz w:val="32"/>
          <w:szCs w:val="32"/>
          <w:u w:val="none"/>
          <w:lang w:eastAsia="zh-CN"/>
        </w:rPr>
        <w:t xml:space="preserve">  </w:t>
      </w:r>
      <w:r>
        <w:rPr>
          <w:rFonts w:hint="eastAsia" w:ascii="Times New Roman" w:hAnsi="Times New Roman" w:eastAsia="方正仿宋_GBK" w:cs="Times New Roman"/>
          <w:b w:val="0"/>
          <w:bCs w:val="0"/>
          <w:color w:val="auto"/>
          <w:sz w:val="32"/>
          <w:szCs w:val="32"/>
          <w:u w:val="none"/>
        </w:rPr>
        <w:t>对于公安机关已办理户口登记手续、符合特困人员</w:t>
      </w:r>
      <w:r>
        <w:rPr>
          <w:rFonts w:hint="default" w:ascii="Times New Roman" w:hAnsi="Times New Roman" w:eastAsia="方正仿宋_GBK" w:cs="Times New Roman"/>
          <w:b w:val="0"/>
          <w:bCs w:val="0"/>
          <w:color w:val="auto"/>
          <w:sz w:val="32"/>
          <w:szCs w:val="32"/>
          <w:u w:val="none"/>
        </w:rPr>
        <w:t>救助</w:t>
      </w:r>
      <w:r>
        <w:rPr>
          <w:rFonts w:hint="eastAsia" w:ascii="Times New Roman" w:hAnsi="Times New Roman" w:eastAsia="方正仿宋_GBK" w:cs="Times New Roman"/>
          <w:b w:val="0"/>
          <w:bCs w:val="0"/>
          <w:color w:val="auto"/>
          <w:sz w:val="32"/>
          <w:szCs w:val="32"/>
          <w:u w:val="none"/>
        </w:rPr>
        <w:t>供养条件的流浪乞讨人员，可</w:t>
      </w:r>
      <w:r>
        <w:rPr>
          <w:rFonts w:hint="default" w:ascii="Times New Roman" w:hAnsi="Times New Roman" w:eastAsia="方正仿宋_GBK" w:cs="Times New Roman"/>
          <w:b w:val="0"/>
          <w:bCs w:val="0"/>
          <w:color w:val="auto"/>
          <w:sz w:val="32"/>
          <w:szCs w:val="32"/>
          <w:u w:val="none"/>
        </w:rPr>
        <w:t>按程序</w:t>
      </w:r>
      <w:r>
        <w:rPr>
          <w:rFonts w:hint="eastAsia" w:ascii="Times New Roman" w:hAnsi="Times New Roman" w:eastAsia="方正仿宋_GBK" w:cs="Times New Roman"/>
          <w:b w:val="0"/>
          <w:bCs w:val="0"/>
          <w:color w:val="auto"/>
          <w:sz w:val="32"/>
          <w:szCs w:val="32"/>
          <w:u w:val="none"/>
        </w:rPr>
        <w:t>纳入特困人员救助供养范围，落实</w:t>
      </w:r>
      <w:r>
        <w:rPr>
          <w:rFonts w:hint="default" w:ascii="Times New Roman" w:hAnsi="Times New Roman" w:eastAsia="方正仿宋_GBK" w:cs="Times New Roman"/>
          <w:b w:val="0"/>
          <w:bCs w:val="0"/>
          <w:color w:val="auto"/>
          <w:sz w:val="32"/>
          <w:szCs w:val="32"/>
          <w:u w:val="none"/>
        </w:rPr>
        <w:t>相关</w:t>
      </w:r>
      <w:r>
        <w:rPr>
          <w:rFonts w:hint="eastAsia" w:ascii="Times New Roman" w:hAnsi="Times New Roman" w:eastAsia="方正仿宋_GBK" w:cs="Times New Roman"/>
          <w:b w:val="0"/>
          <w:bCs w:val="0"/>
          <w:color w:val="auto"/>
          <w:sz w:val="32"/>
          <w:szCs w:val="32"/>
          <w:u w:val="none"/>
        </w:rPr>
        <w:t>救助政策。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rFonts w:hint="eastAsia" w:ascii="Times New Roman" w:hAnsi="楷体_GB2312" w:eastAsia="楷体_GB2312" w:cs="楷体_GB2312"/>
          <w:b/>
          <w:bCs/>
          <w:color w:val="auto"/>
          <w:sz w:val="32"/>
          <w:szCs w:val="32"/>
          <w:u w:val="no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color w:val="auto"/>
          <w:sz w:val="32"/>
          <w:szCs w:val="32"/>
          <w:u w:val="none"/>
        </w:rPr>
      </w:pPr>
      <w:r>
        <w:rPr>
          <w:rFonts w:hint="eastAsia" w:ascii="黑体" w:hAnsi="宋体" w:eastAsia="黑体" w:cs="黑体"/>
          <w:bCs/>
          <w:i w:val="0"/>
          <w:caps w:val="0"/>
          <w:color w:val="auto"/>
          <w:spacing w:val="0"/>
          <w:kern w:val="0"/>
          <w:sz w:val="32"/>
          <w:szCs w:val="32"/>
          <w:u w:val="none"/>
          <w:shd w:val="clear" w:fill="FFFFFF"/>
          <w:lang w:val="en-US" w:eastAsia="zh-CN" w:bidi="ar"/>
        </w:rPr>
        <w:t>第六章</w:t>
      </w:r>
      <w:r>
        <w:rPr>
          <w:rFonts w:hint="default" w:ascii="Times New Roman" w:hAnsi="Times New Roman" w:eastAsia="Microsoft YaHei" w:cs="Times New Roman"/>
          <w:bCs/>
          <w:i w:val="0"/>
          <w:caps w:val="0"/>
          <w:color w:val="auto"/>
          <w:spacing w:val="0"/>
          <w:kern w:val="0"/>
          <w:sz w:val="32"/>
          <w:szCs w:val="32"/>
          <w:u w:val="none"/>
          <w:shd w:val="clear" w:fill="FFFFFF"/>
          <w:lang w:val="en-US" w:eastAsia="zh-CN" w:bidi="ar"/>
        </w:rPr>
        <w:t>  </w:t>
      </w:r>
      <w:r>
        <w:rPr>
          <w:rFonts w:hint="eastAsia" w:ascii="黑体" w:hAnsi="宋体" w:eastAsia="黑体" w:cs="黑体"/>
          <w:bCs/>
          <w:i w:val="0"/>
          <w:caps w:val="0"/>
          <w:color w:val="auto"/>
          <w:spacing w:val="0"/>
          <w:kern w:val="0"/>
          <w:sz w:val="32"/>
          <w:szCs w:val="32"/>
          <w:u w:val="none"/>
          <w:shd w:val="clear" w:fill="FFFFFF"/>
          <w:lang w:val="en-US" w:eastAsia="zh-CN" w:bidi="ar"/>
        </w:rPr>
        <w:t>生活自理能力评估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pPr>
      <w:r>
        <w:rPr>
          <w:rFonts w:hint="eastAsia" w:ascii="Times New Roman" w:hAnsi="楷体_GB2312" w:eastAsia="楷体_GB2312" w:cs="楷体_GB2312"/>
          <w:b/>
          <w:bCs/>
          <w:color w:val="auto"/>
          <w:sz w:val="32"/>
          <w:szCs w:val="32"/>
          <w:u w:val="none"/>
          <w:lang w:val="en-US" w:eastAsia="zh-CN"/>
        </w:rPr>
        <w:t>第二十</w:t>
      </w:r>
      <w:r>
        <w:rPr>
          <w:rFonts w:hint="default" w:ascii="Times New Roman" w:hAnsi="楷体_GB2312" w:eastAsia="楷体_GB2312" w:cs="楷体_GB2312"/>
          <w:b/>
          <w:bCs/>
          <w:color w:val="auto"/>
          <w:sz w:val="32"/>
          <w:szCs w:val="32"/>
          <w:u w:val="none"/>
          <w:lang w:eastAsia="zh-CN"/>
        </w:rPr>
        <w:t>七</w:t>
      </w:r>
      <w:r>
        <w:rPr>
          <w:rFonts w:hint="eastAsia" w:ascii="Times New Roman" w:hAnsi="楷体_GB2312" w:eastAsia="楷体_GB2312" w:cs="楷体_GB2312"/>
          <w:b/>
          <w:bCs/>
          <w:color w:val="auto"/>
          <w:sz w:val="32"/>
          <w:szCs w:val="32"/>
          <w:u w:val="none"/>
          <w:lang w:val="en-US" w:eastAsia="zh-CN"/>
        </w:rPr>
        <w:t>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县级民政部门应当在乡镇人民政府（街道办事处）、村（居）民委员会协助下，对特困人员生活自理能力进行评估，并根据评估结果，确定特困人员应当享受的照料护理标准档次。有条件的地方，可以委托第三方机构开展特困人员生活自理能力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color w:val="auto"/>
          <w:sz w:val="32"/>
          <w:szCs w:val="32"/>
          <w:u w:val="none"/>
        </w:rPr>
      </w:pPr>
      <w:r>
        <w:rPr>
          <w:rFonts w:hint="eastAsia" w:ascii="Times New Roman" w:hAnsi="楷体_GB2312" w:eastAsia="楷体_GB2312" w:cs="楷体_GB2312"/>
          <w:b/>
          <w:bCs/>
          <w:color w:val="auto"/>
          <w:sz w:val="32"/>
          <w:szCs w:val="32"/>
          <w:u w:val="none"/>
          <w:lang w:val="en-US" w:eastAsia="zh-CN"/>
        </w:rPr>
        <w:t>第二十</w:t>
      </w:r>
      <w:r>
        <w:rPr>
          <w:rFonts w:hint="default" w:ascii="Times New Roman" w:hAnsi="楷体_GB2312" w:eastAsia="楷体_GB2312" w:cs="楷体_GB2312"/>
          <w:b/>
          <w:bCs/>
          <w:color w:val="auto"/>
          <w:sz w:val="32"/>
          <w:szCs w:val="32"/>
          <w:u w:val="none"/>
          <w:lang w:eastAsia="zh-CN"/>
        </w:rPr>
        <w:t>八</w:t>
      </w:r>
      <w:r>
        <w:rPr>
          <w:rFonts w:hint="eastAsia" w:ascii="Times New Roman" w:hAnsi="楷体_GB2312" w:eastAsia="楷体_GB2312" w:cs="楷体_GB2312"/>
          <w:b/>
          <w:bCs/>
          <w:color w:val="auto"/>
          <w:sz w:val="32"/>
          <w:szCs w:val="32"/>
          <w:u w:val="none"/>
          <w:lang w:val="en-US" w:eastAsia="zh-CN"/>
        </w:rPr>
        <w:t>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特困人员生活自理能力，一般依据以下6 项指标综合评估：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（一）自主吃饭；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（二）自主穿衣；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（三）自主上下床；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（四）自主如厕；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（五）室内自主行走；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（六）自主洗澡。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pPr>
      <w:r>
        <w:rPr>
          <w:rFonts w:hint="eastAsia" w:ascii="Times New Roman" w:hAnsi="楷体_GB2312" w:eastAsia="楷体_GB2312" w:cs="楷体_GB2312"/>
          <w:b/>
          <w:bCs/>
          <w:color w:val="auto"/>
          <w:sz w:val="32"/>
          <w:szCs w:val="32"/>
          <w:u w:val="none"/>
          <w:lang w:val="en-US" w:eastAsia="zh-CN"/>
        </w:rPr>
        <w:t>第二十</w:t>
      </w:r>
      <w:r>
        <w:rPr>
          <w:rFonts w:hint="default" w:ascii="Times New Roman" w:hAnsi="楷体_GB2312" w:eastAsia="楷体_GB2312" w:cs="楷体_GB2312"/>
          <w:b/>
          <w:bCs/>
          <w:color w:val="auto"/>
          <w:sz w:val="32"/>
          <w:szCs w:val="32"/>
          <w:u w:val="none"/>
          <w:lang w:eastAsia="zh-CN"/>
        </w:rPr>
        <w:t>九</w:t>
      </w:r>
      <w:r>
        <w:rPr>
          <w:rFonts w:hint="eastAsia" w:ascii="Times New Roman" w:hAnsi="楷体_GB2312" w:eastAsia="楷体_GB2312" w:cs="楷体_GB2312"/>
          <w:b/>
          <w:bCs/>
          <w:color w:val="auto"/>
          <w:sz w:val="32"/>
          <w:szCs w:val="32"/>
          <w:u w:val="none"/>
          <w:lang w:val="en-US" w:eastAsia="zh-CN"/>
        </w:rPr>
        <w:t>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根据本办法第二十七条规定内容，特困人员生活自理状况6项评估指标全部达到的，可以视为具备生活自理能力；有3项以下（含3项）指标不能达到的，可以视为部分丧失生活自理能力；有4项以上（含4项）指标不能达到的，可以视为完全丧失生活自理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highlight w:val="none"/>
          <w:u w:val="none"/>
          <w:shd w:val="clear" w:fill="FFFFFF"/>
        </w:rPr>
      </w:pPr>
      <w:r>
        <w:rPr>
          <w:rFonts w:hint="eastAsia" w:ascii="仿宋_GB2312" w:hAnsi="仿宋_GB2312" w:eastAsia="仿宋_GB2312" w:cs="仿宋_GB2312"/>
          <w:color w:val="auto"/>
          <w:sz w:val="32"/>
          <w:szCs w:val="32"/>
          <w:highlight w:val="none"/>
          <w:u w:val="none"/>
          <w:lang w:val="en-US" w:eastAsia="zh-CN"/>
        </w:rPr>
        <w:t>视力、听力、言语、肢体等残疾类别的特困人员，如能熟练使用辅助器具自主完成某一项评估指标的，视为具备该项生活自理能力。</w:t>
      </w:r>
      <w:r>
        <w:rPr>
          <w:rFonts w:hint="eastAsia" w:ascii="仿宋_GB2312" w:hAnsi="仿宋_GB2312" w:eastAsia="仿宋_GB2312" w:cs="仿宋_GB2312"/>
          <w:i w:val="0"/>
          <w:caps w:val="0"/>
          <w:color w:val="auto"/>
          <w:spacing w:val="0"/>
          <w:sz w:val="32"/>
          <w:szCs w:val="32"/>
          <w:highlight w:val="none"/>
          <w:u w:val="none"/>
          <w:shd w:val="clear" w:fill="FFFFFF"/>
        </w:rPr>
        <w:t>一、二级智力、精神残疾的特困人员，可直接认定为全失能。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pPr>
      <w:r>
        <w:rPr>
          <w:rFonts w:hint="eastAsia" w:ascii="Times New Roman" w:hAnsi="楷体_GB2312" w:eastAsia="楷体_GB2312" w:cs="楷体_GB2312"/>
          <w:b/>
          <w:bCs/>
          <w:color w:val="auto"/>
          <w:sz w:val="32"/>
          <w:szCs w:val="32"/>
          <w:u w:val="none"/>
          <w:lang w:val="en-US" w:eastAsia="zh-CN"/>
        </w:rPr>
        <w:t>第</w:t>
      </w:r>
      <w:r>
        <w:rPr>
          <w:rFonts w:hint="default" w:ascii="Times New Roman" w:hAnsi="楷体_GB2312" w:eastAsia="楷体_GB2312" w:cs="楷体_GB2312"/>
          <w:b/>
          <w:bCs/>
          <w:color w:val="auto"/>
          <w:sz w:val="32"/>
          <w:szCs w:val="32"/>
          <w:u w:val="none"/>
          <w:lang w:eastAsia="zh-CN"/>
        </w:rPr>
        <w:t>三十</w:t>
      </w:r>
      <w:r>
        <w:rPr>
          <w:rFonts w:hint="eastAsia" w:ascii="Times New Roman" w:hAnsi="楷体_GB2312" w:eastAsia="楷体_GB2312" w:cs="楷体_GB2312"/>
          <w:b/>
          <w:bCs/>
          <w:color w:val="auto"/>
          <w:sz w:val="32"/>
          <w:szCs w:val="32"/>
          <w:u w:val="none"/>
          <w:lang w:val="en-US" w:eastAsia="zh-CN"/>
        </w:rPr>
        <w:t>条  </w:t>
      </w:r>
      <w:r>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t>特困人员生活自理能力发生变化的，本人、照料服务人、村（居）民委员会或者供养服务机构应当通过乡镇人民政府（街道办事处）及时报告县级民政部门，县级民政部门应当自接到报告之日起10个工作日内组织复核评估，并根据评估结果及时调整特困人员生活自理能力认定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rFonts w:hint="eastAsia" w:ascii="仿宋_GB2312" w:hAnsi="仿宋_GB2312" w:eastAsia="仿宋_GB2312" w:cs="仿宋_GB2312"/>
          <w:bCs/>
          <w:i w:val="0"/>
          <w:caps w:val="0"/>
          <w:color w:val="auto"/>
          <w:spacing w:val="0"/>
          <w:kern w:val="0"/>
          <w:sz w:val="32"/>
          <w:szCs w:val="32"/>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color w:val="auto"/>
          <w:sz w:val="32"/>
          <w:szCs w:val="32"/>
          <w:u w:val="none"/>
        </w:rPr>
      </w:pPr>
      <w:r>
        <w:rPr>
          <w:rFonts w:hint="eastAsia" w:ascii="黑体" w:hAnsi="宋体" w:eastAsia="黑体" w:cs="黑体"/>
          <w:bCs/>
          <w:i w:val="0"/>
          <w:caps w:val="0"/>
          <w:color w:val="auto"/>
          <w:spacing w:val="0"/>
          <w:kern w:val="0"/>
          <w:sz w:val="32"/>
          <w:szCs w:val="32"/>
          <w:u w:val="none"/>
          <w:shd w:val="clear" w:fill="FFFFFF"/>
          <w:lang w:val="en-US" w:eastAsia="zh-CN" w:bidi="ar"/>
        </w:rPr>
        <w:t>第七章</w:t>
      </w:r>
      <w:r>
        <w:rPr>
          <w:rFonts w:hint="default" w:ascii="Times New Roman" w:hAnsi="Times New Roman" w:eastAsia="Microsoft YaHei" w:cs="Times New Roman"/>
          <w:bCs/>
          <w:i w:val="0"/>
          <w:caps w:val="0"/>
          <w:color w:val="auto"/>
          <w:spacing w:val="0"/>
          <w:kern w:val="0"/>
          <w:sz w:val="32"/>
          <w:szCs w:val="32"/>
          <w:u w:val="none"/>
          <w:shd w:val="clear" w:fill="FFFFFF"/>
          <w:lang w:val="en-US" w:eastAsia="zh-CN" w:bidi="ar"/>
        </w:rPr>
        <w:t>  </w:t>
      </w:r>
      <w:r>
        <w:rPr>
          <w:rFonts w:hint="eastAsia" w:ascii="黑体" w:hAnsi="宋体" w:eastAsia="黑体" w:cs="黑体"/>
          <w:bCs/>
          <w:i w:val="0"/>
          <w:caps w:val="0"/>
          <w:color w:val="auto"/>
          <w:spacing w:val="0"/>
          <w:kern w:val="0"/>
          <w:sz w:val="32"/>
          <w:szCs w:val="32"/>
          <w:u w:val="none"/>
          <w:shd w:val="clear" w:fill="FFFFFF"/>
          <w:lang w:val="en-US" w:eastAsia="zh-CN" w:bidi="ar"/>
        </w:rPr>
        <w:t>终止救助供养</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第三十</w:t>
      </w:r>
      <w:r>
        <w:rPr>
          <w:rFonts w:hint="default" w:ascii="Times New Roman" w:hAnsi="楷体_GB2312" w:eastAsia="楷体_GB2312" w:cs="楷体_GB2312"/>
          <w:b/>
          <w:bCs/>
          <w:color w:val="auto"/>
          <w:sz w:val="32"/>
          <w:szCs w:val="32"/>
          <w:u w:val="none"/>
        </w:rPr>
        <w:t>一</w:t>
      </w:r>
      <w:r>
        <w:rPr>
          <w:rFonts w:hint="eastAsia" w:ascii="Times New Roman" w:hAnsi="楷体_GB2312" w:eastAsia="楷体_GB2312" w:cs="楷体_GB2312"/>
          <w:b/>
          <w:bCs/>
          <w:color w:val="auto"/>
          <w:sz w:val="32"/>
          <w:szCs w:val="32"/>
          <w:u w:val="none"/>
        </w:rPr>
        <w:t xml:space="preserve">条  </w:t>
      </w:r>
      <w:r>
        <w:rPr>
          <w:rFonts w:hint="eastAsia" w:ascii="Times New Roman" w:hAnsi="Times New Roman" w:eastAsia="仿宋_GB2312" w:cs="仿宋_GB2312"/>
          <w:color w:val="auto"/>
          <w:sz w:val="32"/>
          <w:szCs w:val="32"/>
          <w:u w:val="none"/>
        </w:rPr>
        <w:t>特困人员有下列情形之一的，应当及时终止救助供养：</w:t>
      </w:r>
      <w:r>
        <w:rPr>
          <w:rFonts w:ascii="Times New Roman" w:hAnsi="Times New Roman" w:eastAsia="仿宋_GB2312" w:cs="Times New Roman"/>
          <w:color w:val="auto"/>
          <w:sz w:val="32"/>
          <w:szCs w:val="32"/>
          <w:u w:val="none"/>
        </w:rPr>
        <w:t xml:space="preserve"> </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（一）死亡或者被宣告死亡、被宣告失踪；</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（二）具备或者恢复劳动能力；</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（三）依法被判处刑罚，且在监狱服刑；</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（四）收入和财产状况不再符合本办法规定；</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（五）法定义务人具有了履行义务能力或者新增具有履行义务能力的法定义务人；</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（六）自愿申请退出救助供养。</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特困人员中的未成年人，可继续享有救助供养待遇至</w:t>
      </w:r>
      <w:r>
        <w:rPr>
          <w:rFonts w:ascii="Times New Roman" w:hAnsi="Times New Roman" w:eastAsia="仿宋_GB2312" w:cs="Times New Roman"/>
          <w:color w:val="auto"/>
          <w:sz w:val="32"/>
          <w:szCs w:val="32"/>
          <w:u w:val="none"/>
        </w:rPr>
        <w:t>18</w:t>
      </w:r>
      <w:r>
        <w:rPr>
          <w:rFonts w:hint="eastAsia" w:ascii="Times New Roman" w:hAnsi="Times New Roman" w:eastAsia="仿宋_GB2312" w:cs="仿宋_GB2312"/>
          <w:color w:val="auto"/>
          <w:sz w:val="32"/>
          <w:szCs w:val="32"/>
          <w:u w:val="none"/>
        </w:rPr>
        <w:t>周岁；年满</w:t>
      </w:r>
      <w:r>
        <w:rPr>
          <w:rFonts w:ascii="Times New Roman" w:hAnsi="Times New Roman" w:eastAsia="仿宋_GB2312" w:cs="Times New Roman"/>
          <w:color w:val="auto"/>
          <w:sz w:val="32"/>
          <w:szCs w:val="32"/>
          <w:u w:val="none"/>
        </w:rPr>
        <w:t>18</w:t>
      </w:r>
      <w:r>
        <w:rPr>
          <w:rFonts w:hint="eastAsia" w:ascii="Times New Roman" w:hAnsi="Times New Roman" w:eastAsia="仿宋_GB2312" w:cs="仿宋_GB2312"/>
          <w:color w:val="auto"/>
          <w:sz w:val="32"/>
          <w:szCs w:val="32"/>
          <w:u w:val="none"/>
        </w:rPr>
        <w:t>周岁仍在接受义务教育或者在普通高中、中等职业学校就读的，可继续享受救助供养待遇。</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第三十</w:t>
      </w:r>
      <w:r>
        <w:rPr>
          <w:rFonts w:hint="default" w:ascii="Times New Roman" w:hAnsi="楷体_GB2312" w:eastAsia="楷体_GB2312" w:cs="楷体_GB2312"/>
          <w:b/>
          <w:bCs/>
          <w:color w:val="auto"/>
          <w:sz w:val="32"/>
          <w:szCs w:val="32"/>
          <w:u w:val="none"/>
        </w:rPr>
        <w:t>二</w:t>
      </w:r>
      <w:r>
        <w:rPr>
          <w:rFonts w:hint="eastAsia" w:ascii="Times New Roman" w:hAnsi="楷体_GB2312" w:eastAsia="楷体_GB2312" w:cs="楷体_GB2312"/>
          <w:b/>
          <w:bCs/>
          <w:color w:val="auto"/>
          <w:sz w:val="32"/>
          <w:szCs w:val="32"/>
          <w:u w:val="none"/>
        </w:rPr>
        <w:t xml:space="preserve">条  </w:t>
      </w:r>
      <w:r>
        <w:rPr>
          <w:rFonts w:hint="eastAsia" w:ascii="Times New Roman" w:hAnsi="Times New Roman" w:eastAsia="仿宋_GB2312" w:cs="仿宋_GB2312"/>
          <w:color w:val="auto"/>
          <w:sz w:val="32"/>
          <w:szCs w:val="32"/>
          <w:u w:val="none"/>
        </w:rPr>
        <w:t>特困人员不再符合救助供养条件的，本人、照料服务人、村（居）民委员会或者供养服务机构应当在</w:t>
      </w:r>
      <w:r>
        <w:rPr>
          <w:rFonts w:ascii="Times New Roman" w:hAnsi="Times New Roman" w:eastAsia="仿宋_GB2312" w:cs="Times New Roman"/>
          <w:color w:val="auto"/>
          <w:sz w:val="32"/>
          <w:szCs w:val="32"/>
          <w:u w:val="none"/>
        </w:rPr>
        <w:t>30</w:t>
      </w:r>
      <w:r>
        <w:rPr>
          <w:rFonts w:hint="eastAsia" w:ascii="Times New Roman" w:hAnsi="Times New Roman" w:eastAsia="仿宋_GB2312" w:cs="仿宋_GB2312"/>
          <w:color w:val="auto"/>
          <w:sz w:val="32"/>
          <w:szCs w:val="32"/>
          <w:u w:val="none"/>
        </w:rPr>
        <w:t>日内告知乡镇人民政府（街道办事处），由乡镇人民政府（街道办事处）调查核实并报县级人民政府民政部门核准。</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县级人民政府民政部门、乡镇人民政府（街道办事处）在工作中发现特困人员不再符合救助供养条件的，应当及时按程序办理终止救助供养手续。</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第三十</w:t>
      </w:r>
      <w:r>
        <w:rPr>
          <w:rFonts w:hint="default" w:ascii="Times New Roman" w:hAnsi="楷体_GB2312" w:eastAsia="楷体_GB2312" w:cs="楷体_GB2312"/>
          <w:b/>
          <w:bCs/>
          <w:color w:val="auto"/>
          <w:sz w:val="32"/>
          <w:szCs w:val="32"/>
          <w:u w:val="none"/>
        </w:rPr>
        <w:t>三</w:t>
      </w:r>
      <w:r>
        <w:rPr>
          <w:rFonts w:hint="eastAsia" w:ascii="Times New Roman" w:hAnsi="楷体_GB2312" w:eastAsia="楷体_GB2312" w:cs="楷体_GB2312"/>
          <w:b/>
          <w:bCs/>
          <w:color w:val="auto"/>
          <w:sz w:val="32"/>
          <w:szCs w:val="32"/>
          <w:u w:val="none"/>
        </w:rPr>
        <w:t xml:space="preserve">条  </w:t>
      </w:r>
      <w:r>
        <w:rPr>
          <w:rFonts w:hint="eastAsia" w:ascii="Times New Roman" w:hAnsi="Times New Roman" w:eastAsia="仿宋_GB2312" w:cs="仿宋_GB2312"/>
          <w:color w:val="auto"/>
          <w:sz w:val="32"/>
          <w:szCs w:val="32"/>
          <w:u w:val="none"/>
        </w:rPr>
        <w:t>对拟终止救助供养的特困人员，县级人民政府民政部门应当通过乡镇人民政府（街道办事处），在其所在村（社区）或者供养服务机构公示，公示期为</w:t>
      </w:r>
      <w:r>
        <w:rPr>
          <w:rFonts w:ascii="Times New Roman" w:hAnsi="Times New Roman" w:eastAsia="仿宋_GB2312" w:cs="Times New Roman"/>
          <w:color w:val="auto"/>
          <w:sz w:val="32"/>
          <w:szCs w:val="32"/>
          <w:u w:val="none"/>
        </w:rPr>
        <w:t>7</w:t>
      </w:r>
      <w:r>
        <w:rPr>
          <w:rFonts w:hint="eastAsia" w:ascii="Times New Roman" w:hAnsi="Times New Roman" w:eastAsia="仿宋_GB2312" w:cs="仿宋_GB2312"/>
          <w:color w:val="auto"/>
          <w:sz w:val="32"/>
          <w:szCs w:val="32"/>
          <w:u w:val="none"/>
        </w:rPr>
        <w:t>天。</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公示期满无异议的，县级人民政府民政部门应当作出终止决定并从下月起终止发放救助供养金。对公示有异议的，县级人民政府民政部门应当组织调查核实，在</w:t>
      </w:r>
      <w:r>
        <w:rPr>
          <w:rFonts w:ascii="Times New Roman" w:hAnsi="Times New Roman" w:eastAsia="仿宋_GB2312" w:cs="Times New Roman"/>
          <w:color w:val="auto"/>
          <w:sz w:val="32"/>
          <w:szCs w:val="32"/>
          <w:u w:val="none"/>
        </w:rPr>
        <w:t>10</w:t>
      </w:r>
      <w:r>
        <w:rPr>
          <w:rFonts w:hint="eastAsia" w:ascii="Times New Roman" w:hAnsi="Times New Roman" w:eastAsia="仿宋_GB2312" w:cs="仿宋_GB2312"/>
          <w:color w:val="auto"/>
          <w:sz w:val="32"/>
          <w:szCs w:val="32"/>
          <w:u w:val="none"/>
        </w:rPr>
        <w:t>个工作日内作出是否终止救助供养决定，并重新公示。对决定终止救助供养的，应当通过乡镇人民政府（街道办事处）将终止理由书面告知当事人和村（居）民委员会或者供养服务机构。</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第三十</w:t>
      </w:r>
      <w:r>
        <w:rPr>
          <w:rFonts w:hint="default" w:ascii="Times New Roman" w:hAnsi="楷体_GB2312" w:eastAsia="楷体_GB2312" w:cs="楷体_GB2312"/>
          <w:b/>
          <w:bCs/>
          <w:color w:val="auto"/>
          <w:sz w:val="32"/>
          <w:szCs w:val="32"/>
          <w:u w:val="none"/>
        </w:rPr>
        <w:t>四</w:t>
      </w:r>
      <w:r>
        <w:rPr>
          <w:rFonts w:hint="eastAsia" w:ascii="Times New Roman" w:hAnsi="楷体_GB2312" w:eastAsia="楷体_GB2312" w:cs="楷体_GB2312"/>
          <w:b/>
          <w:bCs/>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对终止救助供养的原特困人员，符合最低生活保障、临时救助等其他社会救助条件的，应当按规定及时纳入相应救助范围。</w:t>
      </w:r>
      <w:r>
        <w:rPr>
          <w:rFonts w:ascii="Times New Roman" w:hAnsi="Times New Roman" w:eastAsia="仿宋_GB2312" w:cs="Times New Roman"/>
          <w:color w:val="auto"/>
          <w:sz w:val="32"/>
          <w:szCs w:val="32"/>
          <w:u w:val="none"/>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rFonts w:hint="eastAsia" w:ascii="黑体" w:hAnsi="宋体" w:eastAsia="黑体" w:cs="黑体"/>
          <w:bCs/>
          <w:i w:val="0"/>
          <w:caps w:val="0"/>
          <w:color w:val="auto"/>
          <w:spacing w:val="0"/>
          <w:kern w:val="0"/>
          <w:sz w:val="32"/>
          <w:szCs w:val="32"/>
          <w:u w:val="none"/>
          <w:shd w:val="clear" w:fill="FFFFFF"/>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黑体"/>
          <w:color w:val="auto"/>
          <w:sz w:val="32"/>
          <w:szCs w:val="32"/>
          <w:u w:val="none"/>
        </w:rPr>
      </w:pPr>
      <w:r>
        <w:rPr>
          <w:rFonts w:hint="eastAsia" w:ascii="Times New Roman" w:hAnsi="Times New Roman" w:eastAsia="黑体" w:cs="黑体"/>
          <w:color w:val="auto"/>
          <w:sz w:val="32"/>
          <w:szCs w:val="32"/>
          <w:u w:val="none"/>
        </w:rPr>
        <w:t>管理和监督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第三十</w:t>
      </w:r>
      <w:r>
        <w:rPr>
          <w:rFonts w:hint="default" w:ascii="Times New Roman" w:hAnsi="楷体_GB2312" w:eastAsia="楷体_GB2312" w:cs="楷体_GB2312"/>
          <w:b/>
          <w:bCs/>
          <w:color w:val="auto"/>
          <w:sz w:val="32"/>
          <w:szCs w:val="32"/>
          <w:u w:val="none"/>
        </w:rPr>
        <w:t>五</w:t>
      </w:r>
      <w:r>
        <w:rPr>
          <w:rFonts w:hint="eastAsia" w:ascii="Times New Roman" w:hAnsi="楷体_GB2312" w:eastAsia="楷体_GB2312" w:cs="楷体_GB2312"/>
          <w:b/>
          <w:bCs/>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申请人及其法定义务人应当积极配合县级人民政府民政部门和乡镇人民政府（街道办事处）开展的家庭经济状况调查、生活自理能力评估等认定工作，无正当理由拒不配合的，县级人民政府民政部门和乡镇人民政府（街道办事处）可以终止认定程序。</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仿宋_GB2312"/>
          <w:color w:val="auto"/>
          <w:sz w:val="32"/>
          <w:szCs w:val="32"/>
          <w:u w:val="none"/>
        </w:rPr>
      </w:pPr>
      <w:r>
        <w:rPr>
          <w:rFonts w:hint="eastAsia" w:ascii="Times New Roman" w:hAnsi="楷体_GB2312" w:eastAsia="楷体_GB2312" w:cs="楷体_GB2312"/>
          <w:b/>
          <w:bCs/>
          <w:color w:val="auto"/>
          <w:sz w:val="32"/>
          <w:szCs w:val="32"/>
          <w:u w:val="none"/>
        </w:rPr>
        <w:t>第三十</w:t>
      </w:r>
      <w:r>
        <w:rPr>
          <w:rFonts w:hint="default" w:ascii="Times New Roman" w:hAnsi="楷体_GB2312" w:eastAsia="楷体_GB2312" w:cs="楷体_GB2312"/>
          <w:b/>
          <w:bCs/>
          <w:color w:val="auto"/>
          <w:sz w:val="32"/>
          <w:szCs w:val="32"/>
          <w:u w:val="none"/>
        </w:rPr>
        <w:t>六</w:t>
      </w:r>
      <w:r>
        <w:rPr>
          <w:rFonts w:hint="eastAsia" w:ascii="Times New Roman" w:hAnsi="楷体_GB2312" w:eastAsia="楷体_GB2312" w:cs="楷体_GB2312"/>
          <w:b/>
          <w:bCs/>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乡镇人民政府（街道办事处）应当每年对特困人员的家庭经济状况核查一次，县级人民政府民政部门应当每年按不低于</w:t>
      </w:r>
      <w:r>
        <w:rPr>
          <w:rFonts w:ascii="Times New Roman" w:hAnsi="Times New Roman" w:eastAsia="仿宋_GB2312" w:cs="Times New Roman"/>
          <w:color w:val="auto"/>
          <w:sz w:val="32"/>
          <w:szCs w:val="32"/>
          <w:u w:val="none"/>
        </w:rPr>
        <w:t>30%</w:t>
      </w:r>
      <w:r>
        <w:rPr>
          <w:rFonts w:hint="eastAsia" w:ascii="Times New Roman" w:hAnsi="Times New Roman" w:eastAsia="仿宋_GB2312" w:cs="仿宋_GB2312"/>
          <w:color w:val="auto"/>
          <w:sz w:val="32"/>
          <w:szCs w:val="32"/>
          <w:u w:val="none"/>
        </w:rPr>
        <w:t>的比例对特困人员的家庭经济状况随机抽查一次，并根据核查情况决定继续或终止救助供养。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县级人民政府民政部门应当每年对特困人员的生活自理能力状况评估一次，并根据评估结果及时调整特困人员生活自理能力认定类别。</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第三十</w:t>
      </w:r>
      <w:r>
        <w:rPr>
          <w:rFonts w:hint="default" w:ascii="Times New Roman" w:hAnsi="楷体_GB2312" w:eastAsia="楷体_GB2312" w:cs="楷体_GB2312"/>
          <w:b/>
          <w:bCs/>
          <w:color w:val="auto"/>
          <w:sz w:val="32"/>
          <w:szCs w:val="32"/>
          <w:u w:val="none"/>
        </w:rPr>
        <w:t>七</w:t>
      </w:r>
      <w:r>
        <w:rPr>
          <w:rFonts w:hint="eastAsia" w:ascii="Times New Roman" w:hAnsi="楷体_GB2312" w:eastAsia="楷体_GB2312" w:cs="楷体_GB2312"/>
          <w:b/>
          <w:bCs/>
          <w:color w:val="auto"/>
          <w:sz w:val="32"/>
          <w:szCs w:val="32"/>
          <w:u w:val="none"/>
        </w:rPr>
        <w:t>条</w:t>
      </w:r>
      <w:r>
        <w:rPr>
          <w:rFonts w:ascii="Times New Roman" w:hAnsi="Times New Roman" w:eastAsia="楷体_GB2312" w:cs="Times New Roman"/>
          <w:b/>
          <w:bCs/>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特困人员及其法定义务人应当积极配合县级人民政府民政部门和乡镇人民政府（街道办事处）开展的抽查、核查、评估工作。连续两次无正当理由拒不配合，导致无法准确核查其家庭经济状况的，县级人民政府民政部门可以暂停其特困人员救助供养待遇。</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第三十</w:t>
      </w:r>
      <w:r>
        <w:rPr>
          <w:rFonts w:hint="default" w:ascii="Times New Roman" w:hAnsi="楷体_GB2312" w:eastAsia="楷体_GB2312" w:cs="楷体_GB2312"/>
          <w:b/>
          <w:bCs/>
          <w:color w:val="auto"/>
          <w:sz w:val="32"/>
          <w:szCs w:val="32"/>
          <w:u w:val="none"/>
        </w:rPr>
        <w:t>八</w:t>
      </w:r>
      <w:r>
        <w:rPr>
          <w:rFonts w:hint="eastAsia" w:ascii="Times New Roman" w:hAnsi="楷体_GB2312" w:eastAsia="楷体_GB2312" w:cs="楷体_GB2312"/>
          <w:b/>
          <w:bCs/>
          <w:color w:val="auto"/>
          <w:sz w:val="32"/>
          <w:szCs w:val="32"/>
          <w:u w:val="none"/>
        </w:rPr>
        <w:t>条</w:t>
      </w:r>
      <w:r>
        <w:rPr>
          <w:rFonts w:ascii="Times New Roman" w:hAnsi="Times New Roman" w:eastAsia="楷体_GB2312" w:cs="Times New Roman"/>
          <w:b/>
          <w:bCs/>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县级人民政府民政部门作出暂停特困人员救助供养待遇的决定，应当符合法定事由和规定程序，并通过乡镇人民政府（街道办事处）将暂停理由书面告知当事人、村（居）民委员会或者供养服务机构。</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第三十</w:t>
      </w:r>
      <w:r>
        <w:rPr>
          <w:rFonts w:hint="default" w:ascii="Times New Roman" w:hAnsi="楷体_GB2312" w:eastAsia="楷体_GB2312" w:cs="楷体_GB2312"/>
          <w:b/>
          <w:bCs/>
          <w:color w:val="auto"/>
          <w:sz w:val="32"/>
          <w:szCs w:val="32"/>
          <w:u w:val="none"/>
        </w:rPr>
        <w:t>九</w:t>
      </w:r>
      <w:r>
        <w:rPr>
          <w:rFonts w:hint="eastAsia" w:ascii="Times New Roman" w:hAnsi="楷体_GB2312" w:eastAsia="楷体_GB2312" w:cs="楷体_GB2312"/>
          <w:b/>
          <w:bCs/>
          <w:color w:val="auto"/>
          <w:sz w:val="32"/>
          <w:szCs w:val="32"/>
          <w:u w:val="none"/>
        </w:rPr>
        <w:t>条</w:t>
      </w:r>
      <w:r>
        <w:rPr>
          <w:rFonts w:ascii="Times New Roman" w:hAnsi="Times New Roman" w:eastAsia="楷体_GB2312" w:cs="Times New Roman"/>
          <w:b/>
          <w:bCs/>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特困人员救助供养标准城乡不一致的地区，对于拥有承包土地或者参加农村集体经济收益分配的特困人员，一般给予农村特困人员救助供养待遇。实施易地扶贫搬迁至城镇地区的，给予城市特困人员救助供养待遇。</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w:t>
      </w:r>
      <w:r>
        <w:rPr>
          <w:rFonts w:hint="default" w:ascii="Times New Roman" w:hAnsi="楷体_GB2312" w:eastAsia="楷体_GB2312" w:cs="楷体_GB2312"/>
          <w:b/>
          <w:bCs/>
          <w:color w:val="auto"/>
          <w:sz w:val="32"/>
          <w:szCs w:val="32"/>
          <w:u w:val="none"/>
        </w:rPr>
        <w:t>四十</w:t>
      </w:r>
      <w:r>
        <w:rPr>
          <w:rFonts w:hint="eastAsia" w:ascii="Times New Roman" w:hAnsi="楷体_GB2312" w:eastAsia="楷体_GB2312" w:cs="楷体_GB2312"/>
          <w:b/>
          <w:bCs/>
          <w:color w:val="auto"/>
          <w:sz w:val="32"/>
          <w:szCs w:val="32"/>
          <w:u w:val="none"/>
        </w:rPr>
        <w:t>条</w:t>
      </w:r>
      <w:r>
        <w:rPr>
          <w:rFonts w:ascii="Times New Roman" w:hAnsi="Times New Roman" w:eastAsia="楷体_GB2312" w:cs="Times New Roman"/>
          <w:b/>
          <w:bCs/>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特困人员基本生活标准应当不低于当地当年最低生活保障标准的</w:t>
      </w:r>
      <w:r>
        <w:rPr>
          <w:rFonts w:ascii="Times New Roman" w:hAnsi="Times New Roman" w:eastAsia="仿宋_GB2312" w:cs="Times New Roman"/>
          <w:color w:val="auto"/>
          <w:sz w:val="32"/>
          <w:szCs w:val="32"/>
          <w:u w:val="none"/>
        </w:rPr>
        <w:t>1.3</w:t>
      </w:r>
      <w:r>
        <w:rPr>
          <w:rFonts w:hint="eastAsia" w:ascii="Times New Roman" w:hAnsi="Times New Roman" w:eastAsia="仿宋_GB2312" w:cs="仿宋_GB2312"/>
          <w:color w:val="auto"/>
          <w:sz w:val="32"/>
          <w:szCs w:val="32"/>
          <w:u w:val="none"/>
        </w:rPr>
        <w:t>倍；照料护理标准分为全自理、半护理、全护理三档，应当分别按不低于当地上年度最低工资标准的十分之一、六分之一、三分之一测算安排照料护理费。</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县级人民政府民政部门统筹管理使用照料护理费，并根据实际情况确定特困人员照料护理费具体发放标准。照料护理费可用于购买特困人员日常生活照料护理服务、生病住院期间照料护理保险</w:t>
      </w:r>
      <w:r>
        <w:rPr>
          <w:rFonts w:hint="default" w:ascii="Times New Roman" w:hAnsi="Times New Roman" w:eastAsia="仿宋_GB2312" w:cs="仿宋_GB2312"/>
          <w:color w:val="auto"/>
          <w:sz w:val="32"/>
          <w:szCs w:val="32"/>
          <w:u w:val="none"/>
        </w:rPr>
        <w:t>或服务</w:t>
      </w:r>
      <w:r>
        <w:rPr>
          <w:rFonts w:hint="eastAsia" w:ascii="Times New Roman" w:hAnsi="Times New Roman" w:eastAsia="仿宋_GB2312" w:cs="仿宋_GB2312"/>
          <w:color w:val="auto"/>
          <w:sz w:val="32"/>
          <w:szCs w:val="32"/>
          <w:u w:val="none"/>
        </w:rPr>
        <w:t>等。</w:t>
      </w:r>
    </w:p>
    <w:p>
      <w:pPr>
        <w:keepNext w:val="0"/>
        <w:keepLines w:val="0"/>
        <w:pageBreakBefore w:val="0"/>
        <w:kinsoku/>
        <w:overflowPunct/>
        <w:topLinePunct w:val="0"/>
        <w:autoSpaceDE/>
        <w:bidi w:val="0"/>
        <w:adjustRightInd/>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仿宋_GB2312"/>
          <w:color w:val="auto"/>
          <w:sz w:val="32"/>
          <w:szCs w:val="32"/>
          <w:u w:val="none"/>
        </w:rPr>
        <w:t>特困人员基本生活费和照料护理费应当实行按月社会化发放。发放到个人账户的资金应当通过惠民惠农财政补贴资金</w:t>
      </w:r>
      <w:r>
        <w:rPr>
          <w:rFonts w:ascii="Times New Roman" w:hAnsi="Times New Roman" w:eastAsia="仿宋_GB2312" w:cs="Times New Roman"/>
          <w:color w:val="auto"/>
          <w:sz w:val="32"/>
          <w:szCs w:val="32"/>
          <w:u w:val="none"/>
        </w:rPr>
        <w:t>“</w:t>
      </w:r>
      <w:r>
        <w:rPr>
          <w:rFonts w:hint="eastAsia" w:ascii="Times New Roman" w:hAnsi="Times New Roman" w:eastAsia="仿宋_GB2312" w:cs="仿宋_GB2312"/>
          <w:color w:val="auto"/>
          <w:sz w:val="32"/>
          <w:szCs w:val="32"/>
          <w:u w:val="none"/>
        </w:rPr>
        <w:t>一卡通</w:t>
      </w:r>
      <w:r>
        <w:rPr>
          <w:rFonts w:ascii="Times New Roman" w:hAnsi="Times New Roman" w:eastAsia="仿宋_GB2312" w:cs="Times New Roman"/>
          <w:color w:val="auto"/>
          <w:sz w:val="32"/>
          <w:szCs w:val="32"/>
          <w:u w:val="none"/>
        </w:rPr>
        <w:t>”</w:t>
      </w:r>
      <w:r>
        <w:rPr>
          <w:rFonts w:hint="eastAsia" w:ascii="Times New Roman" w:hAnsi="Times New Roman" w:eastAsia="仿宋_GB2312" w:cs="仿宋_GB2312"/>
          <w:color w:val="auto"/>
          <w:sz w:val="32"/>
          <w:szCs w:val="32"/>
          <w:u w:val="none"/>
        </w:rPr>
        <w:t>账户进行拨付。</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第四十</w:t>
      </w:r>
      <w:r>
        <w:rPr>
          <w:rFonts w:hint="default" w:ascii="Times New Roman" w:hAnsi="楷体_GB2312" w:eastAsia="楷体_GB2312" w:cs="楷体_GB2312"/>
          <w:b/>
          <w:bCs/>
          <w:color w:val="auto"/>
          <w:sz w:val="32"/>
          <w:szCs w:val="32"/>
          <w:u w:val="none"/>
        </w:rPr>
        <w:t>一</w:t>
      </w:r>
      <w:r>
        <w:rPr>
          <w:rFonts w:hint="eastAsia" w:ascii="Times New Roman" w:hAnsi="楷体_GB2312" w:eastAsia="楷体_GB2312" w:cs="楷体_GB2312"/>
          <w:b/>
          <w:bCs/>
          <w:color w:val="auto"/>
          <w:sz w:val="32"/>
          <w:szCs w:val="32"/>
          <w:u w:val="none"/>
        </w:rPr>
        <w:t>条</w:t>
      </w:r>
      <w:r>
        <w:rPr>
          <w:rFonts w:ascii="Times New Roman" w:hAnsi="Times New Roman" w:eastAsia="楷体_GB2312" w:cs="Times New Roman"/>
          <w:b/>
          <w:bCs/>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乡镇人民政府（街道办事处）或村（居）民委员会相关工作人员代为保管用于领取救助供养金的银行卡或银行存折的，应当与特困人员本人或者其代理人签订书面协议并报县级人民政府民政部门备案。</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第四十</w:t>
      </w:r>
      <w:r>
        <w:rPr>
          <w:rFonts w:hint="default" w:ascii="Times New Roman" w:hAnsi="楷体_GB2312" w:eastAsia="楷体_GB2312" w:cs="楷体_GB2312"/>
          <w:b/>
          <w:bCs/>
          <w:color w:val="auto"/>
          <w:sz w:val="32"/>
          <w:szCs w:val="32"/>
          <w:u w:val="none"/>
        </w:rPr>
        <w:t>二</w:t>
      </w:r>
      <w:r>
        <w:rPr>
          <w:rFonts w:hint="eastAsia" w:ascii="Times New Roman" w:hAnsi="楷体_GB2312" w:eastAsia="楷体_GB2312" w:cs="楷体_GB2312"/>
          <w:b/>
          <w:bCs/>
          <w:color w:val="auto"/>
          <w:sz w:val="32"/>
          <w:szCs w:val="32"/>
          <w:u w:val="none"/>
        </w:rPr>
        <w:t>条</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特困人员丧葬费标准应当不高于当地当年特困人员一年的基本生活标准。所需资金从困难群众救助补助资金中列支，由举办丧事的村（居）民委员会或者供养服务机构或者特困人员近亲属提交特困人员死亡证明、火化证明和用于特困人员丧葬费用的正规发票凭证，报乡镇人民政府（街道办事处）审核、县级人民政府民政部门审批后据实报销。</w:t>
      </w:r>
    </w:p>
    <w:p>
      <w:pPr>
        <w:keepNext w:val="0"/>
        <w:keepLines w:val="0"/>
        <w:pageBreakBefore w:val="0"/>
        <w:kinsoku/>
        <w:overflowPunct/>
        <w:topLinePunct w:val="0"/>
        <w:autoSpaceDE/>
        <w:autoSpaceDN w:val="0"/>
        <w:bidi w:val="0"/>
        <w:adjustRightInd/>
        <w:snapToGrid/>
        <w:spacing w:line="600" w:lineRule="exact"/>
        <w:ind w:firstLine="64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第四十</w:t>
      </w:r>
      <w:r>
        <w:rPr>
          <w:rFonts w:hint="default" w:ascii="Times New Roman" w:hAnsi="楷体_GB2312" w:eastAsia="楷体_GB2312" w:cs="楷体_GB2312"/>
          <w:b/>
          <w:bCs/>
          <w:color w:val="auto"/>
          <w:sz w:val="32"/>
          <w:szCs w:val="32"/>
          <w:u w:val="none"/>
        </w:rPr>
        <w:t>三</w:t>
      </w:r>
      <w:r>
        <w:rPr>
          <w:rFonts w:hint="eastAsia" w:ascii="Times New Roman" w:hAnsi="楷体_GB2312" w:eastAsia="楷体_GB2312" w:cs="楷体_GB2312"/>
          <w:b/>
          <w:bCs/>
          <w:color w:val="auto"/>
          <w:sz w:val="32"/>
          <w:szCs w:val="32"/>
          <w:u w:val="none"/>
        </w:rPr>
        <w:t>条</w:t>
      </w:r>
      <w:r>
        <w:rPr>
          <w:rFonts w:ascii="Times New Roman" w:hAnsi="Times New Roman" w:eastAsia="楷体_GB2312" w:cs="Times New Roman"/>
          <w:b/>
          <w:bCs/>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ascii="Times New Roman" w:hAnsi="Times New Roman" w:eastAsia="仿宋_GB2312" w:cs="Times New Roman"/>
          <w:color w:val="auto"/>
          <w:sz w:val="32"/>
          <w:szCs w:val="32"/>
          <w:u w:val="none"/>
        </w:rPr>
        <w:t>市级</w:t>
      </w:r>
      <w:r>
        <w:rPr>
          <w:rFonts w:hint="eastAsia" w:ascii="Times New Roman" w:hAnsi="Times New Roman" w:eastAsia="仿宋_GB2312" w:cs="仿宋_GB2312"/>
          <w:color w:val="auto"/>
          <w:sz w:val="32"/>
          <w:szCs w:val="32"/>
          <w:u w:val="none"/>
        </w:rPr>
        <w:t>人民政府民政部门</w:t>
      </w:r>
      <w:r>
        <w:rPr>
          <w:rFonts w:hint="eastAsia" w:ascii="Times New Roman" w:hAnsi="Times New Roman" w:eastAsia="仿宋_GB2312" w:cs="仿宋_GB2312"/>
          <w:color w:val="auto"/>
          <w:sz w:val="32"/>
          <w:szCs w:val="32"/>
          <w:u w:val="none"/>
        </w:rPr>
        <w:t>应当对</w:t>
      </w:r>
      <w:r>
        <w:rPr>
          <w:rFonts w:hint="eastAsia" w:ascii="Times New Roman" w:hAnsi="Times New Roman" w:eastAsia="仿宋_GB2312" w:cs="仿宋_GB2312"/>
          <w:color w:val="auto"/>
          <w:sz w:val="32"/>
          <w:szCs w:val="32"/>
          <w:u w:val="none"/>
        </w:rPr>
        <w:t>全</w:t>
      </w:r>
      <w:r>
        <w:rPr>
          <w:rFonts w:hint="default" w:ascii="Times New Roman" w:hAnsi="Times New Roman" w:eastAsia="仿宋_GB2312" w:cs="仿宋_GB2312"/>
          <w:color w:val="auto"/>
          <w:sz w:val="32"/>
          <w:szCs w:val="32"/>
          <w:u w:val="none"/>
        </w:rPr>
        <w:t>市</w:t>
      </w:r>
      <w:r>
        <w:rPr>
          <w:rFonts w:hint="eastAsia" w:ascii="Times New Roman" w:hAnsi="Times New Roman" w:eastAsia="仿宋_GB2312" w:cs="仿宋_GB2312"/>
          <w:color w:val="auto"/>
          <w:sz w:val="32"/>
          <w:szCs w:val="32"/>
          <w:u w:val="none"/>
        </w:rPr>
        <w:t>特困人员认定工作进行抽查、检查和评估。</w:t>
      </w:r>
      <w:r>
        <w:rPr>
          <w:rFonts w:hint="eastAsia" w:ascii="Times New Roman" w:hAnsi="Times New Roman" w:eastAsia="仿宋_GB2312" w:cs="仿宋_GB2312"/>
          <w:color w:val="auto"/>
          <w:sz w:val="32"/>
          <w:szCs w:val="32"/>
          <w:u w:val="none"/>
        </w:rPr>
        <w:t>县</w:t>
      </w:r>
      <w:r>
        <w:rPr>
          <w:rFonts w:hint="default" w:ascii="Times New Roman" w:hAnsi="Times New Roman" w:eastAsia="仿宋_GB2312" w:cs="仿宋_GB2312"/>
          <w:color w:val="auto"/>
          <w:sz w:val="32"/>
          <w:szCs w:val="32"/>
          <w:u w:val="none"/>
        </w:rPr>
        <w:t>级</w:t>
      </w:r>
      <w:r>
        <w:rPr>
          <w:rFonts w:hint="eastAsia" w:ascii="Times New Roman" w:hAnsi="Times New Roman" w:eastAsia="仿宋_GB2312" w:cs="仿宋_GB2312"/>
          <w:color w:val="auto"/>
          <w:sz w:val="32"/>
          <w:szCs w:val="32"/>
          <w:u w:val="none"/>
        </w:rPr>
        <w:t>人民政府民政部</w:t>
      </w:r>
      <w:r>
        <w:rPr>
          <w:rFonts w:hint="eastAsia" w:ascii="Times New Roman" w:hAnsi="Times New Roman" w:eastAsia="仿宋_GB2312" w:cs="仿宋_GB2312"/>
          <w:color w:val="auto"/>
          <w:sz w:val="32"/>
          <w:szCs w:val="32"/>
          <w:u w:val="none"/>
        </w:rPr>
        <w:t>门</w:t>
      </w:r>
      <w:r>
        <w:rPr>
          <w:rFonts w:hint="eastAsia" w:ascii="Times New Roman" w:hAnsi="Times New Roman" w:eastAsia="仿宋_GB2312" w:cs="仿宋_GB2312"/>
          <w:color w:val="auto"/>
          <w:sz w:val="32"/>
          <w:szCs w:val="32"/>
          <w:u w:val="none"/>
        </w:rPr>
        <w:t>应当加强对特困人员认定工作的监督检查，建立和完善相关的监督检查制度，定期开展专项检查。鼓励通过政府购买服务聘请第三方机构参与评估、检查特困人员认定工作。</w:t>
      </w:r>
    </w:p>
    <w:p>
      <w:pPr>
        <w:keepNext w:val="0"/>
        <w:keepLines w:val="0"/>
        <w:pageBreakBefore w:val="0"/>
        <w:kinsoku/>
        <w:overflowPunct/>
        <w:topLinePunct w:val="0"/>
        <w:autoSpaceDE/>
        <w:bidi w:val="0"/>
        <w:adjustRightInd/>
        <w:snapToGrid/>
        <w:spacing w:line="600" w:lineRule="exact"/>
        <w:ind w:firstLine="642" w:firstLineChars="200"/>
        <w:textAlignment w:val="auto"/>
        <w:rPr>
          <w:rFonts w:ascii="Times New Roman" w:hAnsi="Times New Roman" w:eastAsia="仿宋_GB2312" w:cs="Times New Roman"/>
          <w:color w:val="auto"/>
          <w:sz w:val="32"/>
          <w:szCs w:val="32"/>
          <w:u w:val="none"/>
        </w:rPr>
      </w:pPr>
      <w:r>
        <w:rPr>
          <w:rFonts w:hint="eastAsia" w:ascii="Times New Roman" w:hAnsi="楷体_GB2312" w:eastAsia="楷体_GB2312" w:cs="楷体_GB2312"/>
          <w:b/>
          <w:bCs/>
          <w:color w:val="auto"/>
          <w:sz w:val="32"/>
          <w:szCs w:val="32"/>
          <w:u w:val="none"/>
        </w:rPr>
        <w:t>第四十</w:t>
      </w:r>
      <w:r>
        <w:rPr>
          <w:rFonts w:hint="default" w:ascii="Times New Roman" w:hAnsi="楷体_GB2312" w:eastAsia="楷体_GB2312" w:cs="楷体_GB2312"/>
          <w:b/>
          <w:bCs/>
          <w:color w:val="auto"/>
          <w:sz w:val="32"/>
          <w:szCs w:val="32"/>
          <w:u w:val="none"/>
        </w:rPr>
        <w:t>四</w:t>
      </w:r>
      <w:r>
        <w:rPr>
          <w:rFonts w:hint="eastAsia" w:ascii="Times New Roman" w:hAnsi="楷体_GB2312" w:eastAsia="楷体_GB2312" w:cs="楷体_GB2312"/>
          <w:b/>
          <w:bCs/>
          <w:color w:val="auto"/>
          <w:sz w:val="32"/>
          <w:szCs w:val="32"/>
          <w:u w:val="none"/>
        </w:rPr>
        <w:t>条</w:t>
      </w:r>
      <w:r>
        <w:rPr>
          <w:rFonts w:ascii="Times New Roman" w:hAnsi="Times New Roman" w:eastAsia="楷体_GB2312" w:cs="Times New Roman"/>
          <w:b/>
          <w:bCs/>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县级以上人民政府民政部门要依托</w:t>
      </w:r>
      <w:r>
        <w:rPr>
          <w:rFonts w:ascii="Times New Roman" w:hAnsi="Times New Roman" w:eastAsia="仿宋_GB2312" w:cs="Times New Roman"/>
          <w:color w:val="auto"/>
          <w:sz w:val="32"/>
          <w:szCs w:val="32"/>
          <w:u w:val="none"/>
        </w:rPr>
        <w:t>12345</w:t>
      </w:r>
      <w:r>
        <w:rPr>
          <w:rFonts w:hint="eastAsia" w:ascii="Times New Roman" w:hAnsi="Times New Roman" w:eastAsia="仿宋_GB2312" w:cs="仿宋_GB2312"/>
          <w:color w:val="auto"/>
          <w:sz w:val="32"/>
          <w:szCs w:val="32"/>
          <w:u w:val="none"/>
        </w:rPr>
        <w:t>政务服务便民热线，受理业务咨询、求助、投诉举报和意见建议，并按要求办结、落实和反馈，接受社会和群众对特困人员认定工作的监督。</w:t>
      </w:r>
    </w:p>
    <w:p>
      <w:pPr>
        <w:keepNext w:val="0"/>
        <w:keepLines w:val="0"/>
        <w:pageBreakBefore w:val="0"/>
        <w:kinsoku/>
        <w:overflowPunct/>
        <w:topLinePunct w:val="0"/>
        <w:autoSpaceDE/>
        <w:bidi w:val="0"/>
        <w:adjustRightInd/>
        <w:snapToGrid/>
        <w:spacing w:line="600" w:lineRule="exact"/>
        <w:ind w:firstLine="642" w:firstLineChars="200"/>
        <w:textAlignment w:val="auto"/>
        <w:rPr>
          <w:rFonts w:hint="eastAsia" w:ascii="Times New Roman" w:hAnsi="Times New Roman" w:eastAsia="仿宋_GB2312" w:cs="仿宋_GB2312"/>
          <w:color w:val="auto"/>
          <w:sz w:val="32"/>
          <w:szCs w:val="32"/>
          <w:u w:val="none"/>
        </w:rPr>
      </w:pPr>
      <w:r>
        <w:rPr>
          <w:rFonts w:hint="eastAsia" w:ascii="Times New Roman" w:hAnsi="楷体_GB2312" w:eastAsia="楷体_GB2312" w:cs="楷体_GB2312"/>
          <w:b/>
          <w:bCs/>
          <w:color w:val="auto"/>
          <w:sz w:val="32"/>
          <w:szCs w:val="32"/>
          <w:u w:val="none"/>
        </w:rPr>
        <w:t>第四十</w:t>
      </w:r>
      <w:r>
        <w:rPr>
          <w:rFonts w:hint="default" w:ascii="Times New Roman" w:hAnsi="楷体_GB2312" w:eastAsia="楷体_GB2312" w:cs="楷体_GB2312"/>
          <w:b/>
          <w:bCs/>
          <w:color w:val="auto"/>
          <w:sz w:val="32"/>
          <w:szCs w:val="32"/>
          <w:u w:val="none"/>
        </w:rPr>
        <w:t>五</w:t>
      </w:r>
      <w:r>
        <w:rPr>
          <w:rFonts w:hint="eastAsia" w:ascii="Times New Roman" w:hAnsi="楷体_GB2312" w:eastAsia="楷体_GB2312" w:cs="楷体_GB2312"/>
          <w:b/>
          <w:bCs/>
          <w:color w:val="auto"/>
          <w:sz w:val="32"/>
          <w:szCs w:val="32"/>
          <w:u w:val="none"/>
        </w:rPr>
        <w:t>条</w:t>
      </w:r>
      <w:r>
        <w:rPr>
          <w:rFonts w:ascii="Times New Roman" w:hAnsi="Times New Roman" w:eastAsia="楷体_GB2312" w:cs="Times New Roman"/>
          <w:b/>
          <w:bCs/>
          <w:color w:val="auto"/>
          <w:sz w:val="32"/>
          <w:szCs w:val="32"/>
          <w:u w:val="none"/>
        </w:rPr>
        <w:t xml:space="preserve"> </w:t>
      </w:r>
      <w:r>
        <w:rPr>
          <w:rFonts w:ascii="Times New Roman" w:hAnsi="Times New Roman" w:eastAsia="仿宋_GB2312" w:cs="Times New Roman"/>
          <w:color w:val="auto"/>
          <w:sz w:val="32"/>
          <w:szCs w:val="32"/>
          <w:u w:val="none"/>
        </w:rPr>
        <w:t xml:space="preserve"> </w:t>
      </w:r>
      <w:r>
        <w:rPr>
          <w:rFonts w:hint="eastAsia" w:ascii="Times New Roman" w:hAnsi="Times New Roman" w:eastAsia="仿宋_GB2312" w:cs="仿宋_GB2312"/>
          <w:color w:val="auto"/>
          <w:sz w:val="32"/>
          <w:szCs w:val="32"/>
          <w:u w:val="none"/>
        </w:rPr>
        <w:t>各级人民政府民政部门应当加强对社会救助工作人员的教育培训，不断提高工作人员队伍素质和业务水平。从事特困人员救助供养工作的人员应当认真履行工作职责，不利用职权谋取私利。一经发现存在滥用职权、玩忽职守、徇私舞弊、失职渎职等行为的，应当依法依规追究相关责任。对秉持公心、履职尽责但因客观原因出现失误偏差且能够及时纠正的，依法依规免于问责。</w:t>
      </w:r>
    </w:p>
    <w:p>
      <w:pPr>
        <w:keepNext w:val="0"/>
        <w:keepLines w:val="0"/>
        <w:pageBreakBefore w:val="0"/>
        <w:kinsoku/>
        <w:overflowPunct/>
        <w:topLinePunct w:val="0"/>
        <w:autoSpaceDE/>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u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jc w:val="center"/>
        <w:textAlignment w:val="auto"/>
        <w:rPr>
          <w:color w:val="auto"/>
          <w:sz w:val="32"/>
          <w:szCs w:val="32"/>
          <w:u w:val="none"/>
        </w:rPr>
      </w:pPr>
      <w:r>
        <w:rPr>
          <w:rFonts w:hint="eastAsia" w:ascii="黑体" w:hAnsi="宋体" w:eastAsia="黑体" w:cs="黑体"/>
          <w:bCs/>
          <w:i w:val="0"/>
          <w:caps w:val="0"/>
          <w:color w:val="auto"/>
          <w:spacing w:val="0"/>
          <w:kern w:val="0"/>
          <w:sz w:val="32"/>
          <w:szCs w:val="32"/>
          <w:u w:val="none"/>
          <w:shd w:val="clear" w:fill="FFFFFF"/>
          <w:lang w:val="en-US" w:eastAsia="zh-CN" w:bidi="ar"/>
        </w:rPr>
        <w:t>第九章</w:t>
      </w:r>
      <w:r>
        <w:rPr>
          <w:rFonts w:hint="default" w:ascii="Times New Roman" w:hAnsi="Times New Roman" w:eastAsia="Microsoft YaHei" w:cs="Times New Roman"/>
          <w:bCs/>
          <w:i w:val="0"/>
          <w:caps w:val="0"/>
          <w:color w:val="auto"/>
          <w:spacing w:val="0"/>
          <w:kern w:val="0"/>
          <w:sz w:val="32"/>
          <w:szCs w:val="32"/>
          <w:u w:val="none"/>
          <w:shd w:val="clear" w:fill="FFFFFF"/>
          <w:lang w:val="en-US" w:eastAsia="zh-CN" w:bidi="ar"/>
        </w:rPr>
        <w:t>  </w:t>
      </w:r>
      <w:r>
        <w:rPr>
          <w:rFonts w:hint="eastAsia" w:ascii="黑体" w:hAnsi="宋体" w:eastAsia="黑体" w:cs="黑体"/>
          <w:bCs/>
          <w:i w:val="0"/>
          <w:caps w:val="0"/>
          <w:color w:val="auto"/>
          <w:spacing w:val="0"/>
          <w:kern w:val="0"/>
          <w:sz w:val="32"/>
          <w:szCs w:val="32"/>
          <w:u w:val="none"/>
          <w:shd w:val="clear" w:fill="FFFFFF"/>
          <w:lang w:val="en-US" w:eastAsia="zh-CN" w:bidi="ar"/>
        </w:rPr>
        <w:t>附</w:t>
      </w:r>
      <w:r>
        <w:rPr>
          <w:rFonts w:hint="default" w:ascii="Times New Roman" w:hAnsi="Times New Roman" w:eastAsia="Microsoft YaHei" w:cs="Times New Roman"/>
          <w:bCs/>
          <w:i w:val="0"/>
          <w:caps w:val="0"/>
          <w:color w:val="auto"/>
          <w:spacing w:val="0"/>
          <w:kern w:val="0"/>
          <w:sz w:val="32"/>
          <w:szCs w:val="32"/>
          <w:u w:val="none"/>
          <w:shd w:val="clear" w:fill="FFFFFF"/>
          <w:lang w:val="en-US" w:eastAsia="zh-CN" w:bidi="ar"/>
        </w:rPr>
        <w:t>  </w:t>
      </w:r>
      <w:r>
        <w:rPr>
          <w:rFonts w:hint="eastAsia" w:ascii="黑体" w:hAnsi="宋体" w:eastAsia="黑体" w:cs="黑体"/>
          <w:bCs/>
          <w:i w:val="0"/>
          <w:caps w:val="0"/>
          <w:color w:val="auto"/>
          <w:spacing w:val="0"/>
          <w:kern w:val="0"/>
          <w:sz w:val="32"/>
          <w:szCs w:val="32"/>
          <w:u w:val="none"/>
          <w:shd w:val="clear" w:fill="FFFFFF"/>
          <w:lang w:val="en-US" w:eastAsia="zh-CN" w:bidi="ar"/>
        </w:rPr>
        <w:t>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color w:val="auto"/>
          <w:sz w:val="32"/>
          <w:szCs w:val="32"/>
          <w:u w:val="none"/>
        </w:rPr>
      </w:pPr>
      <w:r>
        <w:rPr>
          <w:rFonts w:hint="eastAsia" w:ascii="Times New Roman" w:hAnsi="楷体_GB2312" w:eastAsia="楷体_GB2312" w:cs="楷体_GB2312"/>
          <w:b/>
          <w:bCs/>
          <w:color w:val="auto"/>
          <w:sz w:val="32"/>
          <w:szCs w:val="32"/>
          <w:u w:val="none"/>
          <w:lang w:val="en-US" w:eastAsia="zh-CN"/>
        </w:rPr>
        <w:t>第四十</w:t>
      </w:r>
      <w:r>
        <w:rPr>
          <w:rFonts w:hint="default" w:ascii="Times New Roman" w:hAnsi="楷体_GB2312" w:eastAsia="楷体_GB2312" w:cs="楷体_GB2312"/>
          <w:b/>
          <w:bCs/>
          <w:color w:val="auto"/>
          <w:sz w:val="32"/>
          <w:szCs w:val="32"/>
          <w:u w:val="none"/>
          <w:lang w:eastAsia="zh-CN"/>
        </w:rPr>
        <w:t>六</w:t>
      </w:r>
      <w:r>
        <w:rPr>
          <w:rFonts w:hint="eastAsia" w:ascii="Times New Roman" w:hAnsi="楷体_GB2312" w:eastAsia="楷体_GB2312" w:cs="楷体_GB2312"/>
          <w:b/>
          <w:bCs/>
          <w:color w:val="auto"/>
          <w:sz w:val="32"/>
          <w:szCs w:val="32"/>
          <w:u w:val="none"/>
          <w:lang w:val="en-US" w:eastAsia="zh-CN"/>
        </w:rPr>
        <w:t>条</w:t>
      </w:r>
      <w:r>
        <w:rPr>
          <w:rFonts w:hint="default" w:ascii="Times New Roman" w:hAnsi="楷体_GB2312" w:eastAsia="楷体_GB2312" w:cs="楷体_GB2312"/>
          <w:b/>
          <w:bCs/>
          <w:color w:val="auto"/>
          <w:sz w:val="32"/>
          <w:szCs w:val="32"/>
          <w:u w:val="none"/>
          <w:lang w:val="en-US" w:eastAsia="zh-CN"/>
        </w:rPr>
        <w:t>  </w:t>
      </w:r>
      <w:r>
        <w:rPr>
          <w:rFonts w:hint="eastAsia" w:ascii="仿宋_GB2312" w:hAnsi="仿宋_GB2312" w:eastAsia="仿宋_GB2312" w:cs="仿宋_GB2312"/>
          <w:i w:val="0"/>
          <w:caps w:val="0"/>
          <w:color w:val="auto"/>
          <w:spacing w:val="0"/>
          <w:sz w:val="32"/>
          <w:szCs w:val="32"/>
          <w:u w:val="none"/>
        </w:rPr>
        <w:t>县级人民政府民政部门可以根据本办法，</w:t>
      </w:r>
      <w:r>
        <w:rPr>
          <w:rFonts w:hint="eastAsia" w:ascii="Times New Roman" w:hAnsi="Times New Roman" w:eastAsia="仿宋_GB2312" w:cs="仿宋_GB2312"/>
          <w:color w:val="auto"/>
          <w:sz w:val="32"/>
          <w:szCs w:val="32"/>
          <w:u w:val="none"/>
        </w:rPr>
        <w:t>结合本地实际，制定实施细则</w:t>
      </w:r>
      <w:r>
        <w:rPr>
          <w:rFonts w:hint="eastAsia" w:ascii="Times New Roman" w:hAnsi="Times New Roman" w:eastAsia="仿宋_GB2312" w:cs="仿宋_GB2312"/>
          <w:color w:val="auto"/>
          <w:sz w:val="32"/>
          <w:szCs w:val="32"/>
          <w:u w:val="none"/>
        </w:rPr>
        <w:t>，</w:t>
      </w:r>
      <w:r>
        <w:rPr>
          <w:rFonts w:hint="eastAsia" w:ascii="仿宋_GB2312" w:hAnsi="仿宋_GB2312" w:eastAsia="仿宋_GB2312" w:cs="仿宋_GB2312"/>
          <w:i w:val="0"/>
          <w:caps w:val="0"/>
          <w:color w:val="auto"/>
          <w:spacing w:val="0"/>
          <w:sz w:val="32"/>
          <w:szCs w:val="32"/>
          <w:u w:val="none"/>
        </w:rPr>
        <w:t>并报市级人民政府民政部门备案。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3"/>
        <w:jc w:val="both"/>
        <w:textAlignment w:val="auto"/>
        <w:rPr>
          <w:color w:val="auto"/>
          <w:sz w:val="32"/>
          <w:szCs w:val="32"/>
          <w:u w:val="none"/>
        </w:rPr>
      </w:pPr>
      <w:r>
        <w:rPr>
          <w:rFonts w:hint="eastAsia" w:ascii="Times New Roman" w:hAnsi="楷体_GB2312" w:eastAsia="楷体_GB2312" w:cs="楷体_GB2312"/>
          <w:b/>
          <w:bCs/>
          <w:color w:val="auto"/>
          <w:sz w:val="32"/>
          <w:szCs w:val="32"/>
          <w:u w:val="none"/>
          <w:lang w:val="en-US" w:eastAsia="zh-CN"/>
        </w:rPr>
        <w:t>第四十</w:t>
      </w:r>
      <w:r>
        <w:rPr>
          <w:rFonts w:hint="default" w:ascii="Times New Roman" w:hAnsi="楷体_GB2312" w:eastAsia="楷体_GB2312" w:cs="楷体_GB2312"/>
          <w:b/>
          <w:bCs/>
          <w:color w:val="auto"/>
          <w:sz w:val="32"/>
          <w:szCs w:val="32"/>
          <w:u w:val="none"/>
          <w:lang w:eastAsia="zh-CN"/>
        </w:rPr>
        <w:t>七</w:t>
      </w:r>
      <w:r>
        <w:rPr>
          <w:rFonts w:hint="eastAsia" w:ascii="Times New Roman" w:hAnsi="楷体_GB2312" w:eastAsia="楷体_GB2312" w:cs="楷体_GB2312"/>
          <w:b/>
          <w:bCs/>
          <w:color w:val="auto"/>
          <w:sz w:val="32"/>
          <w:szCs w:val="32"/>
          <w:u w:val="none"/>
          <w:lang w:val="en-US" w:eastAsia="zh-CN"/>
        </w:rPr>
        <w:t>条</w:t>
      </w:r>
      <w:r>
        <w:rPr>
          <w:rFonts w:hint="default" w:ascii="Times New Roman" w:hAnsi="楷体_GB2312" w:eastAsia="楷体_GB2312" w:cs="楷体_GB2312"/>
          <w:b/>
          <w:bCs/>
          <w:color w:val="auto"/>
          <w:sz w:val="32"/>
          <w:szCs w:val="32"/>
          <w:u w:val="none"/>
          <w:lang w:val="en-US" w:eastAsia="zh-CN"/>
        </w:rPr>
        <w:t>  </w:t>
      </w:r>
      <w:r>
        <w:rPr>
          <w:rFonts w:hint="eastAsia" w:ascii="仿宋_GB2312" w:hAnsi="仿宋_GB2312" w:eastAsia="仿宋_GB2312" w:cs="仿宋_GB2312"/>
          <w:i w:val="0"/>
          <w:caps w:val="0"/>
          <w:color w:val="auto"/>
          <w:spacing w:val="0"/>
          <w:sz w:val="32"/>
          <w:szCs w:val="32"/>
          <w:u w:val="none"/>
        </w:rPr>
        <w:t>本办法自2022年</w:t>
      </w:r>
      <w:r>
        <w:rPr>
          <w:rFonts w:hint="default" w:ascii="仿宋_GB2312" w:hAnsi="仿宋_GB2312" w:eastAsia="仿宋_GB2312" w:cs="仿宋_GB2312"/>
          <w:i w:val="0"/>
          <w:caps w:val="0"/>
          <w:color w:val="auto"/>
          <w:spacing w:val="0"/>
          <w:sz w:val="32"/>
          <w:szCs w:val="32"/>
          <w:u w:val="none"/>
        </w:rPr>
        <w:t xml:space="preserve">  </w:t>
      </w:r>
      <w:r>
        <w:rPr>
          <w:rFonts w:hint="eastAsia" w:ascii="仿宋_GB2312" w:hAnsi="仿宋_GB2312" w:eastAsia="仿宋_GB2312" w:cs="仿宋_GB2312"/>
          <w:i w:val="0"/>
          <w:caps w:val="0"/>
          <w:color w:val="auto"/>
          <w:spacing w:val="0"/>
          <w:sz w:val="32"/>
          <w:szCs w:val="32"/>
          <w:u w:val="none"/>
        </w:rPr>
        <w:t>月</w:t>
      </w:r>
      <w:r>
        <w:rPr>
          <w:rFonts w:hint="default" w:ascii="仿宋_GB2312" w:hAnsi="仿宋_GB2312" w:eastAsia="仿宋_GB2312" w:cs="仿宋_GB2312"/>
          <w:i w:val="0"/>
          <w:caps w:val="0"/>
          <w:color w:val="auto"/>
          <w:spacing w:val="0"/>
          <w:sz w:val="32"/>
          <w:szCs w:val="32"/>
          <w:u w:val="none"/>
        </w:rPr>
        <w:t xml:space="preserve">  </w:t>
      </w:r>
      <w:r>
        <w:rPr>
          <w:rFonts w:hint="eastAsia" w:ascii="仿宋_GB2312" w:hAnsi="仿宋_GB2312" w:eastAsia="仿宋_GB2312" w:cs="仿宋_GB2312"/>
          <w:i w:val="0"/>
          <w:caps w:val="0"/>
          <w:color w:val="auto"/>
          <w:spacing w:val="0"/>
          <w:sz w:val="32"/>
          <w:szCs w:val="32"/>
          <w:u w:val="none"/>
        </w:rPr>
        <w:t>日起施行。</w:t>
      </w:r>
    </w:p>
    <w:p>
      <w:pPr>
        <w:keepNext w:val="0"/>
        <w:keepLines w:val="0"/>
        <w:pageBreakBefore w:val="0"/>
        <w:kinsoku/>
        <w:overflowPunct/>
        <w:topLinePunct w:val="0"/>
        <w:autoSpaceDE/>
        <w:autoSpaceDN/>
        <w:bidi w:val="0"/>
        <w:adjustRightInd/>
        <w:snapToGrid/>
        <w:spacing w:beforeAutospacing="0" w:line="600" w:lineRule="exact"/>
        <w:ind w:right="0"/>
        <w:textAlignment w:val="auto"/>
        <w:rPr>
          <w:color w:val="auto"/>
          <w:sz w:val="32"/>
          <w:szCs w:val="32"/>
          <w:u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Microsoft YaHei">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2F7B76"/>
    <w:multiLevelType w:val="singleLevel"/>
    <w:tmpl w:val="FF2F7B76"/>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22BF9CB0"/>
    <w:rsid w:val="37FA3FE5"/>
    <w:rsid w:val="3FBF21B1"/>
    <w:rsid w:val="5F76EDAD"/>
    <w:rsid w:val="5FBF98ED"/>
    <w:rsid w:val="5FFBA43C"/>
    <w:rsid w:val="5FFBDB87"/>
    <w:rsid w:val="67FF069B"/>
    <w:rsid w:val="69FF8AE0"/>
    <w:rsid w:val="76F77857"/>
    <w:rsid w:val="77BF37DD"/>
    <w:rsid w:val="7DEFC7AA"/>
    <w:rsid w:val="7EB719E4"/>
    <w:rsid w:val="9BA2E40C"/>
    <w:rsid w:val="A1DBE29F"/>
    <w:rsid w:val="AFFF0A54"/>
    <w:rsid w:val="BBB9EC78"/>
    <w:rsid w:val="BF7E1EE5"/>
    <w:rsid w:val="BFF2BF7D"/>
    <w:rsid w:val="DFFB7510"/>
    <w:rsid w:val="EA6CA43C"/>
    <w:rsid w:val="EEFD356D"/>
    <w:rsid w:val="F9EF9245"/>
    <w:rsid w:val="FB3EC181"/>
    <w:rsid w:val="FDCB6BD8"/>
    <w:rsid w:val="FDFA9C09"/>
    <w:rsid w:val="FEE79E2D"/>
    <w:rsid w:val="FEFEAF73"/>
    <w:rsid w:val="FF9F92F4"/>
    <w:rsid w:val="FFCE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Hyperlink"/>
    <w:basedOn w:val="7"/>
    <w:semiHidden/>
    <w:unhideWhenUsed/>
    <w:qFormat/>
    <w:uiPriority w:val="99"/>
    <w:rPr>
      <w:color w:val="0000FF"/>
      <w:u w:val="single"/>
    </w:rPr>
  </w:style>
  <w:style w:type="paragraph" w:customStyle="1" w:styleId="9">
    <w:name w:val="样式1"/>
    <w:basedOn w:val="1"/>
    <w:link w:val="10"/>
    <w:qFormat/>
    <w:uiPriority w:val="0"/>
    <w:rPr>
      <w:b/>
      <w:color w:val="548235" w:themeColor="accent6" w:themeShade="BF"/>
      <w:sz w:val="28"/>
    </w:rPr>
  </w:style>
  <w:style w:type="character" w:customStyle="1" w:styleId="10">
    <w:name w:val="样式1 Char"/>
    <w:basedOn w:val="7"/>
    <w:link w:val="9"/>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20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2020-05-09T22:11:00Z</dcterms:created>
  <dc:creator>User274</dc:creator>
  <cp:lastModifiedBy>杨巍巍</cp:lastModifiedBy>
  <cp:lastPrinted>2022-07-09T22:56:00Z</cp:lastPrinted>
  <dcterms:modified xsi:type="dcterms:W3CDTF">2022-07-28T16:31:52Z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