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214E"/>
    <w:p w14:paraId="730C540C">
      <w:pPr>
        <w:ind w:firstLine="480" w:firstLineChars="100"/>
        <w:jc w:val="both"/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永州市零陵花鼓戏剧团</w:t>
      </w:r>
    </w:p>
    <w:p w14:paraId="66C7B621">
      <w:pPr>
        <w:jc w:val="center"/>
        <w:rPr>
          <w:rFonts w:eastAsia="黑体"/>
          <w:sz w:val="36"/>
          <w:szCs w:val="36"/>
        </w:rPr>
      </w:pPr>
      <w:r>
        <w:rPr>
          <w:rFonts w:eastAsia="方正小标宋_GBK"/>
          <w:sz w:val="48"/>
          <w:szCs w:val="48"/>
        </w:rPr>
        <w:t>整体支出绩效自评报告</w:t>
      </w:r>
    </w:p>
    <w:p w14:paraId="42B1FA68">
      <w:pPr>
        <w:jc w:val="center"/>
        <w:rPr>
          <w:rFonts w:eastAsia="黑体"/>
          <w:sz w:val="32"/>
          <w:szCs w:val="32"/>
        </w:rPr>
      </w:pPr>
    </w:p>
    <w:p w14:paraId="24AA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3D1A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 w14:paraId="2409A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02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1、主要职能职责。</w:t>
      </w:r>
    </w:p>
    <w:p w14:paraId="28C1B3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vertAlign w:val="baseline"/>
        </w:rPr>
        <w:t>零陵花鼓戏剧团始建于</w:t>
      </w:r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vertAlign w:val="baseline"/>
        </w:rPr>
        <w:t>1951年，位于永州市零陵区正大街157号，拥有600㎡剧场一座。至今已经历七十载岁月激荡沉淀，2008年，零陵花鼓戏被列入湖南省非物质文化遗产名录。2016年，剧团更名为零陵区文化艺术团，加挂“永州市零陵花鼓戏保护传承中心”牌子。2019年，根据市委常委会研究意见，经市委机构编制委员会办公室批准，更名为永州市零陵花鼓戏剧团（永州市零陵花鼓戏保护传承中心），正式升格为正科级公益一类事业单位，由永州市文化旅游广电体育局和零陵区文化旅游体育局双重管理。剧团以演出、保护、传承湖南省级非物质文化遗产“零陵花鼓戏”为主要工作职责。</w:t>
      </w:r>
    </w:p>
    <w:p w14:paraId="480FC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3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2、机构设置情况。</w:t>
      </w:r>
    </w:p>
    <w:p w14:paraId="1D040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永州市零陵花鼓戏剧团（永州市零陵花鼓戏保护传承中心）是永州市零陵区唯一的专业文艺表演团体，同时也是零陵花鼓戏唯一的传承基地。目前零陵花鼓戏省级非遗传承人1人，市级非遗传承人6人，其中国家二级演员4人、国家二级演奏员1人。单位法人：黄翠云；联系电话：0746-6313502；单位性质：公益一类事业单位；单位无外债，我单位聘请会计人员1人，在财务过程中，本单位严格按照规定，依法设置会计账簿，并保证真实完整性，根据本单位实际发生的业务事项进行会计核算，填制会计凭证、登记会计账簿。</w:t>
      </w:r>
    </w:p>
    <w:p w14:paraId="03325085">
      <w:pPr>
        <w:pStyle w:val="2"/>
      </w:pPr>
    </w:p>
    <w:p w14:paraId="6C1381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部门（单位）年度整体支出绩效目标，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级专项资金绩效目标、其他项目支出（除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级专项资金以外）绩效目标</w:t>
      </w:r>
    </w:p>
    <w:p w14:paraId="70C44450">
      <w:pPr>
        <w:pStyle w:val="2"/>
      </w:pPr>
    </w:p>
    <w:p w14:paraId="6C1AB9C3">
      <w:pPr>
        <w:numPr>
          <w:ilvl w:val="0"/>
          <w:numId w:val="0"/>
        </w:numPr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1、积极做好非遗项目保护、传承与培育工作，重点抓好人才队伍建设工作，努力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培养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零陵花鼓戏传承人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定向委培</w:t>
      </w:r>
    </w:p>
    <w:p w14:paraId="23B8B148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2、常态化开展送戏下乡，演艺惠民工作</w:t>
      </w:r>
    </w:p>
    <w:p w14:paraId="7A1FDAF6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3、重点抓好大型现代零陵花鼓戏《走啰行啰》排演，备战参加第七届湖南艺术节工作</w:t>
      </w:r>
    </w:p>
    <w:p w14:paraId="5B5DC0B0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4、高质量做好全年演出工作</w:t>
      </w:r>
    </w:p>
    <w:p w14:paraId="05DF6604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5、常态化做好地方特色文艺节目的发掘和创作</w:t>
      </w:r>
    </w:p>
    <w:p w14:paraId="1B76A48A"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6、加强与各地的交流学习和对外宣传</w:t>
      </w:r>
    </w:p>
    <w:p w14:paraId="72786B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26C5963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694100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56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年基本支出为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444.39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是指为保障单位机构正常运转、完成日常工作任务而发生的各项支出。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其中：</w:t>
      </w:r>
    </w:p>
    <w:p w14:paraId="4C545172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56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工资福利支出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337.79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万元，用于基本工资、津贴补贴、社保缴费等。</w:t>
      </w:r>
    </w:p>
    <w:p w14:paraId="14680686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leftChars="0" w:right="0" w:rightChars="0" w:firstLine="560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对个人和家庭补助支出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16.55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万元，用于离退休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费、遗属补助等。</w:t>
      </w:r>
    </w:p>
    <w:p w14:paraId="34D16EB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56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（3）商品和服务支出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90.05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万元，包括办公费、培训费、会议费、印刷费、专用材料费、差旅费、办公设备购置等日常公用经费。</w:t>
      </w:r>
    </w:p>
    <w:p w14:paraId="298776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2024年财政拨款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“三公”经费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支出数0.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万元，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其中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公务接待费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0.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万元、公务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用车购置及运行费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0万元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其中：购置费0万元、运行费0万元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、因公出国（境）费0万元。202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</w:rPr>
        <w:t>年“三公”经费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预算与2023年“三公”经费预算比较，与上年有所增加</w:t>
      </w:r>
    </w:p>
    <w:p w14:paraId="41788D49">
      <w:pPr>
        <w:numPr>
          <w:ilvl w:val="0"/>
          <w:numId w:val="3"/>
        </w:numPr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58BA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2021年项目支出为3</w:t>
      </w:r>
      <w:r>
        <w:rPr>
          <w:rFonts w:hint="default" w:ascii="仿宋" w:hAnsi="仿宋" w:eastAsia="仿宋" w:cs="仿宋"/>
          <w:sz w:val="28"/>
          <w:szCs w:val="28"/>
          <w:lang w:val="en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万元，是指单位为完成特定行政工作任务或事业发展目标而发生的支出。其中：</w:t>
      </w:r>
    </w:p>
    <w:p w14:paraId="5E579EAF">
      <w:pPr>
        <w:pStyle w:val="2"/>
        <w:numPr>
          <w:ilvl w:val="0"/>
          <w:numId w:val="4"/>
        </w:numPr>
        <w:ind w:left="630" w:leftChars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演出车及通勤车维护保养10万元，主要用于车辆的管理费、检修和维修费等的支出</w:t>
      </w:r>
    </w:p>
    <w:p w14:paraId="1B1ADE6D">
      <w:pPr>
        <w:numPr>
          <w:ilvl w:val="0"/>
          <w:numId w:val="4"/>
        </w:numPr>
        <w:ind w:left="63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送戏下乡专项经费（财政核拨）15万元，主要用于剧团送戏下乡的经费支出</w:t>
      </w:r>
    </w:p>
    <w:p w14:paraId="009C8831">
      <w:pPr>
        <w:pStyle w:val="2"/>
        <w:numPr>
          <w:ilvl w:val="0"/>
          <w:numId w:val="4"/>
        </w:numPr>
        <w:ind w:left="63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花鼓戏传承保护创作经费1</w:t>
      </w:r>
      <w:r>
        <w:rPr>
          <w:rFonts w:hint="default" w:ascii="仿宋" w:hAnsi="仿宋" w:eastAsia="仿宋" w:cs="仿宋"/>
          <w:sz w:val="28"/>
          <w:szCs w:val="28"/>
          <w:lang w:val="en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万元，主要用于剧团非遗传承宣传、教学的支出</w:t>
      </w:r>
    </w:p>
    <w:p w14:paraId="7E78961B"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0A89BF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无</w:t>
      </w:r>
    </w:p>
    <w:p w14:paraId="23367144"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03E415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无</w:t>
      </w:r>
    </w:p>
    <w:p w14:paraId="52A3E2CA"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6FF1B1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无</w:t>
      </w:r>
    </w:p>
    <w:p w14:paraId="2664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0B0C11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对照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零财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绩〔20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24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〕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1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号文件规定的考核指标，我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单位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从预算配置、预算执行、预算管理、履职效益等方面对20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24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年部门整体支出绩效开展了评价，自评得分9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8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分，具体情况如下：</w:t>
      </w:r>
    </w:p>
    <w:p w14:paraId="1FA47F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（一）预算配置方面 </w:t>
      </w:r>
    </w:p>
    <w:p w14:paraId="4CBFF3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在职人员控制率：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财政预算30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人，在职人员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30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人，在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财政供养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控制范围内，在职人员控制率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100%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。 </w:t>
      </w:r>
    </w:p>
    <w:p w14:paraId="6C9EF6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“三公经费”变动率：三公经费本年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发生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数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0.50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上年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发生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数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0.13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万元， “三公经费”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费用比上年有所增加。</w:t>
      </w:r>
    </w:p>
    <w:p w14:paraId="02E769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（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二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）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预算执行方面 </w:t>
      </w:r>
    </w:p>
    <w:p w14:paraId="0527F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黑体" w:eastAsia="仿宋_GB2312" w:cs="宋体"/>
          <w:b w:val="0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auto"/>
          <w:kern w:val="0"/>
          <w:sz w:val="30"/>
          <w:szCs w:val="30"/>
          <w:lang w:val="en-US" w:eastAsia="zh-CN" w:bidi="ar-SA"/>
        </w:rPr>
        <w:t>预算完成率：</w:t>
      </w:r>
      <w:r>
        <w:rPr>
          <w:rFonts w:hint="eastAsia" w:ascii="仿宋_GB2312" w:hAnsi="黑体" w:eastAsia="仿宋_GB2312" w:cs="宋体"/>
          <w:b w:val="0"/>
          <w:bCs/>
          <w:color w:val="auto"/>
          <w:kern w:val="0"/>
          <w:sz w:val="30"/>
          <w:szCs w:val="30"/>
          <w:lang w:val="en-US" w:eastAsia="zh-CN" w:bidi="ar-SA"/>
        </w:rPr>
        <w:t>2024年，响应上级政府号召，紧缩开支，所有经费预算跟上年比下调</w:t>
      </w:r>
    </w:p>
    <w:p w14:paraId="4DB513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预算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调整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率：20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24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年年初预算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289.69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万元，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有调整</w:t>
      </w:r>
    </w:p>
    <w:p w14:paraId="07C168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公用经费控制率：20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24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年我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单位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预算管理各项指标控制较好。实际支出公用经费总额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35353"/>
          <w:spacing w:val="0"/>
          <w:sz w:val="28"/>
          <w:szCs w:val="28"/>
          <w:u w:val="none"/>
          <w:shd w:val="clear" w:color="auto" w:fill="FFFFFF"/>
          <w:lang w:val="en-US" w:eastAsia="zh-CN"/>
        </w:rPr>
        <w:t>54.05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。</w:t>
      </w:r>
    </w:p>
    <w:p w14:paraId="49B9A9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“三公经费”控制率：“三公”经费实际支出数为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0.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" w:eastAsia="zh-CN" w:bidi="ar-SA"/>
        </w:rPr>
        <w:t>50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万元，预算安排数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0.5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万元，“三公”经费控制率为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" w:eastAsia="zh-CN" w:bidi="ar-SA"/>
        </w:rPr>
        <w:t>100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%。 </w:t>
      </w:r>
    </w:p>
    <w:p w14:paraId="4E8B52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管理制度健全性：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制定单位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财务管理办法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,各类专项资金使用办法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等有关管理制度，规范财务审批程序，严格差旅费和接待费支出标准、范围和程序的审核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，以相关管理制度指导财务管理。</w:t>
      </w:r>
    </w:p>
    <w:p w14:paraId="518198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　　资金使用合规性：配合</w:t>
      </w: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区</w:t>
      </w: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纪委开展违反中央八项规定突出问题专项整治，严格落实中央八项规定和有关公务支出标准。加强经费合法合规性审核和预算控制，严格按制度政策办事，资金使用合法合规，支出手续齐全，程序到位。 </w:t>
      </w:r>
    </w:p>
    <w:p w14:paraId="607606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6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预决算信息公开性：加快预算执行，盘活存量资金，减少追加资金。真实准确编制部门预算和决算，按时上报基础数据资料。对上年度部门整体支出进行了绩效评价，对标找差距。按规定时限和规定内容公开部门预算、部门决算以及绩效自评报告。各项应向社会公开的信息及时、完整、真实，更加细化，部门预决算信息透明度进一步提高。 </w:t>
      </w:r>
    </w:p>
    <w:p w14:paraId="7B0566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（四）职责履行和履职效益方面 </w:t>
      </w:r>
    </w:p>
    <w:p w14:paraId="3BA6AA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6"/>
        <w:jc w:val="both"/>
        <w:rPr>
          <w:rFonts w:hint="default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2024</w:t>
      </w:r>
      <w:bookmarkStart w:id="0" w:name="_GoBack"/>
      <w:bookmarkEnd w:id="0"/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年，我们较好的完成了各项目标工作任务，取得了较好的社会效益，行政效能明显提高，社会群众满意度不断提升。</w:t>
      </w:r>
    </w:p>
    <w:p w14:paraId="6A413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2024年我单位荣获全市文旅广体工作先进单位，创排的大型零陵花鼓戏《走啰行啰》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12月27日在长沙塘湾湖大剧院参加2024年第七届湖南艺术节大型舞台剧目展演，一举斩获“田汉新剧目奖”“田汉导演奖”“田汉表演奖”三项大奖，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还通过了2024年度国家艺术基金项目的初评环节，有望拿下基金，填补我市国家艺术基金项目申报的空白</w:t>
      </w:r>
    </w:p>
    <w:p w14:paraId="2DF4B10D">
      <w:pPr>
        <w:pStyle w:val="2"/>
      </w:pPr>
    </w:p>
    <w:p w14:paraId="0D9BFF3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5488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工作人员业务水平及能力仍有不足</w:t>
      </w:r>
    </w:p>
    <w:p w14:paraId="6532FAF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39A35DC1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加强政策和业务知识的学习培训，规范使用，提高专项资金使用效率和效益及项目管理人员认识</w:t>
      </w:r>
    </w:p>
    <w:p w14:paraId="4A60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5472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黑体" w:eastAsia="仿宋_GB2312" w:cs="宋体"/>
          <w:b w:val="0"/>
          <w:bCs/>
          <w:color w:val="000000"/>
          <w:kern w:val="0"/>
          <w:sz w:val="30"/>
          <w:szCs w:val="30"/>
          <w:lang w:val="en-US" w:eastAsia="zh-CN" w:bidi="ar-SA"/>
        </w:rPr>
        <w:t>附绩效自评表，依法依规在部门政府网公开</w:t>
      </w:r>
    </w:p>
    <w:p w14:paraId="769E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168DA3CF"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45075E8D"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03FF80ED">
      <w:pPr>
        <w:spacing w:line="360" w:lineRule="exact"/>
        <w:rPr>
          <w:rFonts w:eastAsia="黑体"/>
          <w:sz w:val="32"/>
          <w:szCs w:val="32"/>
        </w:rPr>
      </w:pPr>
    </w:p>
    <w:p w14:paraId="4E56B232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61FD07AD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2021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509"/>
        <w:gridCol w:w="907"/>
        <w:gridCol w:w="1013"/>
        <w:gridCol w:w="709"/>
        <w:gridCol w:w="898"/>
        <w:gridCol w:w="1446"/>
      </w:tblGrid>
      <w:tr w14:paraId="3C8C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 w14:paraId="0C4A6F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43" w:type="dxa"/>
            <w:gridSpan w:val="9"/>
            <w:noWrap w:val="0"/>
            <w:vAlign w:val="center"/>
          </w:tcPr>
          <w:p w14:paraId="2787AA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永州市零陵花鼓戏剧团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B4E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3069B4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4102681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16334AD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3065C331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19D6D6C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0DD3A65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013" w:type="dxa"/>
            <w:noWrap w:val="0"/>
            <w:vAlign w:val="center"/>
          </w:tcPr>
          <w:p w14:paraId="07CF54CD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1645B09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 w14:paraId="3CC38B9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 w14:paraId="6560A6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 w14:paraId="3F87EE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257D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BAF4C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noWrap w:val="0"/>
            <w:vAlign w:val="center"/>
          </w:tcPr>
          <w:p w14:paraId="028DA06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 w14:paraId="4F46176D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289.69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29F7713A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444.39</w:t>
            </w:r>
          </w:p>
        </w:tc>
        <w:tc>
          <w:tcPr>
            <w:tcW w:w="1013" w:type="dxa"/>
            <w:noWrap w:val="0"/>
            <w:vAlign w:val="center"/>
          </w:tcPr>
          <w:p w14:paraId="4D7AB816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444.39</w:t>
            </w:r>
          </w:p>
        </w:tc>
        <w:tc>
          <w:tcPr>
            <w:tcW w:w="709" w:type="dxa"/>
            <w:noWrap w:val="0"/>
            <w:vAlign w:val="center"/>
          </w:tcPr>
          <w:p w14:paraId="1176771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2171AAF9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 w14:paraId="00B435EF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8F2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CCC0D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 w14:paraId="1A6DA6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 w14:paraId="29A268F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23AC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146D24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 w14:paraId="05E34DB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444.39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 w14:paraId="0BB3B2BB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408.39</w:t>
            </w:r>
          </w:p>
        </w:tc>
      </w:tr>
      <w:tr w14:paraId="3CAB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DC154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 w14:paraId="5A397BF1"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 w14:paraId="51429382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" w:eastAsia="zh-CN"/>
              </w:rPr>
              <w:t>6</w:t>
            </w:r>
          </w:p>
        </w:tc>
      </w:tr>
      <w:tr w14:paraId="4BE4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003A2E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 w14:paraId="48D6C29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 w14:paraId="21C3F41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80F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6EC849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 w14:paraId="6A5247D7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 w14:paraId="438C558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ACF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0C6503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177" w:type="dxa"/>
            <w:gridSpan w:val="5"/>
            <w:noWrap w:val="0"/>
            <w:vAlign w:val="center"/>
          </w:tcPr>
          <w:p w14:paraId="7EB1FC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 w14:paraId="7AD707E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7202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1DA16E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 w14:paraId="5CD1AFD2">
            <w:pPr>
              <w:numPr>
                <w:ilvl w:val="0"/>
                <w:numId w:val="7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积极做好非遗项目保护、传承与培育工作，重点抓好人才队伍建设工作，努力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培养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选拔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零陵花鼓戏传承人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定向委培</w:t>
            </w:r>
          </w:p>
          <w:p w14:paraId="509341E6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常态化开展送戏下乡，演艺惠民工作</w:t>
            </w:r>
          </w:p>
          <w:p w14:paraId="55E45A3F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重点抓好大型现代零陵花鼓戏《走啰行啰》排演，备战参加第七届湖南艺术节工作</w:t>
            </w:r>
          </w:p>
          <w:p w14:paraId="66AE5873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高质量做好全年演出工作</w:t>
            </w:r>
          </w:p>
          <w:p w14:paraId="4D0C1215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常态化做好地方特色文艺节目的发掘和创作</w:t>
            </w:r>
          </w:p>
          <w:p w14:paraId="59A51A33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加强与各地的交流学习和对外宣传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 w14:paraId="0B555D29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较好地完成了预期目标，详见《2024年度永州市零陵花鼓戏剧团整体支出绩效自评报告》</w:t>
            </w:r>
          </w:p>
        </w:tc>
      </w:tr>
      <w:tr w14:paraId="370C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DB98D3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726F13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0E61BC7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1A5B1B3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 w14:paraId="433A0A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 w14:paraId="3A8463B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6B59DA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907" w:type="dxa"/>
            <w:noWrap w:val="0"/>
            <w:vAlign w:val="center"/>
          </w:tcPr>
          <w:p w14:paraId="6E5F0E38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22C339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13" w:type="dxa"/>
            <w:noWrap w:val="0"/>
            <w:vAlign w:val="center"/>
          </w:tcPr>
          <w:p w14:paraId="7F5B8E13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5A06E85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 w14:paraId="3F0863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 w14:paraId="5640B36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 w14:paraId="6101CDBD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54C0B415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0BDF37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215F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E7A752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297CAF1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6F0D81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 w14:paraId="20A01E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4A8E65D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43D78F1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送戏进景区60场，送戏进社区40场</w:t>
            </w:r>
          </w:p>
          <w:p w14:paraId="7DE1F75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送戏下乡60场</w:t>
            </w:r>
          </w:p>
        </w:tc>
        <w:tc>
          <w:tcPr>
            <w:tcW w:w="907" w:type="dxa"/>
            <w:noWrap w:val="0"/>
            <w:vAlign w:val="center"/>
          </w:tcPr>
          <w:p w14:paraId="67A7B898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&gt;=160场</w:t>
            </w:r>
          </w:p>
        </w:tc>
        <w:tc>
          <w:tcPr>
            <w:tcW w:w="1013" w:type="dxa"/>
            <w:noWrap w:val="0"/>
            <w:vAlign w:val="center"/>
          </w:tcPr>
          <w:p w14:paraId="0DA101DB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160场</w:t>
            </w:r>
          </w:p>
        </w:tc>
        <w:tc>
          <w:tcPr>
            <w:tcW w:w="709" w:type="dxa"/>
            <w:noWrap w:val="0"/>
            <w:vAlign w:val="center"/>
          </w:tcPr>
          <w:p w14:paraId="2D644DF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0E3FBA66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 w14:paraId="635A6E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E7A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16837E6"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95B6046"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2B772D42"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4596147"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选拔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零陵花鼓戏传承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907" w:type="dxa"/>
            <w:noWrap w:val="0"/>
            <w:vAlign w:val="center"/>
          </w:tcPr>
          <w:p w14:paraId="44F23E44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&lt;=30人</w:t>
            </w:r>
          </w:p>
        </w:tc>
        <w:tc>
          <w:tcPr>
            <w:tcW w:w="1013" w:type="dxa"/>
            <w:noWrap w:val="0"/>
            <w:vAlign w:val="center"/>
          </w:tcPr>
          <w:p w14:paraId="3A935F5A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25人</w:t>
            </w:r>
          </w:p>
        </w:tc>
        <w:tc>
          <w:tcPr>
            <w:tcW w:w="709" w:type="dxa"/>
            <w:noWrap w:val="0"/>
            <w:vAlign w:val="center"/>
          </w:tcPr>
          <w:p w14:paraId="61189B86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63D55C0C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 w14:paraId="6E8CB636"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E7E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5BD5CC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A7DB26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AEA138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3A1D34C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789C20D9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常态化开展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文艺宣讲</w:t>
            </w:r>
            <w:r>
              <w:rPr>
                <w:rFonts w:hint="eastAsia" w:ascii="仿宋" w:hAnsi="仿宋" w:eastAsia="仿宋" w:cs="仿宋"/>
              </w:rPr>
              <w:t>活动</w:t>
            </w:r>
          </w:p>
          <w:p w14:paraId="516CCF15">
            <w:pPr>
              <w:pStyle w:val="2"/>
              <w:numPr>
                <w:ilvl w:val="0"/>
                <w:numId w:val="8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高水平创作文艺精品力作</w:t>
            </w:r>
          </w:p>
        </w:tc>
        <w:tc>
          <w:tcPr>
            <w:tcW w:w="907" w:type="dxa"/>
            <w:noWrap w:val="0"/>
            <w:vAlign w:val="center"/>
          </w:tcPr>
          <w:p w14:paraId="3BD010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高质量</w:t>
            </w:r>
          </w:p>
        </w:tc>
        <w:tc>
          <w:tcPr>
            <w:tcW w:w="1013" w:type="dxa"/>
            <w:noWrap w:val="0"/>
            <w:vAlign w:val="center"/>
          </w:tcPr>
          <w:p w14:paraId="0C5C0A2D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48CCBFA0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25AF39D0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noWrap w:val="0"/>
            <w:vAlign w:val="center"/>
          </w:tcPr>
          <w:p w14:paraId="43AD367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25F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5FA58C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1E67D22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7AAD28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1C25E4D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6D87F94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资金使用及时率</w:t>
            </w:r>
          </w:p>
        </w:tc>
        <w:tc>
          <w:tcPr>
            <w:tcW w:w="907" w:type="dxa"/>
            <w:noWrap w:val="0"/>
            <w:vAlign w:val="center"/>
          </w:tcPr>
          <w:p w14:paraId="7BF45EFA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13" w:type="dxa"/>
            <w:noWrap w:val="0"/>
            <w:vAlign w:val="center"/>
          </w:tcPr>
          <w:p w14:paraId="411616DD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2640492E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407BFA71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 w14:paraId="7C76597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A8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C546C48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36A8279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35887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4A2E27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4ED19D4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  <w:lang w:val="en-US" w:eastAsia="zh-CN"/>
              </w:rPr>
              <w:t>严格控制在预算内</w:t>
            </w:r>
          </w:p>
        </w:tc>
        <w:tc>
          <w:tcPr>
            <w:tcW w:w="907" w:type="dxa"/>
            <w:noWrap w:val="0"/>
            <w:vAlign w:val="center"/>
          </w:tcPr>
          <w:p w14:paraId="23D4B0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1654E5A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" w:eastAsia="zh-CN"/>
              </w:rPr>
              <w:t>464.93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1013" w:type="dxa"/>
            <w:noWrap w:val="0"/>
            <w:vAlign w:val="center"/>
          </w:tcPr>
          <w:p w14:paraId="5A02E2E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367CAD91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&lt;=</w:t>
            </w:r>
          </w:p>
        </w:tc>
        <w:tc>
          <w:tcPr>
            <w:tcW w:w="709" w:type="dxa"/>
            <w:noWrap w:val="0"/>
            <w:vAlign w:val="center"/>
          </w:tcPr>
          <w:p w14:paraId="2140F8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5964B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98" w:type="dxa"/>
            <w:noWrap w:val="0"/>
            <w:vAlign w:val="center"/>
          </w:tcPr>
          <w:p w14:paraId="3CB7E6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ACB2BC9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46" w:type="dxa"/>
            <w:noWrap w:val="0"/>
            <w:vAlign w:val="center"/>
          </w:tcPr>
          <w:p w14:paraId="0AA69A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C00E80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19F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0990F8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77F64D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2DA20ECA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noWrap w:val="0"/>
            <w:vAlign w:val="center"/>
          </w:tcPr>
          <w:p w14:paraId="2B2CB4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1BB131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23" w:type="dxa"/>
            <w:gridSpan w:val="2"/>
            <w:vMerge w:val="restart"/>
            <w:noWrap w:val="0"/>
            <w:vAlign w:val="center"/>
          </w:tcPr>
          <w:p w14:paraId="18AD0AB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营造健康向上的文化氛围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提高全民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文化素养，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提高公共文化服务水平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增加零陵花鼓戏知名度，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文化遗产得到保存、保护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 w14:paraId="690B8D65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效益完成率</w:t>
            </w:r>
          </w:p>
        </w:tc>
        <w:tc>
          <w:tcPr>
            <w:tcW w:w="1013" w:type="dxa"/>
            <w:noWrap w:val="0"/>
            <w:vAlign w:val="center"/>
          </w:tcPr>
          <w:p w14:paraId="435A0961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5B35B967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6FF3BA63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 w14:paraId="4AC1742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514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F8F2F3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2BC6AF4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41FD4E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46E81E5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23" w:type="dxa"/>
            <w:gridSpan w:val="2"/>
            <w:vMerge w:val="continue"/>
            <w:noWrap w:val="0"/>
            <w:vAlign w:val="center"/>
          </w:tcPr>
          <w:p w14:paraId="5EF78D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 w14:paraId="5DC055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CD0145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327F6A91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0E46548A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 w14:paraId="0D5E80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7A4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FEB709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DD888E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7458B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7F869E1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23" w:type="dxa"/>
            <w:gridSpan w:val="2"/>
            <w:vMerge w:val="continue"/>
            <w:noWrap w:val="0"/>
            <w:vAlign w:val="center"/>
          </w:tcPr>
          <w:p w14:paraId="2AC739B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 w14:paraId="1745D6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754CCEB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75041BF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77D1B2A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692EF92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1F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52155D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600C6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4C3325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23" w:type="dxa"/>
            <w:gridSpan w:val="2"/>
            <w:vMerge w:val="continue"/>
            <w:noWrap w:val="0"/>
            <w:vAlign w:val="center"/>
          </w:tcPr>
          <w:p w14:paraId="766587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 w14:paraId="572EC1F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81DE54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6C3D2668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0718E499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 w14:paraId="26CF395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08A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024629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2F1B0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533B61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083A5EC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noWrap w:val="0"/>
            <w:vAlign w:val="center"/>
          </w:tcPr>
          <w:p w14:paraId="744CC2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220B6FA7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领导群众满意度</w:t>
            </w:r>
          </w:p>
        </w:tc>
        <w:tc>
          <w:tcPr>
            <w:tcW w:w="907" w:type="dxa"/>
            <w:noWrap w:val="0"/>
            <w:vAlign w:val="center"/>
          </w:tcPr>
          <w:p w14:paraId="7F2BF17D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95%及以上</w:t>
            </w:r>
          </w:p>
          <w:p w14:paraId="0EC816F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5F7AE5A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3AA7B49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78BFAE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13B6D3B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09B4CC7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340539B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 w14:paraId="50E712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81EFB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E5E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 w14:paraId="2F63EE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 w14:paraId="32908C5C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 w14:paraId="6FED8E7A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446" w:type="dxa"/>
            <w:noWrap w:val="0"/>
            <w:vAlign w:val="center"/>
          </w:tcPr>
          <w:p w14:paraId="22D1DD7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1A5B0D33">
      <w:pPr>
        <w:widowControl/>
        <w:jc w:val="left"/>
        <w:rPr>
          <w:rFonts w:eastAsia="黑体"/>
          <w:sz w:val="32"/>
          <w:szCs w:val="32"/>
        </w:rPr>
      </w:pPr>
    </w:p>
    <w:p w14:paraId="1EAA347F">
      <w:pPr>
        <w:widowControl/>
        <w:jc w:val="left"/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28DF8CA3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4D585844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2021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14:paraId="34DF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 w14:paraId="28D83B2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76600DC7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 w14:paraId="1BFC819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送戏下乡专项经费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DC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 w14:paraId="56AD456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75ACB90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17D446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1E8901F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293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41716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2E4E54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 w14:paraId="565CC30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2377BEF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 w14:paraId="0CD74707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52EE44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 w14:paraId="7DBE60B6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3E7B3AF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 w14:paraId="431D5D0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6A9864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 w14:paraId="091DB43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3D95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4242BB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4BF238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 w14:paraId="3907F448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1209" w:type="dxa"/>
            <w:noWrap w:val="0"/>
            <w:vAlign w:val="center"/>
          </w:tcPr>
          <w:p w14:paraId="29068B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1134" w:type="dxa"/>
            <w:noWrap w:val="0"/>
            <w:vAlign w:val="center"/>
          </w:tcPr>
          <w:p w14:paraId="1CB22E0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828" w:type="dxa"/>
            <w:noWrap w:val="0"/>
            <w:vAlign w:val="center"/>
          </w:tcPr>
          <w:p w14:paraId="2BD8D6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 w14:paraId="3A92384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 w14:paraId="1D21C7ED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7AD4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28B2F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DC985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 w14:paraId="2B40526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1209" w:type="dxa"/>
            <w:noWrap w:val="0"/>
            <w:vAlign w:val="center"/>
          </w:tcPr>
          <w:p w14:paraId="462540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1134" w:type="dxa"/>
            <w:noWrap w:val="0"/>
            <w:vAlign w:val="center"/>
          </w:tcPr>
          <w:p w14:paraId="003754E7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15</w:t>
            </w:r>
          </w:p>
        </w:tc>
        <w:tc>
          <w:tcPr>
            <w:tcW w:w="828" w:type="dxa"/>
            <w:noWrap w:val="0"/>
            <w:vAlign w:val="center"/>
          </w:tcPr>
          <w:p w14:paraId="61657DE2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C83970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 w14:paraId="0EF359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30C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EC79F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17547E5D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 w14:paraId="5FBB298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 w14:paraId="3C58470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0D320F7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184A5DF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588564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0226EF9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DB2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2D1C1F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8E7B88A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 w14:paraId="4705E11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 w14:paraId="3F6D2E7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41F1FA8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3E3848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20AAFB4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068B845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3F4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0E96B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38B9389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594CF78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EFA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DA727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 w14:paraId="32E58BF6">
            <w:pPr>
              <w:widowControl/>
              <w:numPr>
                <w:ilvl w:val="0"/>
                <w:numId w:val="9"/>
              </w:numPr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送戏下乡不低于60场</w:t>
            </w:r>
          </w:p>
          <w:p w14:paraId="3DFDEC61">
            <w:pPr>
              <w:widowControl/>
              <w:numPr>
                <w:ilvl w:val="0"/>
                <w:numId w:val="9"/>
              </w:num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送戏进社区、进景区100场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434E0DD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较好地完成了预期目标，详见《2022年度永州市零陵花鼓戏剧团项目支出绩效自评报告》</w:t>
            </w:r>
          </w:p>
        </w:tc>
      </w:tr>
      <w:tr w14:paraId="0D62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AF3B71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5BAE0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6FC58EA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409C3B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109E6A0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1CB982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 w14:paraId="4CD4477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 w14:paraId="45761370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54F6F5A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 w14:paraId="21278C91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1841B5D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 w14:paraId="4BA26EC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0134852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 w14:paraId="5ADA2A5A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280522AC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14BA355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48E0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93814C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4AF9D2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2F08C8A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50B739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 w14:paraId="364A496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  <w:lang w:val="en-US" w:eastAsia="zh-CN"/>
              </w:rPr>
              <w:t>观众人数</w:t>
            </w:r>
          </w:p>
        </w:tc>
        <w:tc>
          <w:tcPr>
            <w:tcW w:w="1209" w:type="dxa"/>
            <w:noWrap w:val="0"/>
            <w:vAlign w:val="center"/>
          </w:tcPr>
          <w:p w14:paraId="2BEB8F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&gt;=4.8万人</w:t>
            </w:r>
          </w:p>
        </w:tc>
        <w:tc>
          <w:tcPr>
            <w:tcW w:w="1134" w:type="dxa"/>
            <w:noWrap w:val="0"/>
            <w:vAlign w:val="center"/>
          </w:tcPr>
          <w:p w14:paraId="227F2DDE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0FCD116A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59A5E8F5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55F4304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0BB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C25BD4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F6410E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751D45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469C7C8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送戏场数</w:t>
            </w:r>
          </w:p>
        </w:tc>
        <w:tc>
          <w:tcPr>
            <w:tcW w:w="1209" w:type="dxa"/>
            <w:noWrap w:val="0"/>
            <w:vAlign w:val="center"/>
          </w:tcPr>
          <w:p w14:paraId="16E32D43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&gt;=160场</w:t>
            </w:r>
          </w:p>
        </w:tc>
        <w:tc>
          <w:tcPr>
            <w:tcW w:w="1134" w:type="dxa"/>
            <w:noWrap w:val="0"/>
            <w:vAlign w:val="center"/>
          </w:tcPr>
          <w:p w14:paraId="7ACB55C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6B76836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360A1E71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15F19D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FD1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FF071F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6B2E1E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FA90D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 w14:paraId="6D776DB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经费使用准确性</w:t>
            </w:r>
          </w:p>
        </w:tc>
        <w:tc>
          <w:tcPr>
            <w:tcW w:w="1209" w:type="dxa"/>
            <w:noWrap w:val="0"/>
            <w:vAlign w:val="center"/>
          </w:tcPr>
          <w:p w14:paraId="28EAE18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62E18D5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5342C6B0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B1D2CE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2F8CF86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338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5EADB8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14991DE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34023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 w14:paraId="0B2B249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资金使用及时率</w:t>
            </w:r>
          </w:p>
        </w:tc>
        <w:tc>
          <w:tcPr>
            <w:tcW w:w="1209" w:type="dxa"/>
            <w:noWrap w:val="0"/>
            <w:vAlign w:val="center"/>
          </w:tcPr>
          <w:p w14:paraId="04F5F2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09D263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288FA3D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55C247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5A766CA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6E5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1D4290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02A9D8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3265F7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 w14:paraId="2C48DD0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预算成本控制情况</w:t>
            </w:r>
          </w:p>
        </w:tc>
        <w:tc>
          <w:tcPr>
            <w:tcW w:w="1209" w:type="dxa"/>
            <w:noWrap w:val="0"/>
            <w:vAlign w:val="center"/>
          </w:tcPr>
          <w:p w14:paraId="1A5993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1134" w:type="dxa"/>
            <w:noWrap w:val="0"/>
            <w:vAlign w:val="center"/>
          </w:tcPr>
          <w:p w14:paraId="61EB915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 w14:paraId="7480299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0D43A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70028A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EE8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2C263E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645FBEA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08E8C5E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1D17899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13C2FF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6CF1220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D6B47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4947EE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349BEE8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60B0EB7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54E8E54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D0F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EE2931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BC2947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E2ADC7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490E9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2F001E7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6D6B81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1967CE9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2C4E429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4006B7C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72E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EBC5B0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4DD1FF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77CADC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5A06C7C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5F5926A7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提高人民群众文化素养，推广非遗文化的影响程度</w:t>
            </w:r>
          </w:p>
        </w:tc>
        <w:tc>
          <w:tcPr>
            <w:tcW w:w="1209" w:type="dxa"/>
            <w:noWrap w:val="0"/>
            <w:vAlign w:val="center"/>
          </w:tcPr>
          <w:p w14:paraId="666BB51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较高</w:t>
            </w:r>
          </w:p>
        </w:tc>
        <w:tc>
          <w:tcPr>
            <w:tcW w:w="1134" w:type="dxa"/>
            <w:noWrap w:val="0"/>
            <w:vAlign w:val="center"/>
          </w:tcPr>
          <w:p w14:paraId="2B7D9494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787256D8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 w14:paraId="33700B45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 w14:paraId="62B5674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5B3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072821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E073E0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13BE643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729785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5DC37F0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5E4A7E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4EC473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05EDF7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1148586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D63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922A8D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1FADF3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7DD015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501FE5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0B59453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E35C6A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4F9D7C5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7D45A3B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1193C34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3149A69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6D1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4CDA7D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1B1C22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8A3E9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2D87CA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1E95D0B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3DD4B13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648083F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08444AD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03C9CF0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D81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B210B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71A71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1972D20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 w14:paraId="2935C5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0AE056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1C58D5E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7306792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1584608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68CBA12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140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E17C2F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707EA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34DF2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07446B7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0BF92E3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50DA76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4FB72C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6B273C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5FC37AF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F8B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E5177E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71D53B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08BB93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55D3DC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 w14:paraId="0423709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 w14:paraId="339B48C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群众满意度</w:t>
            </w:r>
          </w:p>
        </w:tc>
        <w:tc>
          <w:tcPr>
            <w:tcW w:w="1209" w:type="dxa"/>
            <w:noWrap w:val="0"/>
            <w:vAlign w:val="center"/>
          </w:tcPr>
          <w:p w14:paraId="04E67755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5A8EEA28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7B26633D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E47E665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7C4819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931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 w14:paraId="2709ED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 w14:paraId="1FE415C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3CE8B0F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207C6C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4C35708E">
      <w:pPr>
        <w:rPr>
          <w:rFonts w:eastAsia="黑体"/>
          <w:sz w:val="32"/>
          <w:szCs w:val="32"/>
        </w:rPr>
      </w:pPr>
    </w:p>
    <w:p w14:paraId="6F3EAC92">
      <w:pPr>
        <w:pStyle w:val="2"/>
        <w:rPr>
          <w:rFonts w:eastAsia="黑体"/>
          <w:sz w:val="32"/>
          <w:szCs w:val="32"/>
        </w:rPr>
      </w:pPr>
    </w:p>
    <w:p w14:paraId="4E3986E5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49142666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5A05CF79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2021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14:paraId="27FD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 w14:paraId="254D4F6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4ABF378D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 w14:paraId="6C5D1A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演出车及通勤车维护保养费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67E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 w14:paraId="250B8A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44DDB6C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64A0167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7601713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36B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39380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A2797C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 w14:paraId="0661468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5F39F2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 w14:paraId="4FB61CD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73B411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 w14:paraId="25701CDB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11805E0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 w14:paraId="44D7C03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1DD7509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 w14:paraId="3C45E87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5090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EBC05A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5FEC6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 w14:paraId="31D6958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09" w:type="dxa"/>
            <w:noWrap w:val="0"/>
            <w:vAlign w:val="center"/>
          </w:tcPr>
          <w:p w14:paraId="4949280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 10</w:t>
            </w:r>
          </w:p>
        </w:tc>
        <w:tc>
          <w:tcPr>
            <w:tcW w:w="1134" w:type="dxa"/>
            <w:noWrap w:val="0"/>
            <w:vAlign w:val="center"/>
          </w:tcPr>
          <w:p w14:paraId="4F0D9E1A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828" w:type="dxa"/>
            <w:noWrap w:val="0"/>
            <w:vAlign w:val="center"/>
          </w:tcPr>
          <w:p w14:paraId="3178219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 w14:paraId="479232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 w14:paraId="08EE601D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5A31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F5733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C8CCD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 w14:paraId="09EE7EC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1209" w:type="dxa"/>
            <w:noWrap w:val="0"/>
            <w:vAlign w:val="center"/>
          </w:tcPr>
          <w:p w14:paraId="5DD8853D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1134" w:type="dxa"/>
            <w:noWrap w:val="0"/>
            <w:vAlign w:val="center"/>
          </w:tcPr>
          <w:p w14:paraId="02A18875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828" w:type="dxa"/>
            <w:noWrap w:val="0"/>
            <w:vAlign w:val="center"/>
          </w:tcPr>
          <w:p w14:paraId="638E097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7BB4D88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 w14:paraId="769C1E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1C6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D33098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1CF649F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 w14:paraId="21CF78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 w14:paraId="6C5FA5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41327F7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00D52B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2D708CF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793EB99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1F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E47B83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5F0C8050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 w14:paraId="2CB0175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 w14:paraId="23B655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033AD7A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55980A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7A2FAFC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44DEDC2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770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7DE3E9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1F316A3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03CA8F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046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96C9E0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 w14:paraId="332BDF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完成单位车辆维护、保养任务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13AEF89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较好地完成了预期目标，详见《2022年度永州市零陵花鼓戏剧团项目支出绩效自评报告》</w:t>
            </w:r>
          </w:p>
        </w:tc>
      </w:tr>
      <w:tr w14:paraId="773B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5337DC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426EA0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73084BD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4BF7D7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2FFFAD1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014CC3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 w14:paraId="41A122A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 w14:paraId="446C86E4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1E5368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 w14:paraId="2D702257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05D47E9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 w14:paraId="1B170A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2FA347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 w14:paraId="5645A9B8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3F4CA42D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7BBD39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7D86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53F257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4EEBAF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6AAF4D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080" w:type="dxa"/>
            <w:noWrap w:val="0"/>
            <w:vAlign w:val="center"/>
          </w:tcPr>
          <w:p w14:paraId="06691E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 w14:paraId="77D15ACB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车辆</w:t>
            </w:r>
          </w:p>
        </w:tc>
        <w:tc>
          <w:tcPr>
            <w:tcW w:w="1209" w:type="dxa"/>
            <w:noWrap w:val="0"/>
            <w:vAlign w:val="center"/>
          </w:tcPr>
          <w:p w14:paraId="6F4738A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407854B2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708E17F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57E4642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17A3D22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4B1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557CC8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CFAD44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729D09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 w14:paraId="4AEE72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经费使用准确性</w:t>
            </w:r>
          </w:p>
        </w:tc>
        <w:tc>
          <w:tcPr>
            <w:tcW w:w="1209" w:type="dxa"/>
            <w:noWrap w:val="0"/>
            <w:vAlign w:val="center"/>
          </w:tcPr>
          <w:p w14:paraId="13B515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46AFDA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3E6C6AFF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24554E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538073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0E9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71DBAC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383A77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23CFD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 w14:paraId="0A79EB1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资金使用及时率</w:t>
            </w:r>
          </w:p>
        </w:tc>
        <w:tc>
          <w:tcPr>
            <w:tcW w:w="1209" w:type="dxa"/>
            <w:noWrap w:val="0"/>
            <w:vAlign w:val="center"/>
          </w:tcPr>
          <w:p w14:paraId="42AA878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65D68C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26DAC29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2CB3818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7F3F19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736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B8FCA6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A6B129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6F862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 w14:paraId="22A86F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预算成本控制情况</w:t>
            </w:r>
          </w:p>
        </w:tc>
        <w:tc>
          <w:tcPr>
            <w:tcW w:w="1209" w:type="dxa"/>
            <w:noWrap w:val="0"/>
            <w:vAlign w:val="center"/>
          </w:tcPr>
          <w:p w14:paraId="29EECC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" w:eastAsia="zh-CN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1134" w:type="dxa"/>
            <w:noWrap w:val="0"/>
            <w:vAlign w:val="center"/>
          </w:tcPr>
          <w:p w14:paraId="480491C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 w14:paraId="170DE97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42DEA7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7189718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449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092C0A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1CA12C6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054B60A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107EAE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0D23E3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6BBCA5A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86CD68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6FCC640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27A4D35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13CB5DE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7D6B37D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56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0F036B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223068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A251A3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234A62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4702F3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0FC88E3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6DA64D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01F5D0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1B3AB42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55A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EC241F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0A281D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C5EC5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4E2C4C5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3CD9CFF9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车辆运行正常，安全系数情况</w:t>
            </w:r>
          </w:p>
        </w:tc>
        <w:tc>
          <w:tcPr>
            <w:tcW w:w="1209" w:type="dxa"/>
            <w:noWrap w:val="0"/>
            <w:vAlign w:val="center"/>
          </w:tcPr>
          <w:p w14:paraId="00E45A8A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良好</w:t>
            </w:r>
          </w:p>
        </w:tc>
        <w:tc>
          <w:tcPr>
            <w:tcW w:w="1134" w:type="dxa"/>
            <w:noWrap w:val="0"/>
            <w:vAlign w:val="center"/>
          </w:tcPr>
          <w:p w14:paraId="0411283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03806BFA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 w14:paraId="189EB276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 w14:paraId="3A69EF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32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175717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F00157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676BBB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596EA4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4F94BC5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64EF6E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286FCD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03FCD23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094496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4343DC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FE5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CD5FCA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F1BA4D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957FA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B93735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 w14:paraId="066B7E1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02D7955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13C3C4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6EC25D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0236CF3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14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FAE48D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737FE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770F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 w14:paraId="1DD01F2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B15FAE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 w14:paraId="048B21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 w14:paraId="4E2F150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 w14:paraId="2614AB0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344F295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77D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04AD10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4ACC3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213C5F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0034EFD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 w14:paraId="161FB1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 w14:paraId="148B5C4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单位人员使用满意度</w:t>
            </w:r>
          </w:p>
        </w:tc>
        <w:tc>
          <w:tcPr>
            <w:tcW w:w="1209" w:type="dxa"/>
            <w:noWrap w:val="0"/>
            <w:vAlign w:val="center"/>
          </w:tcPr>
          <w:p w14:paraId="783C5D23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7033928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37F520A5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2716CFE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316036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3D7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 w14:paraId="504F763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 w14:paraId="45A724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4C4E0D3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 w14:paraId="65EC99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006CCD8B">
      <w:pPr>
        <w:rPr>
          <w:rFonts w:eastAsia="黑体"/>
          <w:sz w:val="32"/>
          <w:szCs w:val="32"/>
        </w:rPr>
      </w:pPr>
    </w:p>
    <w:p w14:paraId="472FC767">
      <w:pPr>
        <w:pStyle w:val="2"/>
        <w:rPr>
          <w:rFonts w:eastAsia="黑体"/>
          <w:sz w:val="32"/>
          <w:szCs w:val="32"/>
        </w:rPr>
      </w:pPr>
    </w:p>
    <w:p w14:paraId="7A210322">
      <w:pPr>
        <w:pStyle w:val="2"/>
      </w:pPr>
    </w:p>
    <w:p w14:paraId="50305DA8">
      <w:pPr>
        <w:widowControl/>
        <w:jc w:val="left"/>
        <w:rPr>
          <w:rFonts w:eastAsia="黑体"/>
          <w:sz w:val="32"/>
          <w:szCs w:val="32"/>
        </w:rPr>
      </w:pPr>
    </w:p>
    <w:p w14:paraId="2053E64E">
      <w:pPr>
        <w:widowControl/>
        <w:jc w:val="left"/>
        <w:rPr>
          <w:rFonts w:eastAsia="黑体"/>
          <w:sz w:val="32"/>
          <w:szCs w:val="32"/>
        </w:rPr>
      </w:pPr>
    </w:p>
    <w:p w14:paraId="15B2E662">
      <w:pPr>
        <w:widowControl/>
        <w:jc w:val="left"/>
        <w:rPr>
          <w:rFonts w:eastAsia="黑体"/>
          <w:sz w:val="32"/>
          <w:szCs w:val="32"/>
        </w:rPr>
      </w:pPr>
    </w:p>
    <w:p w14:paraId="334EB784">
      <w:pPr>
        <w:widowControl/>
        <w:jc w:val="left"/>
        <w:rPr>
          <w:rFonts w:eastAsia="黑体"/>
          <w:sz w:val="32"/>
          <w:szCs w:val="32"/>
        </w:rPr>
      </w:pPr>
    </w:p>
    <w:p w14:paraId="48674E3A">
      <w:pPr>
        <w:widowControl/>
        <w:jc w:val="left"/>
        <w:rPr>
          <w:rFonts w:eastAsia="黑体"/>
          <w:sz w:val="32"/>
          <w:szCs w:val="32"/>
        </w:rPr>
      </w:pPr>
    </w:p>
    <w:p w14:paraId="7B66BD9B">
      <w:pPr>
        <w:pStyle w:val="2"/>
        <w:rPr>
          <w:rFonts w:eastAsia="黑体"/>
          <w:sz w:val="32"/>
          <w:szCs w:val="32"/>
        </w:rPr>
      </w:pPr>
    </w:p>
    <w:p w14:paraId="368FEE72">
      <w:pPr>
        <w:rPr>
          <w:rFonts w:eastAsia="黑体"/>
          <w:sz w:val="32"/>
          <w:szCs w:val="32"/>
        </w:rPr>
      </w:pPr>
    </w:p>
    <w:p w14:paraId="53484012">
      <w:pPr>
        <w:pStyle w:val="2"/>
        <w:rPr>
          <w:rFonts w:eastAsia="黑体"/>
          <w:sz w:val="32"/>
          <w:szCs w:val="32"/>
        </w:rPr>
      </w:pPr>
    </w:p>
    <w:p w14:paraId="0CD6E2FE">
      <w:pPr>
        <w:rPr>
          <w:rFonts w:eastAsia="黑体"/>
          <w:sz w:val="32"/>
          <w:szCs w:val="32"/>
        </w:rPr>
      </w:pPr>
    </w:p>
    <w:p w14:paraId="7DBD3FAC">
      <w:pPr>
        <w:pStyle w:val="2"/>
        <w:rPr>
          <w:rFonts w:eastAsia="黑体"/>
          <w:sz w:val="32"/>
          <w:szCs w:val="32"/>
        </w:rPr>
      </w:pPr>
    </w:p>
    <w:p w14:paraId="710B3487">
      <w:pPr>
        <w:rPr>
          <w:rFonts w:eastAsia="黑体"/>
          <w:sz w:val="32"/>
          <w:szCs w:val="32"/>
        </w:rPr>
      </w:pPr>
    </w:p>
    <w:p w14:paraId="0C5D5544">
      <w:pPr>
        <w:pStyle w:val="2"/>
        <w:rPr>
          <w:rFonts w:eastAsia="黑体"/>
          <w:sz w:val="32"/>
          <w:szCs w:val="32"/>
        </w:rPr>
      </w:pPr>
    </w:p>
    <w:p w14:paraId="105D13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614CD5"/>
    <w:multiLevelType w:val="singleLevel"/>
    <w:tmpl w:val="D2614CD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427B5A"/>
    <w:multiLevelType w:val="singleLevel"/>
    <w:tmpl w:val="D5427B5A"/>
    <w:lvl w:ilvl="0" w:tentative="0">
      <w:start w:val="1"/>
      <w:numFmt w:val="decimal"/>
      <w:suff w:val="nothing"/>
      <w:lvlText w:val="（%1）"/>
      <w:lvlJc w:val="left"/>
      <w:pPr>
        <w:ind w:left="630"/>
      </w:pPr>
    </w:lvl>
  </w:abstractNum>
  <w:abstractNum w:abstractNumId="2">
    <w:nsid w:val="DDCFC8CB"/>
    <w:multiLevelType w:val="singleLevel"/>
    <w:tmpl w:val="DDCFC8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2D695A2"/>
    <w:multiLevelType w:val="singleLevel"/>
    <w:tmpl w:val="02D695A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94F9EAD"/>
    <w:multiLevelType w:val="singleLevel"/>
    <w:tmpl w:val="094F9EA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D3C7E65"/>
    <w:multiLevelType w:val="singleLevel"/>
    <w:tmpl w:val="0D3C7E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EE2C3FF"/>
    <w:multiLevelType w:val="singleLevel"/>
    <w:tmpl w:val="0EE2C3FF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190F4914"/>
    <w:multiLevelType w:val="singleLevel"/>
    <w:tmpl w:val="190F4914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34DB6A73"/>
    <w:multiLevelType w:val="singleLevel"/>
    <w:tmpl w:val="34DB6A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NTIxYWY0NWFkYzFmYTRkMDZlMGFjNjJmMTM5ZTIifQ=="/>
  </w:docVars>
  <w:rsids>
    <w:rsidRoot w:val="3C9B4116"/>
    <w:rsid w:val="0AD079B2"/>
    <w:rsid w:val="3C9B4116"/>
    <w:rsid w:val="3D8D4DA6"/>
    <w:rsid w:val="DFB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3634</Words>
  <Characters>4008</Characters>
  <Lines>0</Lines>
  <Paragraphs>0</Paragraphs>
  <TotalTime>287</TotalTime>
  <ScaleCrop>false</ScaleCrop>
  <LinksUpToDate>false</LinksUpToDate>
  <CharactersWithSpaces>4250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2022-09-26T08:45:00Z</dcterms:created>
  <dc:creator>Administrator</dc:creator>
  <cp:lastModifiedBy>Administrator</cp:lastModifiedBy>
  <dcterms:modified xsi:type="dcterms:W3CDTF">2025-09-08T03:01:25Z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B948250A7F634120BDD1CD32F5BAE70B</vt:lpwstr>
  </property>
</Properties>
</file>