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/>
          <w:sz w:val="48"/>
          <w:szCs w:val="48"/>
        </w:rPr>
        <w:t>2024</w:t>
      </w:r>
      <w:r>
        <w:rPr>
          <w:rFonts w:hint="eastAsia" w:ascii="微软雅黑" w:hAnsi="微软雅黑" w:eastAsia="微软雅黑" w:cs="微软雅黑"/>
          <w:sz w:val="48"/>
          <w:szCs w:val="48"/>
        </w:rPr>
        <w:t>年度零陵区</w:t>
      </w:r>
      <w:r>
        <w:rPr>
          <w:rFonts w:hint="eastAsia" w:ascii="微软雅黑" w:hAnsi="微软雅黑" w:eastAsia="微软雅黑" w:cs="微软雅黑"/>
          <w:sz w:val="48"/>
          <w:szCs w:val="48"/>
          <w:lang w:eastAsia="zh-CN"/>
        </w:rPr>
        <w:t>石岩头镇西头学校</w:t>
      </w:r>
      <w:r>
        <w:rPr>
          <w:rFonts w:hint="eastAsia" w:ascii="微软雅黑" w:hAnsi="微软雅黑" w:eastAsia="微软雅黑" w:cs="微软雅黑"/>
          <w:sz w:val="48"/>
          <w:szCs w:val="48"/>
        </w:rPr>
        <w:t>整体支出绩效自评报告</w:t>
      </w:r>
    </w:p>
    <w:p>
      <w:pPr>
        <w:jc w:val="center"/>
        <w:rPr>
          <w:rFonts w:eastAsia="方正小标宋_GBK"/>
          <w:b/>
          <w:sz w:val="52"/>
          <w:szCs w:val="5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640" w:firstLineChars="200"/>
        <w:jc w:val="center"/>
        <w:rPr>
          <w:rFonts w:hint="eastAsia" w:eastAsia="仿宋_GB2312"/>
          <w:sz w:val="32"/>
          <w:szCs w:val="32"/>
          <w:u w:val="single"/>
          <w:lang w:eastAsia="zh-CN"/>
        </w:rPr>
      </w:pPr>
      <w:r>
        <w:rPr>
          <w:rFonts w:eastAsia="仿宋_GB2312"/>
          <w:sz w:val="32"/>
          <w:szCs w:val="32"/>
        </w:rPr>
        <w:t>单位名称（盖章）：</w:t>
      </w:r>
      <w:r>
        <w:rPr>
          <w:rFonts w:hint="eastAsia" w:eastAsia="仿宋_GB2312"/>
          <w:sz w:val="32"/>
          <w:szCs w:val="32"/>
          <w:lang w:eastAsia="zh-CN"/>
        </w:rPr>
        <w:t>石岩头镇西头学校</w:t>
      </w:r>
    </w:p>
    <w:p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202</w:t>
      </w:r>
      <w:r>
        <w:rPr>
          <w:rFonts w:eastAsia="楷体_GB2312"/>
          <w:sz w:val="32"/>
          <w:szCs w:val="32"/>
        </w:rPr>
        <w:t xml:space="preserve">5年 </w:t>
      </w:r>
      <w:r>
        <w:rPr>
          <w:rFonts w:hint="eastAsia" w:eastAsia="楷体_GB2312"/>
          <w:sz w:val="32"/>
          <w:szCs w:val="32"/>
        </w:rPr>
        <w:t>0</w:t>
      </w:r>
      <w:r>
        <w:rPr>
          <w:rFonts w:eastAsia="楷体_GB2312"/>
          <w:sz w:val="32"/>
          <w:szCs w:val="32"/>
        </w:rPr>
        <w:t>7月 0</w:t>
      </w:r>
      <w:r>
        <w:rPr>
          <w:rFonts w:hint="eastAsia" w:eastAsia="楷体_GB2312"/>
          <w:sz w:val="32"/>
          <w:szCs w:val="32"/>
          <w:lang w:val="en-US" w:eastAsia="zh-CN"/>
        </w:rPr>
        <w:t>9</w:t>
      </w:r>
      <w:r>
        <w:rPr>
          <w:rFonts w:eastAsia="楷体_GB2312"/>
          <w:sz w:val="32"/>
          <w:szCs w:val="32"/>
        </w:rPr>
        <w:t xml:space="preserve"> 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单位基本情况</w:t>
      </w:r>
    </w:p>
    <w:p>
      <w:pPr>
        <w:shd w:val="clear" w:color="auto" w:fill="FFFFFF"/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（一）单位职能职责、机构编制、人员构成情况。</w:t>
      </w:r>
    </w:p>
    <w:p>
      <w:pPr>
        <w:ind w:firstLine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>
      <w:pPr>
        <w:ind w:firstLine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(1)认真贯彻落实党的教育方针，坚持依法办学；</w:t>
      </w:r>
    </w:p>
    <w:p>
      <w:pPr>
        <w:ind w:firstLine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(2)严格执行上级有关招生、收费等文件精神；</w:t>
      </w:r>
    </w:p>
    <w:p>
      <w:pPr>
        <w:ind w:firstLine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(3)认真履行教育法、教师法等法律法规；</w:t>
      </w:r>
    </w:p>
    <w:p>
      <w:pPr>
        <w:ind w:firstLine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(4)积极做好教师队伍培训，重点做好校园和师生的安全教育工作；</w:t>
      </w:r>
    </w:p>
    <w:p>
      <w:pPr>
        <w:ind w:firstLine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(5)努力完成好各项教育教学任务。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2．机构编制情况，包括当年变动情况及原因。</w:t>
      </w:r>
    </w:p>
    <w:p>
      <w:pPr>
        <w:snapToGrid w:val="0"/>
        <w:spacing w:line="520" w:lineRule="exact"/>
        <w:ind w:firstLine="560" w:firstLineChars="200"/>
        <w:rPr>
          <w:rFonts w:ascii="仿宋_GB2312" w:hAnsi="仿宋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我校是一所义务教育阶段的中学，属于财政全额拨款的事业单位，隶属于零陵区教育局。202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年度内设职能部门5个：校长室、办公室、教导处、政教处、总务处。</w:t>
      </w:r>
    </w:p>
    <w:p>
      <w:pPr>
        <w:numPr>
          <w:ilvl w:val="0"/>
          <w:numId w:val="2"/>
        </w:num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人员构成情况，包括当年变动情况及原因。</w:t>
      </w:r>
    </w:p>
    <w:p>
      <w:pPr>
        <w:ind w:firstLine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零陵区</w:t>
      </w:r>
      <w:r>
        <w:rPr>
          <w:rFonts w:hint="eastAsia" w:ascii="宋体" w:hAnsi="宋体"/>
          <w:sz w:val="28"/>
          <w:szCs w:val="28"/>
          <w:lang w:eastAsia="zh-CN"/>
        </w:rPr>
        <w:t>西头学校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核定编制数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名，全额拨款编制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名，实有全额拨款编制人数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名，在岗人员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人。</w:t>
      </w:r>
    </w:p>
    <w:p>
      <w:pPr>
        <w:numPr>
          <w:ilvl w:val="0"/>
          <w:numId w:val="3"/>
        </w:numPr>
        <w:spacing w:line="4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>
      <w:pPr>
        <w:snapToGrid w:val="0"/>
        <w:spacing w:line="520" w:lineRule="exact"/>
        <w:ind w:firstLine="643" w:firstLineChars="200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1.部门整体支出情况。</w:t>
      </w:r>
    </w:p>
    <w:p>
      <w:pPr>
        <w:snapToGrid w:val="0"/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年部门整体支出年初预算数</w:t>
      </w:r>
      <w:r>
        <w:rPr>
          <w:rFonts w:hint="eastAsia" w:ascii="宋体" w:hAnsi="宋体"/>
          <w:sz w:val="28"/>
          <w:szCs w:val="28"/>
          <w:lang w:val="en-US" w:eastAsia="zh-CN"/>
        </w:rPr>
        <w:t>121.81</w:t>
      </w:r>
      <w:r>
        <w:rPr>
          <w:rFonts w:hint="eastAsia" w:ascii="宋体" w:hAnsi="宋体"/>
          <w:sz w:val="28"/>
          <w:szCs w:val="28"/>
        </w:rPr>
        <w:t>万元，全年预算数</w:t>
      </w:r>
      <w:r>
        <w:rPr>
          <w:rFonts w:hint="eastAsia" w:ascii="宋体" w:hAnsi="宋体"/>
          <w:sz w:val="28"/>
          <w:szCs w:val="28"/>
          <w:lang w:val="en-US" w:eastAsia="zh-CN"/>
        </w:rPr>
        <w:t>93.82</w:t>
      </w:r>
      <w:r>
        <w:rPr>
          <w:rFonts w:hint="eastAsia" w:ascii="宋体" w:hAnsi="宋体"/>
          <w:sz w:val="28"/>
          <w:szCs w:val="28"/>
        </w:rPr>
        <w:t>万元，全年支出执行数</w:t>
      </w:r>
      <w:r>
        <w:rPr>
          <w:rFonts w:hint="eastAsia" w:ascii="宋体" w:hAnsi="宋体"/>
          <w:sz w:val="28"/>
          <w:szCs w:val="28"/>
          <w:lang w:val="en-US" w:eastAsia="zh-CN"/>
        </w:rPr>
        <w:t>93.82</w:t>
      </w:r>
      <w:r>
        <w:rPr>
          <w:rFonts w:hint="eastAsia" w:ascii="宋体" w:hAnsi="宋体"/>
          <w:sz w:val="28"/>
          <w:szCs w:val="28"/>
        </w:rPr>
        <w:t>万元，执行率为</w:t>
      </w:r>
      <w:r>
        <w:rPr>
          <w:rFonts w:hint="eastAsia" w:ascii="宋体" w:hAnsi="宋体"/>
          <w:sz w:val="28"/>
          <w:szCs w:val="28"/>
          <w:lang w:val="en-US" w:eastAsia="zh-CN"/>
        </w:rPr>
        <w:t>100</w:t>
      </w:r>
      <w:r>
        <w:rPr>
          <w:rFonts w:hint="eastAsia" w:ascii="宋体" w:hAnsi="宋体"/>
          <w:sz w:val="28"/>
          <w:szCs w:val="28"/>
        </w:rPr>
        <w:t>%，全年绩效目标都按时按量完成。</w:t>
      </w:r>
    </w:p>
    <w:p>
      <w:pPr>
        <w:snapToGrid w:val="0"/>
        <w:spacing w:line="520" w:lineRule="exact"/>
        <w:ind w:firstLine="643" w:firstLineChars="200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2.部门预算收支决算情况。</w:t>
      </w:r>
    </w:p>
    <w:p>
      <w:pPr>
        <w:snapToGrid w:val="0"/>
        <w:spacing w:line="520" w:lineRule="exact"/>
        <w:ind w:firstLine="56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年预算总收入</w:t>
      </w:r>
      <w:r>
        <w:rPr>
          <w:rFonts w:hint="eastAsia" w:ascii="宋体" w:hAnsi="宋体"/>
          <w:sz w:val="28"/>
          <w:szCs w:val="28"/>
          <w:lang w:val="en-US" w:eastAsia="zh-CN"/>
        </w:rPr>
        <w:t>121.81</w:t>
      </w:r>
      <w:r>
        <w:rPr>
          <w:rFonts w:hint="eastAsia" w:ascii="宋体" w:hAnsi="宋体"/>
          <w:sz w:val="28"/>
          <w:szCs w:val="28"/>
        </w:rPr>
        <w:t>万元，其中一般预算拨款（补助）</w:t>
      </w:r>
      <w:r>
        <w:rPr>
          <w:rFonts w:hint="eastAsia" w:ascii="宋体" w:hAnsi="宋体"/>
          <w:sz w:val="28"/>
          <w:szCs w:val="28"/>
          <w:lang w:val="en-US" w:eastAsia="zh-CN"/>
        </w:rPr>
        <w:t>121.81</w:t>
      </w:r>
      <w:r>
        <w:rPr>
          <w:rFonts w:hint="eastAsia" w:ascii="宋体" w:hAnsi="宋体"/>
          <w:sz w:val="28"/>
          <w:szCs w:val="28"/>
        </w:rPr>
        <w:t>万元，与上年决算收入</w:t>
      </w:r>
      <w:r>
        <w:rPr>
          <w:rFonts w:hint="eastAsia" w:ascii="宋体" w:hAnsi="宋体"/>
          <w:sz w:val="28"/>
          <w:szCs w:val="28"/>
          <w:lang w:val="en-US" w:eastAsia="zh-CN"/>
        </w:rPr>
        <w:t>171.0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eastAsia="zh-CN"/>
        </w:rPr>
        <w:t>减少</w:t>
      </w:r>
      <w:r>
        <w:rPr>
          <w:rFonts w:hint="eastAsia" w:ascii="宋体" w:hAnsi="宋体"/>
          <w:sz w:val="28"/>
          <w:szCs w:val="28"/>
        </w:rPr>
        <w:t>了</w:t>
      </w:r>
      <w:r>
        <w:rPr>
          <w:rFonts w:hint="eastAsia" w:ascii="宋体" w:hAnsi="宋体"/>
          <w:sz w:val="28"/>
          <w:szCs w:val="28"/>
          <w:lang w:val="en-US" w:eastAsia="zh-CN"/>
        </w:rPr>
        <w:t>28.77</w:t>
      </w:r>
      <w:r>
        <w:rPr>
          <w:rFonts w:hint="eastAsia" w:ascii="宋体" w:hAnsi="宋体"/>
          <w:sz w:val="28"/>
          <w:szCs w:val="28"/>
        </w:rPr>
        <w:t>%。202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年度预算总支出</w:t>
      </w:r>
      <w:r>
        <w:rPr>
          <w:rFonts w:hint="eastAsia" w:ascii="宋体" w:hAnsi="宋体"/>
          <w:sz w:val="28"/>
          <w:szCs w:val="28"/>
          <w:lang w:val="en-US" w:eastAsia="zh-CN"/>
        </w:rPr>
        <w:t>93.82</w:t>
      </w:r>
      <w:r>
        <w:rPr>
          <w:rFonts w:hint="eastAsia" w:ascii="宋体" w:hAnsi="宋体"/>
          <w:sz w:val="28"/>
          <w:szCs w:val="28"/>
        </w:rPr>
        <w:t>万元，与上年决算支出</w:t>
      </w:r>
      <w:r>
        <w:rPr>
          <w:rFonts w:hint="eastAsia" w:ascii="宋体" w:hAnsi="宋体"/>
          <w:sz w:val="28"/>
          <w:szCs w:val="28"/>
          <w:lang w:val="en-US" w:eastAsia="zh-CN"/>
        </w:rPr>
        <w:t>171.0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eastAsia="zh-CN"/>
        </w:rPr>
        <w:t>减少</w:t>
      </w:r>
      <w:r>
        <w:rPr>
          <w:rFonts w:hint="eastAsia" w:ascii="宋体" w:hAnsi="宋体"/>
          <w:sz w:val="28"/>
          <w:szCs w:val="28"/>
        </w:rPr>
        <w:t>了</w:t>
      </w:r>
      <w:r>
        <w:rPr>
          <w:rFonts w:hint="eastAsia" w:ascii="宋体" w:hAnsi="宋体"/>
          <w:sz w:val="28"/>
          <w:szCs w:val="28"/>
          <w:lang w:val="en-US" w:eastAsia="zh-CN"/>
        </w:rPr>
        <w:t>45.13%</w:t>
      </w:r>
      <w:r>
        <w:rPr>
          <w:rFonts w:hint="eastAsia" w:ascii="宋体" w:hAnsi="宋体"/>
          <w:sz w:val="28"/>
          <w:szCs w:val="28"/>
        </w:rPr>
        <w:t>。主要原因是：</w:t>
      </w:r>
      <w:r>
        <w:rPr>
          <w:rFonts w:hint="eastAsia" w:ascii="宋体" w:hAnsi="宋体"/>
          <w:sz w:val="28"/>
          <w:szCs w:val="28"/>
          <w:lang w:eastAsia="zh-CN"/>
        </w:rPr>
        <w:t>学生数及教师数减少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napToGrid w:val="0"/>
        <w:spacing w:line="520" w:lineRule="exact"/>
        <w:ind w:firstLine="643" w:firstLineChars="200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3.“三公经费”支出和管理情况。</w:t>
      </w:r>
    </w:p>
    <w:p>
      <w:pPr>
        <w:snapToGrid w:val="0"/>
        <w:spacing w:line="520" w:lineRule="exact"/>
        <w:ind w:firstLine="560" w:firstLineChars="200"/>
        <w:rPr>
          <w:rFonts w:ascii="宋体" w:hAnsi="宋体"/>
          <w:sz w:val="28"/>
          <w:szCs w:val="28"/>
          <w:lang w:val="zh-TW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年度“三公经费”预算支出：因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公出国（境）费支出为0万元</w:t>
      </w:r>
      <w:r>
        <w:rPr>
          <w:rFonts w:hint="eastAsia" w:ascii="宋体" w:hAnsi="宋体"/>
          <w:sz w:val="28"/>
          <w:szCs w:val="28"/>
          <w:lang w:val="zh-TW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公务用车购置及运行费支出为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万元;公务接待费支出为</w:t>
      </w:r>
      <w:r>
        <w:rPr>
          <w:rFonts w:hint="eastAsia" w:ascii="宋体" w:hAnsi="宋体"/>
          <w:sz w:val="28"/>
          <w:szCs w:val="28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/>
        </w:rPr>
        <w:t>；</w:t>
      </w:r>
      <w:r>
        <w:rPr>
          <w:rFonts w:hint="eastAsia" w:ascii="宋体" w:hAnsi="宋体"/>
          <w:sz w:val="28"/>
          <w:szCs w:val="28"/>
        </w:rPr>
        <w:t>“三公经费”决算支出：因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公出国（境）费支出决算为0万元;公务用车购置及运行费支出决算为</w:t>
      </w:r>
      <w:r>
        <w:rPr>
          <w:rFonts w:hint="eastAsia" w:ascii="宋体" w:hAnsi="宋体"/>
          <w:sz w:val="28"/>
          <w:szCs w:val="28"/>
          <w:lang w:val="zh-TW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公务接待费支出决算为</w:t>
      </w:r>
      <w:r>
        <w:rPr>
          <w:rFonts w:hint="eastAsia" w:ascii="宋体" w:hAnsi="宋体"/>
          <w:sz w:val="28"/>
          <w:szCs w:val="28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/>
        </w:rPr>
        <w:t>。</w:t>
      </w:r>
    </w:p>
    <w:p>
      <w:pPr>
        <w:snapToGrid w:val="0"/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年度本部门继续严格落实中央八项规定精神和厉行节约要求，从严控制三公经费的支出。</w:t>
      </w:r>
    </w:p>
    <w:p>
      <w:pPr>
        <w:pStyle w:val="6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6"/>
        <w:spacing w:line="4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>
      <w:pPr>
        <w:pStyle w:val="7"/>
        <w:spacing w:line="540" w:lineRule="exact"/>
        <w:ind w:firstLine="48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ascii="微软雅黑" w:hAnsi="微软雅黑" w:eastAsia="微软雅黑" w:cs="微软雅黑"/>
          <w:sz w:val="24"/>
          <w:szCs w:val="24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年度基本支出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93.82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万元，其中：人员经费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92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98.06</w:t>
      </w:r>
      <w:r>
        <w:rPr>
          <w:rFonts w:hint="eastAsia" w:ascii="微软雅黑" w:hAnsi="微软雅黑" w:eastAsia="微软雅黑" w:cs="微软雅黑"/>
          <w:sz w:val="24"/>
          <w:szCs w:val="24"/>
        </w:rPr>
        <w:t>%,主要包括基本工资、津贴补贴、奖金、社会保险缴费、生活补助、对个人和家庭补助等；公用经费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1.82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1.94</w:t>
      </w:r>
      <w:r>
        <w:rPr>
          <w:rFonts w:hint="eastAsia" w:ascii="微软雅黑" w:hAnsi="微软雅黑" w:eastAsia="微软雅黑" w:cs="微软雅黑"/>
          <w:sz w:val="24"/>
          <w:szCs w:val="24"/>
        </w:rPr>
        <w:t>%，主要包括办公费、印刷费、水电费、差旅费、培训费、工会经费、其他商品和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>
      <w:pPr>
        <w:pStyle w:val="6"/>
        <w:spacing w:line="460" w:lineRule="exact"/>
        <w:ind w:left="420" w:leftChars="200" w:firstLine="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</w:t>
      </w:r>
      <w:r>
        <w:rPr>
          <w:rFonts w:ascii="Times New Roman" w:hAnsi="Times New Roman" w:eastAsia="仿宋_GB2312"/>
          <w:sz w:val="32"/>
          <w:szCs w:val="32"/>
        </w:rPr>
        <w:t>项目支出情况</w:t>
      </w:r>
    </w:p>
    <w:p>
      <w:pPr>
        <w:spacing w:line="540" w:lineRule="exact"/>
        <w:ind w:firstLine="480" w:firstLineChars="200"/>
        <w:rPr>
          <w:rFonts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lang w:eastAsia="zh-CN"/>
        </w:rPr>
        <w:t>无</w:t>
      </w:r>
      <w:r>
        <w:rPr>
          <w:rFonts w:hint="eastAsia" w:ascii="微软雅黑" w:hAnsi="微软雅黑" w:eastAsia="微软雅黑" w:cs="微软雅黑"/>
          <w:bCs/>
          <w:sz w:val="24"/>
        </w:rPr>
        <w:t>。</w:t>
      </w:r>
    </w:p>
    <w:p>
      <w:pPr>
        <w:pStyle w:val="6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6"/>
        <w:spacing w:line="460" w:lineRule="exact"/>
        <w:ind w:firstLine="720" w:firstLineChars="300"/>
        <w:rPr>
          <w:rFonts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我单位无政府性基金预算支出情况。</w:t>
      </w:r>
    </w:p>
    <w:p>
      <w:pPr>
        <w:pStyle w:val="6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6"/>
        <w:spacing w:line="460" w:lineRule="exact"/>
        <w:ind w:firstLine="720" w:firstLineChars="3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我单位无国有资本经营预算支出情况。</w:t>
      </w:r>
    </w:p>
    <w:p>
      <w:pPr>
        <w:pStyle w:val="6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6"/>
        <w:spacing w:line="460" w:lineRule="exact"/>
        <w:ind w:left="420" w:leftChars="200" w:firstLine="240" w:firstLineChars="1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我单位无社会保险基金预算支出情况。</w:t>
      </w:r>
    </w:p>
    <w:p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spacing w:line="540" w:lineRule="exact"/>
        <w:ind w:firstLine="480" w:firstLineChars="200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202</w:t>
      </w:r>
      <w:r>
        <w:rPr>
          <w:rFonts w:ascii="微软雅黑" w:hAnsi="微软雅黑" w:eastAsia="微软雅黑" w:cs="微软雅黑"/>
          <w:color w:val="000000"/>
          <w:sz w:val="24"/>
        </w:rPr>
        <w:t>4</w:t>
      </w:r>
      <w:r>
        <w:rPr>
          <w:rFonts w:hint="eastAsia" w:ascii="微软雅黑" w:hAnsi="微软雅黑" w:eastAsia="微软雅黑" w:cs="微软雅黑"/>
          <w:color w:val="000000"/>
          <w:sz w:val="24"/>
        </w:rPr>
        <w:t>年我校所有财政性资金、专项资金都纳入绩效管理的范围。我校各项开支严格执行预算，控制成本，开源节流，每一分钱的使用都有它的经济性、效率性、有效性和可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七、存在的问题及原因分析</w:t>
      </w:r>
    </w:p>
    <w:p>
      <w:pPr>
        <w:pStyle w:val="7"/>
        <w:spacing w:line="540" w:lineRule="exact"/>
        <w:ind w:firstLine="48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目前单位预算由基本支出和项目支出预算两部分组成，财政对基本支出中公用经费预算实行定额标准管理。公用经费标准的确定与实际执行差距较大，追加预算困难，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以致</w:t>
      </w:r>
      <w:r>
        <w:rPr>
          <w:rFonts w:hint="eastAsia" w:ascii="微软雅黑" w:hAnsi="微软雅黑" w:eastAsia="微软雅黑" w:cs="微软雅黑"/>
          <w:sz w:val="24"/>
          <w:szCs w:val="24"/>
        </w:rPr>
        <w:t>预算经费拨付稍有滞后</w:t>
      </w:r>
      <w:r>
        <w:rPr>
          <w:rFonts w:hint="eastAsia" w:ascii="仿宋_GB2312" w:hAnsi="新宋体" w:eastAsia="仿宋_GB2312"/>
          <w:sz w:val="32"/>
          <w:szCs w:val="32"/>
        </w:rPr>
        <w:t>，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造成学校的经费使用不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足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。由于专业业务水平不高，对于固定资产的管理和入账不够规范合理。</w:t>
      </w:r>
    </w:p>
    <w:p>
      <w:pPr>
        <w:pStyle w:val="7"/>
        <w:spacing w:line="540" w:lineRule="exact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八、</w:t>
      </w:r>
      <w:r>
        <w:rPr>
          <w:rFonts w:eastAsia="黑体"/>
          <w:sz w:val="32"/>
          <w:szCs w:val="32"/>
        </w:rPr>
        <w:t>下一步改进措施</w:t>
      </w:r>
    </w:p>
    <w:p>
      <w:pPr>
        <w:pStyle w:val="3"/>
        <w:widowControl/>
        <w:spacing w:line="33" w:lineRule="atLeast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</w:rPr>
        <w:t>1、能够足额安排财政预算，确保各项日常工作的开展.</w:t>
      </w:r>
    </w:p>
    <w:p>
      <w:pPr>
        <w:pStyle w:val="3"/>
        <w:widowControl/>
        <w:spacing w:line="33" w:lineRule="atLeast"/>
        <w:ind w:firstLine="420"/>
        <w:jc w:val="both"/>
        <w:rPr>
          <w:rFonts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333333"/>
        </w:rPr>
        <w:t>2、加强绩效评价管理评价的可操作性，对相关业务人员进行相关培训，以提高业务知识水平。</w:t>
      </w:r>
    </w:p>
    <w:p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>
      <w:pPr>
        <w:pStyle w:val="3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零陵区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eastAsia="zh-CN"/>
        </w:rPr>
        <w:t>石岩头镇西头学校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202</w:t>
      </w:r>
      <w:r>
        <w:rPr>
          <w:rFonts w:ascii="微软雅黑" w:hAnsi="微软雅黑" w:eastAsia="微软雅黑" w:cs="微软雅黑"/>
          <w:color w:val="000000"/>
          <w:shd w:val="clear" w:color="auto" w:fill="FFFFFF"/>
        </w:rPr>
        <w:t>4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年绩效自评结果100分，由零陵区政府门户网站统一公开。</w:t>
      </w:r>
    </w:p>
    <w:p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pStyle w:val="3"/>
        <w:widowControl/>
        <w:shd w:val="clear" w:color="auto" w:fill="FFFFFF"/>
        <w:ind w:firstLine="640"/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527E"/>
    <w:multiLevelType w:val="singleLevel"/>
    <w:tmpl w:val="0965527E"/>
    <w:lvl w:ilvl="0" w:tentative="0">
      <w:start w:val="3"/>
      <w:numFmt w:val="decimal"/>
      <w:suff w:val="nothing"/>
      <w:lvlText w:val="%1．"/>
      <w:lvlJc w:val="left"/>
    </w:lvl>
  </w:abstractNum>
  <w:abstractNum w:abstractNumId="1">
    <w:nsid w:val="2AC1353A"/>
    <w:multiLevelType w:val="singleLevel"/>
    <w:tmpl w:val="2AC135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E8C7D66"/>
    <w:multiLevelType w:val="singleLevel"/>
    <w:tmpl w:val="5E8C7D6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0N2FlYjZhZDFlNmI0ODU3NmEyMDE1NGIxZDlmZGEifQ=="/>
  </w:docVars>
  <w:rsids>
    <w:rsidRoot w:val="08024CDF"/>
    <w:rsid w:val="00061A9D"/>
    <w:rsid w:val="00353CEE"/>
    <w:rsid w:val="006F2F02"/>
    <w:rsid w:val="0089791B"/>
    <w:rsid w:val="008B1626"/>
    <w:rsid w:val="008F341F"/>
    <w:rsid w:val="00A40F84"/>
    <w:rsid w:val="00AA6E7B"/>
    <w:rsid w:val="00E1069C"/>
    <w:rsid w:val="00E73CA9"/>
    <w:rsid w:val="00EB7FDA"/>
    <w:rsid w:val="00F021F3"/>
    <w:rsid w:val="00F27F81"/>
    <w:rsid w:val="050F5FBD"/>
    <w:rsid w:val="08024CDF"/>
    <w:rsid w:val="25676D15"/>
    <w:rsid w:val="25BB7E82"/>
    <w:rsid w:val="294847F4"/>
    <w:rsid w:val="37AF1A0E"/>
    <w:rsid w:val="3DF219ED"/>
    <w:rsid w:val="3EC77513"/>
    <w:rsid w:val="79A3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  <w:style w:type="paragraph" w:customStyle="1" w:styleId="7">
    <w:name w:val="_Style 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批注框文本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1730</Words>
  <Characters>1867</Characters>
  <Lines>13</Lines>
  <Paragraphs>3</Paragraphs>
  <TotalTime>7</TotalTime>
  <ScaleCrop>false</ScaleCrop>
  <LinksUpToDate>false</LinksUpToDate>
  <CharactersWithSpaces>1870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2025-07-02T09:41:00Z</dcterms:created>
  <dc:creator>thy</dc:creator>
  <cp:lastModifiedBy>Administrator</cp:lastModifiedBy>
  <cp:lastPrinted>2025-07-09T07:34:34Z</cp:lastPrinted>
  <dcterms:modified xsi:type="dcterms:W3CDTF">2025-07-09T07:35:38Z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30891FE3AA5548CA868F9E057B877B6C_13</vt:lpwstr>
  </property>
</Properties>
</file>