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D7E1">
      <w:pPr>
        <w:spacing w:line="600" w:lineRule="exact"/>
        <w:rPr>
          <w:rFonts w:eastAsia="黑体"/>
          <w:sz w:val="32"/>
          <w:szCs w:val="32"/>
        </w:rPr>
      </w:pPr>
    </w:p>
    <w:p w14:paraId="51CAEAD4">
      <w:pPr>
        <w:spacing w:line="600" w:lineRule="exact"/>
        <w:rPr>
          <w:rFonts w:eastAsia="黑体"/>
          <w:sz w:val="32"/>
          <w:szCs w:val="32"/>
        </w:rPr>
      </w:pPr>
    </w:p>
    <w:p w14:paraId="45D9DF36">
      <w:pPr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default" w:ascii="方正小标宋简体" w:eastAsia="方正小标宋简体"/>
          <w:sz w:val="52"/>
          <w:szCs w:val="52"/>
          <w:lang w:val="e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零陵区退役军人事务局</w:t>
      </w:r>
    </w:p>
    <w:p w14:paraId="2047BD3D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  <w:bookmarkStart w:id="0" w:name="_GoBack"/>
      <w:bookmarkEnd w:id="0"/>
    </w:p>
    <w:p w14:paraId="57A003D0">
      <w:pPr>
        <w:jc w:val="center"/>
        <w:rPr>
          <w:rFonts w:eastAsia="方正小标宋_GBK"/>
          <w:b/>
          <w:sz w:val="52"/>
          <w:szCs w:val="52"/>
        </w:rPr>
      </w:pPr>
    </w:p>
    <w:p w14:paraId="14B0E9AB">
      <w:pPr>
        <w:jc w:val="center"/>
        <w:rPr>
          <w:rFonts w:eastAsia="楷体_GB2312"/>
          <w:b/>
          <w:sz w:val="32"/>
          <w:szCs w:val="32"/>
        </w:rPr>
      </w:pPr>
    </w:p>
    <w:p w14:paraId="0EAE67E3">
      <w:pPr>
        <w:jc w:val="both"/>
        <w:rPr>
          <w:rFonts w:eastAsia="楷体_GB2312"/>
          <w:b/>
          <w:sz w:val="32"/>
          <w:szCs w:val="32"/>
        </w:rPr>
      </w:pPr>
    </w:p>
    <w:p w14:paraId="119FDE18">
      <w:pPr>
        <w:jc w:val="center"/>
        <w:rPr>
          <w:rFonts w:eastAsia="黑体"/>
          <w:sz w:val="32"/>
          <w:szCs w:val="32"/>
        </w:rPr>
      </w:pPr>
    </w:p>
    <w:p w14:paraId="33038F0F">
      <w:pPr>
        <w:jc w:val="center"/>
        <w:rPr>
          <w:rFonts w:eastAsia="黑体"/>
          <w:sz w:val="32"/>
          <w:szCs w:val="32"/>
        </w:rPr>
      </w:pPr>
    </w:p>
    <w:p w14:paraId="2521CAD7">
      <w:pPr>
        <w:jc w:val="center"/>
        <w:rPr>
          <w:rFonts w:eastAsia="黑体"/>
          <w:sz w:val="32"/>
          <w:szCs w:val="32"/>
        </w:rPr>
      </w:pPr>
    </w:p>
    <w:p w14:paraId="5A89393B">
      <w:pPr>
        <w:jc w:val="center"/>
        <w:rPr>
          <w:rFonts w:eastAsia="黑体"/>
          <w:sz w:val="32"/>
          <w:szCs w:val="32"/>
        </w:rPr>
      </w:pPr>
    </w:p>
    <w:p w14:paraId="414DE8F4">
      <w:pPr>
        <w:rPr>
          <w:rFonts w:eastAsia="黑体"/>
          <w:sz w:val="32"/>
          <w:szCs w:val="32"/>
        </w:rPr>
      </w:pPr>
    </w:p>
    <w:p w14:paraId="2513DC77">
      <w:pPr>
        <w:jc w:val="center"/>
        <w:rPr>
          <w:rFonts w:eastAsia="黑体"/>
          <w:sz w:val="32"/>
          <w:szCs w:val="32"/>
        </w:rPr>
      </w:pPr>
    </w:p>
    <w:p w14:paraId="30B68E94">
      <w:pPr>
        <w:jc w:val="center"/>
        <w:rPr>
          <w:rFonts w:eastAsia="黑体"/>
          <w:sz w:val="32"/>
          <w:szCs w:val="32"/>
        </w:rPr>
      </w:pPr>
    </w:p>
    <w:p w14:paraId="64917FEF">
      <w:pPr>
        <w:spacing w:line="600" w:lineRule="exact"/>
        <w:jc w:val="both"/>
        <w:rPr>
          <w:rFonts w:eastAsia="仿宋_GB2312"/>
          <w:sz w:val="32"/>
          <w:szCs w:val="32"/>
        </w:rPr>
      </w:pPr>
    </w:p>
    <w:p w14:paraId="09F4CE0D">
      <w:pPr>
        <w:spacing w:line="600" w:lineRule="exact"/>
        <w:ind w:firstLine="1280" w:firstLineChars="400"/>
        <w:jc w:val="both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永州市零陵区退役军人事务局</w:t>
      </w:r>
    </w:p>
    <w:p w14:paraId="007DD653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17</w:t>
      </w:r>
      <w:r>
        <w:rPr>
          <w:rFonts w:eastAsia="楷体_GB2312"/>
          <w:sz w:val="32"/>
          <w:szCs w:val="32"/>
        </w:rPr>
        <w:t xml:space="preserve"> 日</w:t>
      </w:r>
    </w:p>
    <w:p w14:paraId="10A7EBDD">
      <w:pPr>
        <w:jc w:val="center"/>
        <w:rPr>
          <w:rFonts w:eastAsia="黑体"/>
          <w:sz w:val="32"/>
          <w:szCs w:val="32"/>
        </w:rPr>
      </w:pPr>
    </w:p>
    <w:p w14:paraId="1A7D7392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67EE3AE0">
      <w:pPr>
        <w:numPr>
          <w:ilvl w:val="0"/>
          <w:numId w:val="0"/>
        </w:num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4F26AD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（一）主要职能。</w:t>
      </w:r>
    </w:p>
    <w:p w14:paraId="427FB4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贯彻执行关于退役军人思想政治、管理保障和安置优抚等工作政策,起草规范性文件草案,制订全区退役军人事务发展规划和政策措施,并组织实施;褒扬彰显退役军人为党、国家和人民牺牲奉献的精神风范和价值导向。</w:t>
      </w:r>
    </w:p>
    <w:p w14:paraId="797227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2、负责全区军队转业干部、复员干部、离休退休干部、退役士兵和无军籍退休退职职工的移交安置工作和自主择业、就业退役军人服务管理工作。</w:t>
      </w:r>
    </w:p>
    <w:p w14:paraId="2F87F33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3、组织指导全区退役军人教育培训工作,协调扶持退役军人和随军随调家属就业创业。</w:t>
      </w:r>
    </w:p>
    <w:p w14:paraId="619388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4、贯彻落实国家、省、市关于退役军人的特殊保障政策,会同有关部门制定相关政策措施,并组织实施。</w:t>
      </w:r>
    </w:p>
    <w:p w14:paraId="6AFB230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5、组织协调落实全区移交地方的离休退休军人、符合条件的其他退役军人和无军籍退休退职职工的住房保障工作,以及退役军人医疗保障、社会保险等待遇保障工作。</w:t>
      </w:r>
    </w:p>
    <w:p w14:paraId="70BBF5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6、组织指导全区伤病残退役军人服务管理和抚恤工作,贯彻落实退役军人医疗、疗养、养老等机构的规划政策并指导实施。承担全区不适宜继续服役的伤病残军人相关工作。组织指导全区军供服务保障工作。</w:t>
      </w:r>
    </w:p>
    <w:p w14:paraId="19A62F7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7、组织和指导全区拥军优属工作。负责全区现役军人、退役军人、军队文职人员和军属优待、抚恤等工作;贯彻执行国家、省、市关于国民党抗战老兵等有关人员优待政策并指导实施。</w:t>
      </w:r>
    </w:p>
    <w:p w14:paraId="2CAF93B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负责全区烈士及退役军人荣誉奖励、军人公墓、烈士纪念园管理维护、纪念活动等工作,依法承担英雄烈士保护相关工作,审核拟列入全区重点保护单位的烈士纪念建筑物名录,总结表彰和宣扬退役军人、退役军人工作单位和个人先进典型事迹。</w:t>
      </w:r>
    </w:p>
    <w:p w14:paraId="521E14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9、指导并监督检查退役军人相关法律法规和政策措施的落实;开展全区退役军人权益维护和有关人员的帮扶援助工作。</w:t>
      </w:r>
    </w:p>
    <w:p w14:paraId="6C0EBF3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10、完成区委、区政府交办的其他任务。</w:t>
      </w:r>
    </w:p>
    <w:p w14:paraId="27D005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职能转变。区退役军人局应加强退役军人思想政治工作和服务保障体系建设,建立健全集中统一、职责清晰的退役军人管理保障体制,协调各方力量更好为军人军属服务,维护军人军属合法权益,让军人成为全社会尊崇的职业,褒扬彰显退役军人为党、国家和人民牺牲奉献的精神风范和价值导向,更好地为增强部队战斗力和凝聚力做好组织保障。</w:t>
      </w:r>
    </w:p>
    <w:p w14:paraId="47731C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）机构情况，包括当年变动情况及原因。</w:t>
      </w:r>
    </w:p>
    <w:p w14:paraId="034D2F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零陵区退役军人事务局内设股室为5个：办公室、思想政治和权益维护股（政策法规股）、移交安置和就业创业股、拥军优抚股（军休服务管理股）、规划财务股，下辖1个副科级单位、2个股级单位。本年无变动。</w:t>
      </w:r>
    </w:p>
    <w:p w14:paraId="01992DD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）人员情况，包括当年变动情况及原因。</w:t>
      </w:r>
    </w:p>
    <w:p w14:paraId="3C65415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年本单位核定编制数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人，全额编制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人，其中：在职人员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人。本年调出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04ADB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部门（单位）整体支出规模。</w:t>
      </w:r>
    </w:p>
    <w:p w14:paraId="38F06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8534.26</w:t>
      </w:r>
      <w:r>
        <w:rPr>
          <w:rFonts w:hint="eastAsia" w:ascii="仿宋_GB2312" w:hAnsi="仿宋" w:eastAsia="仿宋_GB2312"/>
          <w:sz w:val="32"/>
          <w:szCs w:val="32"/>
        </w:rPr>
        <w:t>万元，其中一般公共预算财政拨款收入8534.26万元，占比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13E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年总支出8534.26万元，按功能分类其中文化旅游体育与传媒支出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万元，占比0.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7897.91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92.81</w:t>
      </w:r>
      <w:r>
        <w:rPr>
          <w:rFonts w:hint="eastAsia" w:ascii="仿宋_GB2312" w:eastAsia="仿宋_GB2312"/>
          <w:sz w:val="32"/>
          <w:szCs w:val="32"/>
        </w:rPr>
        <w:t>%；卫生健康支出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321.58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3.49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其他支出309.75万元，</w:t>
      </w:r>
      <w:r>
        <w:rPr>
          <w:rFonts w:hint="eastAsia" w:ascii="仿宋_GB2312" w:eastAsia="仿宋_GB2312"/>
          <w:sz w:val="32"/>
          <w:szCs w:val="32"/>
        </w:rPr>
        <w:t>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3.64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D31B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收入6526.09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收入</w:t>
      </w:r>
      <w:r>
        <w:rPr>
          <w:rFonts w:hint="eastAsia" w:ascii="仿宋_GB2312" w:eastAsia="仿宋_GB2312"/>
          <w:sz w:val="32"/>
          <w:szCs w:val="32"/>
        </w:rPr>
        <w:t>预、决算相差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1983.49万元，差异情况是将烈士纪念园展馆项目做入了2023年部门预算，项目实际支出在2024年，2024年未做该项目的部门预算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9342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“三公”经费支出情况：202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年“三公”经费支出4万元，其中：因公出国（境）费0元，公务用车购置及运行费0元（其中：购置费0元、运行费0元），公务接待费4万元。与202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年“三公”经费支出持平。</w:t>
      </w:r>
    </w:p>
    <w:p w14:paraId="1A785063">
      <w:pPr>
        <w:pStyle w:val="6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C51C12D">
      <w:pPr>
        <w:pStyle w:val="6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047D1976">
      <w:pPr>
        <w:pStyle w:val="6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年我单位基本支出为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507.13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万元，是指为保障单位机构正常运转、完成日常工作任务而发生的各项支出。</w:t>
      </w:r>
    </w:p>
    <w:p w14:paraId="17CA912B">
      <w:pPr>
        <w:pStyle w:val="6"/>
        <w:numPr>
          <w:ilvl w:val="0"/>
          <w:numId w:val="2"/>
        </w:numPr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2453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年我单位项目支出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8002.45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万元，是指单位为完成特定行政工作任务或事业发展目标而发生的支出。其中：</w:t>
      </w:r>
    </w:p>
    <w:p w14:paraId="3BFD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向上争资工作经费5万元，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主要用于向上争资工作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</w:p>
    <w:p w14:paraId="0AFB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优抚专项6064.27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万元，主要用于发放义务兵家庭优待金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优抚对象各项补贴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等补助。</w:t>
      </w:r>
    </w:p>
    <w:p w14:paraId="7F1A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安置专项553.97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万元，主要用于发放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自主就业退役士兵一次性经济补助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符合政府安置条件退役兵待安置期间生活补助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自主择业军转干部医保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等资金。</w:t>
      </w:r>
    </w:p>
    <w:p w14:paraId="78EB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4、优抚医疗专项280.29万元，主要用于发放优抚对象医疗补助等。</w:t>
      </w:r>
    </w:p>
    <w:p w14:paraId="5440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5、工程项目1007.09万元，主要用于光荣院扩建以及烈士纪念园展馆项目建设。</w:t>
      </w:r>
    </w:p>
    <w:p w14:paraId="362F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6、退役军人事务专项91.83万元，主要用于退役安置工作开展、保障退役军人各项合法权益等工作开支</w:t>
      </w:r>
    </w:p>
    <w:p w14:paraId="55AB2106">
      <w:pPr>
        <w:pStyle w:val="6"/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F4BD438">
      <w:pPr>
        <w:pStyle w:val="6"/>
        <w:spacing w:line="570" w:lineRule="exact"/>
        <w:ind w:firstLine="64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9A88972">
      <w:pPr>
        <w:pStyle w:val="6"/>
        <w:numPr>
          <w:ilvl w:val="0"/>
          <w:numId w:val="3"/>
        </w:numPr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FD49FB8">
      <w:pPr>
        <w:pStyle w:val="6"/>
        <w:numPr>
          <w:ilvl w:val="0"/>
          <w:numId w:val="0"/>
        </w:numPr>
        <w:spacing w:line="57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F6F46B0">
      <w:pPr>
        <w:pStyle w:val="6"/>
        <w:numPr>
          <w:ilvl w:val="0"/>
          <w:numId w:val="3"/>
        </w:numPr>
        <w:spacing w:line="57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2FBD70C">
      <w:pPr>
        <w:pStyle w:val="6"/>
        <w:numPr>
          <w:ilvl w:val="0"/>
          <w:numId w:val="0"/>
        </w:numPr>
        <w:spacing w:line="570" w:lineRule="exact"/>
        <w:ind w:leftChars="200" w:firstLine="320" w:firstLineChars="10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F9F357B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1B93C308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以习近平总书记关于退役军人工作重要论述为根本遵循，不断开拓创新，落实好思想引领、矛盾化解、移交安置、拥军优抚、关爱帮扶、烈士褒扬等重点任务，取得了较好成绩。</w:t>
      </w:r>
    </w:p>
    <w:p w14:paraId="5262B42C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结合我区自身特色，成立由战斗英雄、现役军人和退役军人“兵支书”等先进典型组建的“国防教育”宣讲团，进学校、进机关、进乡镇、进企业，开展英雄故事、立足岗位、建功部队、退伍不褪色等事迹教育。目前已在全区各部门开展了40余场的国防教育宣讲，受众人群达3000余人，真正实现国防教育全民、全域、全社会覆盖，有效的提高了全民国防意识，增强了人民群众的爱国热情。</w:t>
      </w:r>
    </w:p>
    <w:p w14:paraId="07AFDC3D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每周在区退役军人服务中心，安排律师坐班提供包含法治宣传、法律咨询、法律援助为一体的法律服务，消除问题存量，减少问题增量。积极开展退役军人“矛盾纠纷大走访大排查”活动，对排查出的信访矛盾和隐患，按照“三到位一处理”原则将问题化解在基层、化解在萌芽状态。2024年，共接待来访退役军人62批930人次、办理信访件5件，“12345”民生服务平台事2件，均已办结。无一因自身工作职责引发的退役军人赴省进京上访，确保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全国两会</w:t>
      </w:r>
      <w:r>
        <w:rPr>
          <w:rFonts w:hint="eastAsia" w:eastAsia="仿宋_GB2312"/>
          <w:color w:val="000000"/>
          <w:sz w:val="32"/>
          <w:szCs w:val="32"/>
        </w:rPr>
        <w:t>等特殊防护期间退役军人群体的绝对稳定。</w:t>
      </w:r>
    </w:p>
    <w:p w14:paraId="1A270A6F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2024年我区共接收符合政府安排工作退役军人48人，随调家属1人，共49人。严格按照“量化评分，排序选岗”进行阳光安置。按照文件要求，提供了3个中小学岗位，供符合条件的退役士兵选择。3名军转干部安置在区直机关单位，退役士兵安置对象全部安置在全额拨款事业单位。</w:t>
      </w:r>
    </w:p>
    <w:p w14:paraId="7477DB3B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、常态化做好退役军人信息采集和光荣牌悬挂工作；制定“春节”、“八一”等重要节日期间的走访慰问方案，走访慰问驻地部队8次，退役军人和其他优抚对象5721人，发放慰问金660余万元；通过与本地的17家企业和个体商户对接，发布了2批拥军优属目录清单，明确了军人军属、退役军人和其他优抚对象在荣誉激励、生活、医疗、交通等多类优待内容，共计100余条，让军人军属享受更多元、更实在、更优质的尊崇服务。</w:t>
      </w:r>
    </w:p>
    <w:p w14:paraId="28C6FBB0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、按时足额发放各项优待抚恤资金3000多万元，收集审核2024年符合困难援助人员17人，发放困难援助资金12.34万元；给1500名重点优抚对象购买人身意外保险39.5万元；积极协调卫健部门开展为重点优抚对象送医送药活动，进一步增进军民鱼水情；在烈士褒扬方面。扎实开展褒扬纪念工作，组织开展清明祭扫活动，追思先烈丰功伟绩，做好服务保障等各项工作。</w:t>
      </w:r>
    </w:p>
    <w:p w14:paraId="189F8557">
      <w:pPr>
        <w:pStyle w:val="6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受市局委托，今年我局继续承办永州市向烈士敬献花篮仪式，获市区领导和社会各界人士一致好评；在区委区政府的关心支持下，将区内最具发展潜力的萍洲西路65亩土地划拨给我局新建烈士纪念馆、光荣院和优抚医院等退役军人服务保障设施。截至目前，永州市烈士纪念园扩建展馆项目已初步建成，并通过了国家级烈士纪念设施验收评审；区光荣院项目建设主体已完工，目前正在进行室内装修。</w:t>
      </w:r>
    </w:p>
    <w:p w14:paraId="4E49A2FE">
      <w:pPr>
        <w:pStyle w:val="6"/>
        <w:spacing w:line="57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BC89B4D"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局主要负责退役军人服务保障工作，优抚对象补助资金、退役安置补助资金都落实的较好。项目严格按照相关法律法规和制度并认真执行，坚决做好资金使用的相关工作，确保资金项目政策的实施，预算支出执行未发生偏离绩效目标的情况。执行数与年初预算数有差距主要是烈士纪念园展馆项目做入了2023年部门预算，项目实际支出在2024年，2024年未做该项目的部门预算。</w:t>
      </w:r>
    </w:p>
    <w:p w14:paraId="261980B3">
      <w:pPr>
        <w:numPr>
          <w:ilvl w:val="0"/>
          <w:numId w:val="4"/>
        </w:numPr>
        <w:spacing w:line="570" w:lineRule="exact"/>
        <w:ind w:firstLine="640" w:firstLineChars="200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下一步改进措施</w:t>
      </w:r>
    </w:p>
    <w:p w14:paraId="1A84CFA8">
      <w:pPr>
        <w:numPr>
          <w:ilvl w:val="0"/>
          <w:numId w:val="0"/>
        </w:numPr>
        <w:spacing w:line="570" w:lineRule="exact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我单位进一步提高预算绩效管理认识，积极开展项目绩效评价，及时跟踪项目进度，切实加强对财政资金的监管，进一步提高预算绩效评价质量。</w:t>
      </w:r>
    </w:p>
    <w:p w14:paraId="02246209">
      <w:pPr>
        <w:numPr>
          <w:ilvl w:val="0"/>
          <w:numId w:val="4"/>
        </w:numPr>
        <w:spacing w:line="570" w:lineRule="exact"/>
        <w:ind w:left="0" w:leftChars="0"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528F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项目决策科学，依据充分，项目管理较为规范，项目完成效果好，实施后达到了预期目的。我局对外公开了绩效自评结果。</w:t>
      </w:r>
    </w:p>
    <w:p w14:paraId="0B4744EF">
      <w:pPr>
        <w:numPr>
          <w:ilvl w:val="0"/>
          <w:numId w:val="4"/>
        </w:numPr>
        <w:spacing w:line="570" w:lineRule="exact"/>
        <w:ind w:left="0" w:leftChars="0"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2427237C">
      <w:pPr>
        <w:numPr>
          <w:ilvl w:val="0"/>
          <w:numId w:val="0"/>
        </w:numPr>
        <w:spacing w:line="570" w:lineRule="exact"/>
        <w:ind w:leftChars="200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35DB8A04">
      <w:pPr>
        <w:spacing w:after="120" w:afterLines="50" w:line="600" w:lineRule="exact"/>
        <w:rPr>
          <w:rFonts w:eastAsia="黑体"/>
          <w:sz w:val="32"/>
          <w:szCs w:val="32"/>
        </w:rPr>
      </w:pPr>
    </w:p>
    <w:p w14:paraId="523718C6">
      <w:pPr>
        <w:spacing w:after="120" w:afterLines="50" w:line="600" w:lineRule="exact"/>
        <w:rPr>
          <w:rFonts w:eastAsia="黑体"/>
          <w:sz w:val="32"/>
          <w:szCs w:val="32"/>
        </w:rPr>
      </w:pPr>
    </w:p>
    <w:p w14:paraId="3FCC1477">
      <w:pPr>
        <w:spacing w:after="120" w:afterLines="50" w:line="600" w:lineRule="exact"/>
        <w:rPr>
          <w:rFonts w:eastAsia="黑体"/>
          <w:sz w:val="32"/>
          <w:szCs w:val="32"/>
        </w:rPr>
      </w:pPr>
    </w:p>
    <w:p w14:paraId="5C8DFB67">
      <w:pPr>
        <w:spacing w:after="120" w:afterLines="50" w:line="600" w:lineRule="exact"/>
        <w:rPr>
          <w:rFonts w:eastAsia="黑体"/>
          <w:sz w:val="32"/>
          <w:szCs w:val="32"/>
        </w:rPr>
      </w:pPr>
    </w:p>
    <w:p w14:paraId="3F47AE54">
      <w:pPr>
        <w:spacing w:after="120" w:afterLines="50" w:line="600" w:lineRule="exact"/>
        <w:rPr>
          <w:rFonts w:eastAsia="黑体"/>
          <w:sz w:val="32"/>
          <w:szCs w:val="32"/>
        </w:rPr>
      </w:pPr>
    </w:p>
    <w:p w14:paraId="33D175A6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FA28FE2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7F1BD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046FCA1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742BBB1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3CA8C92C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优抚专项</w:t>
            </w:r>
          </w:p>
        </w:tc>
      </w:tr>
      <w:tr w14:paraId="77B89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763E33F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2D2948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06E254E6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6064.27万元</w:t>
            </w:r>
          </w:p>
        </w:tc>
      </w:tr>
      <w:tr w14:paraId="3AA03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91C998B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070142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1FCF637D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22C84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02E126C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A76CD8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 w14:paraId="3F344498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保障优抚对象等人员抚恤、生活补助</w:t>
            </w:r>
          </w:p>
        </w:tc>
      </w:tr>
      <w:tr w14:paraId="07E24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00F559CA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3512D3A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 w14:paraId="4BB787FA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41183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2ED015FB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86DAE2D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59F74CC1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40F18463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减轻退役军人的家庭负担、鼓励退役军人继续发放军人精神</w:t>
            </w:r>
          </w:p>
          <w:p w14:paraId="6AAA7722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497F0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6128C08D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179EB93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37E90D58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64034A58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资金拨付不够及时。</w:t>
            </w:r>
          </w:p>
          <w:p w14:paraId="1D1ED8CF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6FB59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58B93B8B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E46F4F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79650355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积极与市退役军人事务局、区财政局沟通，确保资金及时到位。</w:t>
            </w:r>
          </w:p>
        </w:tc>
      </w:tr>
      <w:tr w14:paraId="3E02D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19A427AA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37A994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40FCE4E1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65C2394A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093F0938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1D465562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3E11FA9F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2696357A"/>
    <w:p w14:paraId="266A0E7B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E2EBF38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29D43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5E4E598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2457689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0E3337E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优抚医疗专项</w:t>
            </w:r>
          </w:p>
        </w:tc>
      </w:tr>
      <w:tr w14:paraId="5969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609088B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DB0C403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6C43548D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280.29万元</w:t>
            </w:r>
          </w:p>
        </w:tc>
      </w:tr>
      <w:tr w14:paraId="6621E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9C039B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DD3120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56E40D51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7F59A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72E5D78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DB0F23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5DA66EBE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保障优抚对象等人员医疗补助</w:t>
            </w:r>
          </w:p>
        </w:tc>
      </w:tr>
      <w:tr w14:paraId="59758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5EAE303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3D4EDE5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3BC35F27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44278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0BB3806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A26D206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56B0EFA3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56FA378C">
            <w:pPr>
              <w:numPr>
                <w:ilvl w:val="0"/>
                <w:numId w:val="0"/>
              </w:numPr>
              <w:spacing w:line="576" w:lineRule="exact"/>
              <w:ind w:right="880" w:rightChars="419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1、完成短期疗养工作；</w:t>
            </w:r>
          </w:p>
          <w:p w14:paraId="2D69C40F">
            <w:pPr>
              <w:spacing w:line="576" w:lineRule="exact"/>
              <w:ind w:right="880" w:rightChars="419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2、完成医疗门诊、住院报账工作；</w:t>
            </w:r>
          </w:p>
          <w:p w14:paraId="426EE194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3、完成医疗巡诊工作。</w:t>
            </w:r>
          </w:p>
        </w:tc>
      </w:tr>
      <w:tr w14:paraId="0A26B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1622ABE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2FC3038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1B88E9CD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1C57130F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资金拨付不够及时。</w:t>
            </w:r>
          </w:p>
          <w:p w14:paraId="04B41DDD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4DB5B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765DEB13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55871E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0F3F9123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积极与市退役军人事务局、区财政局沟通，确保资金及时到位。</w:t>
            </w:r>
          </w:p>
        </w:tc>
      </w:tr>
      <w:tr w14:paraId="60E3C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173A3829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1BB9B6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7F72C0E2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58700E13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4BC3AAF9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0FEED1A9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6413CADF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315D83C8"/>
    <w:p w14:paraId="717FB61E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D5CFE1D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24E1C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4B1AFA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3A8DFAA6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23E1BA9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向上争资工作经费</w:t>
            </w:r>
          </w:p>
        </w:tc>
      </w:tr>
      <w:tr w14:paraId="4847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1C660D3C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F954E7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2886AEA4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5万元</w:t>
            </w:r>
          </w:p>
        </w:tc>
      </w:tr>
      <w:tr w14:paraId="5ED0B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64ABAA7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2FA68E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27617786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27149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CB497D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8571B9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4C1510A0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保障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争资工作的顺利进行</w:t>
            </w:r>
          </w:p>
        </w:tc>
      </w:tr>
      <w:tr w14:paraId="1208A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152AFAB0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2A1924A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33D571A1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33617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7050C31F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178D46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0D5BE04B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57BA3667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当年争资任务完成78%</w:t>
            </w:r>
          </w:p>
        </w:tc>
      </w:tr>
      <w:tr w14:paraId="6F2BF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0827059A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1518092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0F5DD821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1971C404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审核了优抚系统内各项人员资料，剔除了部分人员导致资金减少</w:t>
            </w:r>
          </w:p>
        </w:tc>
      </w:tr>
      <w:tr w14:paraId="64371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03A8602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4A8668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2D3520DA">
            <w:pPr>
              <w:spacing w:line="576" w:lineRule="exact"/>
              <w:ind w:right="880" w:rightChars="419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积极与市退役军人事务局、区财政局沟通，设置合适的争资任务目标</w:t>
            </w:r>
          </w:p>
        </w:tc>
      </w:tr>
      <w:tr w14:paraId="06901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54F4A8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2831D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291BF5B3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56D72FB6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3384A1C6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72457A74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1875BCF3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374D10BB"/>
    <w:p w14:paraId="602A7B5F"/>
    <w:p w14:paraId="52447C39"/>
    <w:p w14:paraId="6295D223"/>
    <w:p w14:paraId="7399D27A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2262ED9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3A281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5316243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69300FB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11AC2963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工程项目</w:t>
            </w:r>
          </w:p>
        </w:tc>
      </w:tr>
      <w:tr w14:paraId="473B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E91E9A7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728A78B6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09A7DB5F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1007.09万元</w:t>
            </w:r>
          </w:p>
        </w:tc>
      </w:tr>
      <w:tr w14:paraId="5D03E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13C83885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F5CFE3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5A84B804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0D38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BB646B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A86D93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679167B1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完成光荣院的主体工程建设</w:t>
            </w:r>
          </w:p>
        </w:tc>
      </w:tr>
      <w:tr w14:paraId="53505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58EA85D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5F55616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4FC64793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7F178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7092247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559948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4BB21CAC">
            <w:pPr>
              <w:numPr>
                <w:ilvl w:val="0"/>
                <w:numId w:val="0"/>
              </w:numPr>
              <w:spacing w:line="576" w:lineRule="exact"/>
              <w:ind w:right="880" w:rightChars="419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1、按进度完成光荣院建设；</w:t>
            </w:r>
          </w:p>
          <w:p w14:paraId="1942E2AB">
            <w:pPr>
              <w:numPr>
                <w:ilvl w:val="0"/>
                <w:numId w:val="0"/>
              </w:numPr>
              <w:spacing w:line="576" w:lineRule="exact"/>
              <w:ind w:right="880" w:rightChars="419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2、按进度完成烈士纪念园建设。</w:t>
            </w:r>
          </w:p>
          <w:p w14:paraId="13CD78F8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</w:p>
        </w:tc>
      </w:tr>
      <w:tr w14:paraId="6DA33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167404F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305BAA6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1B3653AB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存在重项目资金使用，轻项目资金使用效益意识。</w:t>
            </w:r>
          </w:p>
        </w:tc>
      </w:tr>
      <w:tr w14:paraId="6F727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4C9F6C2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167608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435C1BAA">
            <w:pPr>
              <w:spacing w:line="576" w:lineRule="exact"/>
              <w:ind w:right="880" w:rightChars="419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严格实行项目管理程序化，实现项目申报、实施、拨付、评价全流程监督与控制，规范专项资金管理，提高专项资金的使用效益。</w:t>
            </w:r>
          </w:p>
        </w:tc>
      </w:tr>
      <w:tr w14:paraId="01420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3A45903A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3AE1FC6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3F23EDD2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7736310A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4D6D63C7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58AA25D3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5FE2E7ED"/>
    <w:p w14:paraId="1E7A9899"/>
    <w:p w14:paraId="1AB57856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97ED4BB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6832D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0259C2BD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2F7EE63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342C5BBE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退役军人事务专项</w:t>
            </w:r>
          </w:p>
        </w:tc>
      </w:tr>
      <w:tr w14:paraId="07900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606C363A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ED0CFD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3FBCFEBD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91.83万元</w:t>
            </w:r>
          </w:p>
        </w:tc>
      </w:tr>
      <w:tr w14:paraId="39D50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13D2863C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F20BF6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37D2655F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6565B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119303C2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150E35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099E02A0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提高全国享受多家定期抚恤补助优抚对象数据的精细化管理工作</w:t>
            </w:r>
          </w:p>
        </w:tc>
      </w:tr>
      <w:tr w14:paraId="46E58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4612083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3C52AA6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2965A987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219DD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6DE2D207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A64DE5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52D1DACC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开展“五个一”及祭扫活动。举办退役军人返乡欢迎仪式、招聘会、座谈会、参观活动、免费职业技能培训的经费，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完成全区的退役军人年度定期核查工作。</w:t>
            </w:r>
          </w:p>
        </w:tc>
      </w:tr>
      <w:tr w14:paraId="3905B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625C7B3A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48F449F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18F660F8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存在重项目资金使用，轻项目资金使用效益意识。</w:t>
            </w:r>
          </w:p>
        </w:tc>
      </w:tr>
      <w:tr w14:paraId="6B7CB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3BF2B14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71DB27F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722CBC9A">
            <w:pPr>
              <w:spacing w:line="576" w:lineRule="exact"/>
              <w:ind w:right="880" w:rightChars="419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严格实行项目管理程序化，实现项目申报、实施、拨付、评价全流程监督与控制，规范专项资金管理，提高专项资金的使用效益。</w:t>
            </w:r>
          </w:p>
        </w:tc>
      </w:tr>
      <w:tr w14:paraId="27519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D17BCDA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7599EE4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7612D83C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2436E3A7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15328AD2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6EB90A31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136EC6BF">
      <w:pPr>
        <w:rPr>
          <w:b/>
          <w:bCs/>
        </w:rPr>
      </w:pPr>
    </w:p>
    <w:p w14:paraId="6A3F4F2C">
      <w:pPr>
        <w:rPr>
          <w:b/>
          <w:bCs/>
        </w:rPr>
      </w:pPr>
    </w:p>
    <w:p w14:paraId="798CE5EF">
      <w:pPr>
        <w:rPr>
          <w:b/>
          <w:bCs/>
        </w:rPr>
      </w:pPr>
    </w:p>
    <w:p w14:paraId="3B785BC0">
      <w:pPr>
        <w:rPr>
          <w:b/>
          <w:bCs/>
        </w:rPr>
      </w:pPr>
    </w:p>
    <w:p w14:paraId="50655C13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3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6AE8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3F86834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2172218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18AA8285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安置专项</w:t>
            </w:r>
          </w:p>
        </w:tc>
      </w:tr>
      <w:tr w14:paraId="59CE2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D5019B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ABD178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121B09F2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553.97万元</w:t>
            </w:r>
          </w:p>
        </w:tc>
      </w:tr>
      <w:tr w14:paraId="1743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40013F24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1430C6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56212503">
            <w:pPr>
              <w:spacing w:line="576" w:lineRule="exact"/>
              <w:ind w:right="880" w:rightChars="419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永州市零陵区退役军人事务局</w:t>
            </w:r>
          </w:p>
        </w:tc>
      </w:tr>
      <w:tr w14:paraId="17902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2590F658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E23C64D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7C2F02E5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保障落实退役军人各项权益</w:t>
            </w:r>
          </w:p>
        </w:tc>
      </w:tr>
      <w:tr w14:paraId="639A8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1CC2AEB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07459083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shd w:val="clear" w:color="auto" w:fill="auto"/>
            <w:noWrap w:val="0"/>
            <w:vAlign w:val="center"/>
          </w:tcPr>
          <w:p w14:paraId="2902DBD8">
            <w:pPr>
              <w:spacing w:line="576" w:lineRule="exact"/>
              <w:ind w:right="880" w:rightChars="419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对资金使用进行了严格监控和管理，确保资金使用的合理性和效益。</w:t>
            </w:r>
          </w:p>
        </w:tc>
      </w:tr>
      <w:tr w14:paraId="45608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05D09D4F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E38C8DA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55583A87">
            <w:pPr>
              <w:numPr>
                <w:ilvl w:val="0"/>
                <w:numId w:val="0"/>
              </w:numPr>
              <w:spacing w:line="576" w:lineRule="exact"/>
              <w:ind w:right="880" w:rightChars="419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1、完成全年分散军干工资发放；</w:t>
            </w:r>
          </w:p>
          <w:p w14:paraId="6220B7FF">
            <w:pPr>
              <w:spacing w:line="576" w:lineRule="exact"/>
              <w:ind w:right="880" w:rightChars="419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2、完成退役士兵一次性经济补助发放；</w:t>
            </w:r>
          </w:p>
          <w:p w14:paraId="7B6C56B5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3、完成自主择业军转干部医疗保险。</w:t>
            </w:r>
          </w:p>
        </w:tc>
      </w:tr>
      <w:tr w14:paraId="528A5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06181261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202259E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76AB55DA">
            <w:pPr>
              <w:spacing w:line="576" w:lineRule="exact"/>
              <w:ind w:right="880" w:rightChars="419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资金拨付不够及时。</w:t>
            </w:r>
          </w:p>
          <w:p w14:paraId="57683389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</w:p>
        </w:tc>
      </w:tr>
      <w:tr w14:paraId="2FBEE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476499AF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446330D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15D7D332">
            <w:pPr>
              <w:spacing w:line="576" w:lineRule="exact"/>
              <w:ind w:right="880" w:rightChars="419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积极与市退役军人事务局、区财政局沟通，确保资金及时到位。</w:t>
            </w:r>
          </w:p>
        </w:tc>
      </w:tr>
      <w:tr w14:paraId="1173E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36A68B39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D5BE7AE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1E45F547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3F87DA74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50575543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7BED845D">
      <w:pPr>
        <w:snapToGrid w:val="0"/>
        <w:spacing w:line="380" w:lineRule="atLeast"/>
        <w:rPr>
          <w:rFonts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37706B6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CA0DA"/>
    <w:multiLevelType w:val="singleLevel"/>
    <w:tmpl w:val="813CA0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EBD94C"/>
    <w:multiLevelType w:val="singleLevel"/>
    <w:tmpl w:val="BBEBD94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8BB2F30"/>
    <w:multiLevelType w:val="singleLevel"/>
    <w:tmpl w:val="08BB2F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352D00E"/>
    <w:multiLevelType w:val="singleLevel"/>
    <w:tmpl w:val="5352D00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365E0"/>
    <w:rsid w:val="079219EE"/>
    <w:rsid w:val="54105DF7"/>
    <w:rsid w:val="5CC365E0"/>
    <w:rsid w:val="771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5031</Words>
  <Characters>5279</Characters>
  <Lines>0</Lines>
  <Paragraphs>0</Paragraphs>
  <TotalTime>0</TotalTime>
  <ScaleCrop>false</ScaleCrop>
  <LinksUpToDate>false</LinksUpToDate>
  <CharactersWithSpaces>5414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2025-07-18T08:05:00Z</dcterms:created>
  <dc:creator> thanks</dc:creator>
  <cp:lastModifiedBy>烈焰</cp:lastModifiedBy>
  <dcterms:modified xsi:type="dcterms:W3CDTF">2025-10-28T07:23:41Z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968564ABC33D4FB58552DCBA823E8BE5_11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