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6E2C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永州市</w:t>
      </w:r>
      <w:r>
        <w:rPr>
          <w:rFonts w:hint="eastAsia" w:eastAsia="方正小标宋_GBK"/>
          <w:sz w:val="48"/>
          <w:szCs w:val="48"/>
          <w:lang w:eastAsia="zh-CN"/>
        </w:rPr>
        <w:t>零陵区实验中学</w:t>
      </w:r>
      <w:r>
        <w:rPr>
          <w:rFonts w:eastAsia="方正小标宋_GBK"/>
          <w:sz w:val="48"/>
          <w:szCs w:val="48"/>
        </w:rPr>
        <w:t>部门</w:t>
      </w:r>
    </w:p>
    <w:p w14:paraId="7143BD74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整体支出绩效</w:t>
      </w:r>
      <w:r>
        <w:rPr>
          <w:rFonts w:hint="eastAsia" w:eastAsia="方正小标宋_GBK"/>
          <w:sz w:val="48"/>
          <w:szCs w:val="48"/>
          <w:lang w:val="en-US" w:eastAsia="zh-CN"/>
        </w:rPr>
        <w:t>评价</w:t>
      </w:r>
      <w:r>
        <w:rPr>
          <w:rFonts w:eastAsia="方正小标宋_GBK"/>
          <w:sz w:val="48"/>
          <w:szCs w:val="48"/>
        </w:rPr>
        <w:t>报告</w:t>
      </w:r>
    </w:p>
    <w:p w14:paraId="05074109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年学校进一步加强各种制度建立、完善，使后勤管理工作进一步规范，提高服务工作实效。认真开展专题活动，加强师生安全教育，加强周边环境治理。加强校园协警管理和护校队队伍建设，及时调整人员，保证物资配备，保障了校园不受外来干扰和侵害，加强隐患的排查和整改。</w:t>
      </w:r>
    </w:p>
    <w:p w14:paraId="30B09166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一、部门财政支出管理情况</w:t>
      </w:r>
    </w:p>
    <w:p w14:paraId="17D110C5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（一）预算编制情况。</w:t>
      </w:r>
    </w:p>
    <w:p w14:paraId="725651EC">
      <w:pPr>
        <w:pStyle w:val="6"/>
        <w:ind w:firstLine="640" w:firstLineChars="20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年度财政拨款基本支出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1229.2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1024.49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83.3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%,主要包括基本工资、津贴补贴、绩效工资、社会保险缴费、生活补助、对个人和家庭补助等；公用经费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204.71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16.7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%，主要包括办公费、印刷费、水电费、差旅费、培训费等。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 </w:t>
      </w:r>
    </w:p>
    <w:p w14:paraId="38049817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（二）执行管理情况。</w:t>
      </w:r>
    </w:p>
    <w:p w14:paraId="48D3E474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永州市零陵区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</w:t>
      </w:r>
      <w:bookmarkStart w:id="0" w:name="_GoBack"/>
      <w:bookmarkEnd w:id="0"/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严格按照预算执行，在收到财政下达的各类款项后，按照资金的用途使用，支出总额控制在预算总额以内，按照预算执行进度，及时支付。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年末结转结余资金为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万元。</w:t>
      </w:r>
    </w:p>
    <w:p w14:paraId="19C49C6A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（三）决算编制情况。</w:t>
      </w:r>
    </w:p>
    <w:p w14:paraId="2F18DF97">
      <w:pPr>
        <w:pStyle w:val="2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1108.99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1229.2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万元，完成年初预算的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  <w:lang w:val="en-US" w:eastAsia="zh-CN"/>
        </w:rPr>
        <w:t>110.84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，其中：</w:t>
      </w:r>
    </w:p>
    <w:p w14:paraId="0108D899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（一）一般公共预算财政拨款支出决算总体情况</w:t>
      </w:r>
      <w:r>
        <w:rPr>
          <w:sz w:val="27"/>
          <w:szCs w:val="27"/>
        </w:rPr>
        <w:t xml:space="preserve"> </w:t>
      </w:r>
    </w:p>
    <w:p w14:paraId="1C93BB52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855"/>
        <w:rPr>
          <w:sz w:val="27"/>
          <w:szCs w:val="27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年度一般公共预算财政拨款支出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1229.2</w:t>
      </w:r>
      <w:r>
        <w:rPr>
          <w:rFonts w:hint="eastAsia" w:ascii="宋体" w:hAnsi="宋体" w:eastAsia="宋体" w:cs="宋体"/>
          <w:sz w:val="32"/>
          <w:szCs w:val="32"/>
        </w:rPr>
        <w:t>万元，占本年支出合计的100%。与上一年度相比，一般公共预算财政拨款支出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减少187.87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减少13.26</w:t>
      </w:r>
      <w:r>
        <w:rPr>
          <w:rFonts w:hint="eastAsia" w:ascii="宋体" w:hAnsi="宋体" w:eastAsia="宋体" w:cs="宋体"/>
          <w:sz w:val="32"/>
          <w:szCs w:val="32"/>
        </w:rPr>
        <w:t>%。主要是因为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教师、学生人数减少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sz w:val="27"/>
          <w:szCs w:val="27"/>
        </w:rPr>
        <w:t xml:space="preserve"> </w:t>
      </w:r>
    </w:p>
    <w:p w14:paraId="7A223300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（二）一般公共预算财政拨款支出决算结构情况</w:t>
      </w:r>
      <w:r>
        <w:rPr>
          <w:sz w:val="27"/>
          <w:szCs w:val="27"/>
        </w:rPr>
        <w:t xml:space="preserve"> </w:t>
      </w:r>
    </w:p>
    <w:p w14:paraId="76F95950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sz w:val="27"/>
          <w:szCs w:val="27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年度一般公共预算财政拨款支出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1229.2</w:t>
      </w:r>
      <w:r>
        <w:rPr>
          <w:rFonts w:hint="eastAsia" w:ascii="宋体" w:hAnsi="宋体" w:eastAsia="宋体" w:cs="宋体"/>
          <w:sz w:val="32"/>
          <w:szCs w:val="32"/>
        </w:rPr>
        <w:t>万元，主要用于以下方面：教育支出1,207.12万元，占98.2%；社会保障和就业支出17.58万元，占1.43%；其他支出4.5万元，占0.37%。</w:t>
      </w:r>
    </w:p>
    <w:p w14:paraId="6CE50820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（三）一般公共预算财政拨款支出决算具体情况</w:t>
      </w:r>
      <w:r>
        <w:rPr>
          <w:sz w:val="27"/>
          <w:szCs w:val="27"/>
        </w:rPr>
        <w:t xml:space="preserve"> </w:t>
      </w:r>
    </w:p>
    <w:p w14:paraId="4F3A1702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sz w:val="27"/>
          <w:szCs w:val="27"/>
        </w:rPr>
      </w:pPr>
      <w:r>
        <w:rPr>
          <w:rFonts w:hint="eastAsia" w:ascii="宋体" w:hAnsi="宋体" w:eastAsia="宋体" w:cs="宋体"/>
          <w:sz w:val="32"/>
          <w:szCs w:val="32"/>
        </w:rPr>
        <w:t>2024年度财政拨款支出年初预算数为1,108.99万元，支出决算数为1,229.2万元，完成年初预算的110.84%，其中：</w:t>
      </w:r>
      <w:r>
        <w:rPr>
          <w:sz w:val="27"/>
          <w:szCs w:val="27"/>
        </w:rPr>
        <w:t xml:space="preserve"> </w:t>
      </w:r>
    </w:p>
    <w:p w14:paraId="25906DB9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1.教育支出（类）普通教育（款）初中教育（项）</w:t>
      </w:r>
      <w:r>
        <w:rPr>
          <w:sz w:val="27"/>
          <w:szCs w:val="27"/>
        </w:rPr>
        <w:t xml:space="preserve"> </w:t>
      </w:r>
    </w:p>
    <w:p w14:paraId="71562598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ascii="宋体" w:hAnsi="宋体" w:eastAsia="宋体" w:cs="宋体"/>
          <w:sz w:val="32"/>
          <w:szCs w:val="32"/>
        </w:rPr>
        <w:t>年初预算为1,108.99万元，支出决算为1,043.45万元，完成年初预算的94.09%。决算数小于年初预算数的主要原因是：教师、学生人数减少。</w:t>
      </w:r>
    </w:p>
    <w:p w14:paraId="3F3E104B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2.教育支出（类）普通教育（款）其他普通教育支出（项）</w:t>
      </w:r>
      <w:r>
        <w:rPr>
          <w:sz w:val="27"/>
          <w:szCs w:val="27"/>
        </w:rPr>
        <w:t xml:space="preserve"> </w:t>
      </w:r>
    </w:p>
    <w:p w14:paraId="6C38EDE9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ascii="宋体" w:hAnsi="宋体" w:eastAsia="宋体" w:cs="宋体"/>
          <w:sz w:val="32"/>
          <w:szCs w:val="32"/>
        </w:rPr>
        <w:t>年初预算为0万元，支出决算为163.67万元，由于年初预算为0万元，无法计算百分比。决算数大于年初预算数的主要原因是：年初预算未分类详细。</w:t>
      </w:r>
    </w:p>
    <w:p w14:paraId="4890DC2A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3.社会保障和就业支出（类）抚恤（款）死亡抚恤（项）</w:t>
      </w:r>
      <w:r>
        <w:rPr>
          <w:sz w:val="27"/>
          <w:szCs w:val="27"/>
        </w:rPr>
        <w:t xml:space="preserve"> </w:t>
      </w:r>
    </w:p>
    <w:p w14:paraId="374CD8D2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ascii="宋体" w:hAnsi="宋体" w:eastAsia="宋体" w:cs="宋体"/>
          <w:sz w:val="32"/>
          <w:szCs w:val="32"/>
        </w:rPr>
        <w:t>年初预算为0万元，支出决算为5.17万元，由于年初预算为0万元，无法计算百分比。决算数大于年初预算数的主要原因是：年初预算未分类详细。</w:t>
      </w:r>
    </w:p>
    <w:p w14:paraId="20AEB811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4.社会保障和就业支出（类）其他社会保障和就业支出（款）其他社会保障和就业支出（项）</w:t>
      </w:r>
      <w:r>
        <w:rPr>
          <w:sz w:val="27"/>
          <w:szCs w:val="27"/>
        </w:rPr>
        <w:t xml:space="preserve"> </w:t>
      </w:r>
    </w:p>
    <w:p w14:paraId="28788583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ascii="宋体" w:hAnsi="宋体" w:eastAsia="宋体" w:cs="宋体"/>
          <w:sz w:val="32"/>
          <w:szCs w:val="32"/>
        </w:rPr>
        <w:t>年初预算为0万元，支出决算为12.41万元，由于年初预算为0万元，无法计算百分比。决算数大于年初预算数的主要原因是：年初预算未分类详细。</w:t>
      </w:r>
    </w:p>
    <w:p w14:paraId="2EDC5DAA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5.其他支出（类）其他支出（款）其他支出（项）</w:t>
      </w:r>
      <w:r>
        <w:rPr>
          <w:sz w:val="27"/>
          <w:szCs w:val="27"/>
        </w:rPr>
        <w:t xml:space="preserve"> </w:t>
      </w:r>
    </w:p>
    <w:p w14:paraId="0F8D32C6">
      <w:pPr>
        <w:pStyle w:val="2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7"/>
          <w:szCs w:val="27"/>
        </w:rPr>
      </w:pPr>
      <w:r>
        <w:rPr>
          <w:rFonts w:ascii="宋体" w:hAnsi="宋体" w:eastAsia="宋体" w:cs="宋体"/>
          <w:sz w:val="32"/>
          <w:szCs w:val="32"/>
        </w:rPr>
        <w:t>年初预算为0万元，支出决算为4.5万元，由于年初预算为0万元，无法计算百分比。决算数大于年初预算数的主要原因是：年初预算未分类详细。</w:t>
      </w:r>
    </w:p>
    <w:p w14:paraId="3ADC6651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（四）支出绩效情况。</w:t>
      </w:r>
    </w:p>
    <w:p w14:paraId="5B235C6A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永州市零陵区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严格遵守各项财经纪律，加强学校财务管理工作，制定了相关规章制度，加强和细化了预算编制，严格按照预算执行，确保财务收支平衡，保障学校工作正常开展和教育教学目标的完成。</w:t>
      </w:r>
    </w:p>
    <w:p w14:paraId="40E76CA3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根据学校的具体情况，永州市零陵区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制定了《零陵区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内部控制制度》，进一步完善了财务收支审批制度、会计工作人员岗位制度等相关制度，相关工作人员在工作中严格执行规章制度，加强了内部监督和控制，加强了对学校资产的监督和管理，财务运行透明，按照零陵区财政局的要求，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及时对预算和决算信息进行公开，接受广大人民群众的监督。</w:t>
      </w:r>
    </w:p>
    <w:p w14:paraId="1E9CFB22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二、评价结论及建议</w:t>
      </w:r>
    </w:p>
    <w:p w14:paraId="78426D9E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（一）评价结论。</w:t>
      </w:r>
    </w:p>
    <w:p w14:paraId="7F07E233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永州市零陵区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在预算编制、预算执行和支出绩效方面，都按照规定严格执行，合理安排支出，无追加预算现象发生，使财政资金发挥最大效益。</w:t>
      </w:r>
    </w:p>
    <w:p w14:paraId="01EB372A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（二）存在问题。</w:t>
      </w:r>
    </w:p>
    <w:p w14:paraId="3402FB64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预算编制细化程度不够。</w:t>
      </w:r>
    </w:p>
    <w:p w14:paraId="32C5C65F">
      <w:pPr>
        <w:pStyle w:val="2"/>
        <w:widowControl/>
        <w:shd w:val="clear" w:color="auto" w:fill="FFFFFF"/>
        <w:ind w:firstLine="640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（三）改进建议。</w:t>
      </w:r>
    </w:p>
    <w:p w14:paraId="4CC599F1">
      <w:pPr>
        <w:pStyle w:val="2"/>
        <w:widowControl/>
        <w:shd w:val="clear" w:color="auto" w:fill="FFFFFF"/>
        <w:ind w:firstLine="640"/>
      </w:pP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永州市零陵区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实验中学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将进一步重视预算编制工作，提高预算编制的精确度，尽量减少结转结余额度。学校需要进一步加强财务管理，严格财务审核，控制超支现象发生。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TYyZmM3NTMzYzU0Y2FkYWQwMWYyZWVlZGU3MzAifQ=="/>
  </w:docVars>
  <w:rsids>
    <w:rsidRoot w:val="76A5651C"/>
    <w:rsid w:val="07D40C94"/>
    <w:rsid w:val="0A1932F2"/>
    <w:rsid w:val="131221BB"/>
    <w:rsid w:val="1460693A"/>
    <w:rsid w:val="226E3614"/>
    <w:rsid w:val="6AA90BE7"/>
    <w:rsid w:val="6F160634"/>
    <w:rsid w:val="708C462D"/>
    <w:rsid w:val="728C785A"/>
    <w:rsid w:val="76A5651C"/>
    <w:rsid w:val="79DB277C"/>
    <w:rsid w:val="7ED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2059</Characters>
  <Lines>0</Lines>
  <Paragraphs>0</Paragraphs>
  <TotalTime>43</TotalTime>
  <ScaleCrop>false</ScaleCrop>
  <LinksUpToDate>false</LinksUpToDate>
  <CharactersWithSpaces>2080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2022-09-23T02:53:00Z</dcterms:created>
  <dc:creator>Administrator</dc:creator>
  <cp:lastModifiedBy>杨永国</cp:lastModifiedBy>
  <dcterms:modified xsi:type="dcterms:W3CDTF">2025-09-10T01:53:05Z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3FA5BC6C071F48B98A657B11D68F4B53_13</vt:lpwstr>
  </property>
  <property fmtid="{D5CDD505-2E9C-101B-9397-08002B2CF9AE}" pid="4" name="KSOTemplateDocerSaveRecord">
    <vt:lpwstr>eyJoZGlkIjoiZTM3NTYyZmM3NTMzYzU0Y2FkYWQwMWYyZWVlZGU3MzAiLCJ1c2VySWQiOiI0NjcxMjc1NTYifQ==</vt:lpwstr>
  </property>
</Properties>
</file>