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/>
          <w:sz w:val="48"/>
          <w:szCs w:val="48"/>
        </w:rPr>
        <w:t>2024</w:t>
      </w:r>
      <w:r>
        <w:rPr>
          <w:rFonts w:hint="eastAsia" w:ascii="微软雅黑" w:hAnsi="微软雅黑" w:eastAsia="微软雅黑" w:cs="微软雅黑"/>
          <w:sz w:val="48"/>
          <w:szCs w:val="48"/>
        </w:rPr>
        <w:t>年度零陵区</w:t>
      </w:r>
      <w:r>
        <w:rPr>
          <w:rFonts w:hint="eastAsia" w:ascii="微软雅黑" w:hAnsi="微软雅黑" w:eastAsia="微软雅黑" w:cs="微软雅黑"/>
          <w:sz w:val="48"/>
          <w:szCs w:val="48"/>
          <w:lang w:eastAsia="zh-CN"/>
        </w:rPr>
        <w:t>石岩头镇中心小学</w:t>
      </w:r>
      <w:r>
        <w:rPr>
          <w:rFonts w:hint="eastAsia" w:ascii="微软雅黑" w:hAnsi="微软雅黑" w:eastAsia="微软雅黑" w:cs="微软雅黑"/>
          <w:sz w:val="48"/>
          <w:szCs w:val="48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单位名称（盖章）：</w:t>
      </w:r>
      <w:r>
        <w:rPr>
          <w:rFonts w:hint="eastAsia" w:eastAsia="仿宋_GB2312"/>
          <w:sz w:val="32"/>
          <w:szCs w:val="32"/>
          <w:lang w:eastAsia="zh-CN"/>
        </w:rPr>
        <w:t>石岩头镇中心小学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eastAsia="楷体_GB2312"/>
          <w:sz w:val="32"/>
          <w:szCs w:val="32"/>
        </w:rPr>
        <w:t xml:space="preserve">5年 </w:t>
      </w:r>
      <w:r>
        <w:rPr>
          <w:rFonts w:hint="eastAsia" w:eastAsia="楷体_GB2312"/>
          <w:sz w:val="32"/>
          <w:szCs w:val="32"/>
        </w:rPr>
        <w:t>0</w:t>
      </w:r>
      <w:r>
        <w:rPr>
          <w:rFonts w:eastAsia="楷体_GB2312"/>
          <w:sz w:val="32"/>
          <w:szCs w:val="32"/>
        </w:rPr>
        <w:t xml:space="preserve">7月 </w:t>
      </w:r>
      <w:r>
        <w:rPr>
          <w:rFonts w:hint="eastAsia" w:eastAsia="楷体_GB2312"/>
          <w:sz w:val="32"/>
          <w:szCs w:val="32"/>
          <w:lang w:val="en-US" w:eastAsia="zh-CN"/>
        </w:rPr>
        <w:t>16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shd w:val="clear" w:color="auto" w:fill="FFFFFF"/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（一）单位职能职责、机构编制、人员构成情况。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(1)认真贯彻落实党的教育方针，坚持依法办学；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(2)严格执行上级有关招生、收费等文件精神；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(3)认真履行教育法、教师法等法律法规；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(4)积极做好教师队伍培训，重点做好校园和师生的安全教育工作；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(5)努力完成好各项教育教学任务。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2．机构编制情况，包括当年变动情况及原因。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ascii="仿宋_GB2312" w:hAnsi="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我校是一所义务教育阶段的</w:t>
      </w:r>
      <w:r>
        <w:rPr>
          <w:rFonts w:hint="eastAsia" w:ascii="宋体" w:hAnsi="宋体"/>
          <w:sz w:val="28"/>
          <w:szCs w:val="28"/>
          <w:lang w:eastAsia="zh-CN"/>
        </w:rPr>
        <w:t>中心小学</w:t>
      </w:r>
      <w:r>
        <w:rPr>
          <w:rFonts w:hint="eastAsia" w:ascii="宋体" w:hAnsi="宋体"/>
          <w:sz w:val="28"/>
          <w:szCs w:val="28"/>
        </w:rPr>
        <w:t>，属于财政全额拨款的事业单位，隶属于零陵区教育局。202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年度内设职能部门5个：校长室、办公室、教导处、政教处、总务处。</w:t>
      </w:r>
    </w:p>
    <w:p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人员构成情况，包括当年变动情况及原因。</w:t>
      </w:r>
    </w:p>
    <w:p>
      <w:pPr>
        <w:ind w:firstLine="600"/>
        <w:rPr>
          <w:rFonts w:hint="eastAsia" w:ascii="仿宋_GB2312" w:hAnsi="仿宋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28"/>
          <w:szCs w:val="28"/>
        </w:rPr>
        <w:t>零陵区</w:t>
      </w:r>
      <w:r>
        <w:rPr>
          <w:rFonts w:hint="eastAsia" w:ascii="宋体" w:hAnsi="宋体"/>
          <w:sz w:val="28"/>
          <w:szCs w:val="28"/>
          <w:lang w:eastAsia="zh-CN"/>
        </w:rPr>
        <w:t>中心小学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42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43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43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43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eastAsia="zh-CN"/>
        </w:rPr>
        <w:t>，其中</w:t>
      </w:r>
      <w:r>
        <w:rPr>
          <w:rFonts w:hint="eastAsia" w:ascii="宋体" w:hAnsi="宋体"/>
          <w:sz w:val="28"/>
          <w:szCs w:val="28"/>
        </w:rPr>
        <w:t>在职在编人员</w:t>
      </w:r>
      <w:r>
        <w:rPr>
          <w:rFonts w:hint="eastAsia" w:ascii="宋体" w:hAnsi="宋体"/>
          <w:sz w:val="28"/>
          <w:szCs w:val="28"/>
          <w:lang w:val="en-US" w:eastAsia="zh-CN"/>
        </w:rPr>
        <w:t>41</w:t>
      </w:r>
      <w:r>
        <w:rPr>
          <w:rFonts w:hint="eastAsia" w:ascii="宋体" w:hAnsi="宋体"/>
          <w:sz w:val="28"/>
          <w:szCs w:val="28"/>
        </w:rPr>
        <w:t>人，其中借调教师至</w:t>
      </w:r>
      <w:r>
        <w:rPr>
          <w:rFonts w:hint="eastAsia" w:ascii="宋体" w:hAnsi="宋体"/>
          <w:sz w:val="28"/>
          <w:szCs w:val="28"/>
          <w:lang w:eastAsia="zh-CN"/>
        </w:rPr>
        <w:t>荷叶塘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人，借调到</w:t>
      </w:r>
      <w:r>
        <w:rPr>
          <w:rFonts w:hint="eastAsia" w:ascii="宋体" w:hAnsi="宋体"/>
          <w:sz w:val="28"/>
          <w:szCs w:val="28"/>
          <w:lang w:eastAsia="zh-CN"/>
        </w:rPr>
        <w:t>杨梓塘小学</w:t>
      </w:r>
      <w:r>
        <w:rPr>
          <w:rFonts w:hint="eastAsia" w:ascii="宋体" w:hAnsi="宋体"/>
          <w:sz w:val="28"/>
          <w:szCs w:val="28"/>
        </w:rPr>
        <w:t>1人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1.部门整体支出情况。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年部门整体支出年初预算数</w:t>
      </w:r>
      <w:r>
        <w:rPr>
          <w:rFonts w:hint="eastAsia" w:ascii="宋体" w:hAnsi="宋体"/>
          <w:sz w:val="28"/>
          <w:szCs w:val="28"/>
          <w:lang w:val="en-US" w:eastAsia="zh-CN"/>
        </w:rPr>
        <w:t>1132.68</w:t>
      </w:r>
      <w:r>
        <w:rPr>
          <w:rFonts w:hint="eastAsia" w:ascii="宋体" w:hAnsi="宋体"/>
          <w:sz w:val="28"/>
          <w:szCs w:val="28"/>
        </w:rPr>
        <w:t>万元，全年预算数</w:t>
      </w:r>
      <w:r>
        <w:rPr>
          <w:rFonts w:hint="eastAsia" w:ascii="宋体" w:hAnsi="宋体"/>
          <w:sz w:val="28"/>
          <w:szCs w:val="28"/>
          <w:lang w:val="en-US" w:eastAsia="zh-CN"/>
        </w:rPr>
        <w:t>762.97</w:t>
      </w:r>
      <w:r>
        <w:rPr>
          <w:rFonts w:hint="eastAsia" w:ascii="宋体" w:hAnsi="宋体"/>
          <w:sz w:val="28"/>
          <w:szCs w:val="28"/>
        </w:rPr>
        <w:t>万元，全年支出执行数</w:t>
      </w:r>
      <w:r>
        <w:rPr>
          <w:rFonts w:hint="eastAsia" w:ascii="宋体" w:hAnsi="宋体"/>
          <w:sz w:val="28"/>
          <w:szCs w:val="28"/>
          <w:lang w:val="en-US" w:eastAsia="zh-CN"/>
        </w:rPr>
        <w:t>762.97</w:t>
      </w:r>
      <w:r>
        <w:rPr>
          <w:rFonts w:hint="eastAsia" w:ascii="宋体" w:hAnsi="宋体"/>
          <w:sz w:val="28"/>
          <w:szCs w:val="28"/>
        </w:rPr>
        <w:t>万元，执行率为</w:t>
      </w:r>
      <w:r>
        <w:rPr>
          <w:rFonts w:hint="eastAsia" w:ascii="宋体" w:hAnsi="宋体"/>
          <w:sz w:val="28"/>
          <w:szCs w:val="28"/>
          <w:lang w:val="en-US" w:eastAsia="zh-CN"/>
        </w:rPr>
        <w:t>100</w:t>
      </w:r>
      <w:r>
        <w:rPr>
          <w:rFonts w:hint="eastAsia" w:ascii="宋体" w:hAnsi="宋体"/>
          <w:sz w:val="28"/>
          <w:szCs w:val="28"/>
        </w:rPr>
        <w:t>%，全年绩效目标都按时按量完成。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2.部门预算收支决算情况。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762.97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762.97</w:t>
      </w:r>
      <w:r>
        <w:rPr>
          <w:rFonts w:hint="eastAsia" w:ascii="宋体" w:hAnsi="宋体"/>
          <w:sz w:val="28"/>
          <w:szCs w:val="28"/>
        </w:rPr>
        <w:t>万元，与上年决算收入</w:t>
      </w:r>
      <w:r>
        <w:rPr>
          <w:rFonts w:hint="eastAsia" w:ascii="宋体" w:hAnsi="宋体"/>
          <w:sz w:val="28"/>
          <w:szCs w:val="28"/>
          <w:lang w:val="en-US" w:eastAsia="zh-CN"/>
        </w:rPr>
        <w:t>829.32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eastAsia="zh-CN"/>
        </w:rPr>
        <w:t>减少</w:t>
      </w:r>
      <w:r>
        <w:rPr>
          <w:rFonts w:hint="eastAsia" w:ascii="宋体" w:hAnsi="宋体"/>
          <w:sz w:val="28"/>
          <w:szCs w:val="28"/>
        </w:rPr>
        <w:t>了</w:t>
      </w:r>
      <w:r>
        <w:rPr>
          <w:rFonts w:hint="eastAsia" w:ascii="宋体" w:hAnsi="宋体"/>
          <w:sz w:val="28"/>
          <w:szCs w:val="28"/>
          <w:lang w:val="en-US" w:eastAsia="zh-CN"/>
        </w:rPr>
        <w:t>8%</w:t>
      </w:r>
      <w:r>
        <w:rPr>
          <w:rFonts w:hint="eastAsia" w:ascii="宋体" w:hAnsi="宋体"/>
          <w:sz w:val="28"/>
          <w:szCs w:val="28"/>
        </w:rPr>
        <w:t>。202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762.97</w:t>
      </w:r>
      <w:r>
        <w:rPr>
          <w:rFonts w:hint="eastAsia" w:ascii="宋体" w:hAnsi="宋体"/>
          <w:sz w:val="28"/>
          <w:szCs w:val="28"/>
        </w:rPr>
        <w:t>万元，与上年决算支出</w:t>
      </w:r>
      <w:r>
        <w:rPr>
          <w:rFonts w:hint="eastAsia" w:ascii="宋体" w:hAnsi="宋体"/>
          <w:sz w:val="28"/>
          <w:szCs w:val="28"/>
          <w:lang w:val="en-US" w:eastAsia="zh-CN"/>
        </w:rPr>
        <w:t>829.32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eastAsia="zh-CN"/>
        </w:rPr>
        <w:t>减少</w:t>
      </w:r>
      <w:r>
        <w:rPr>
          <w:rFonts w:hint="eastAsia" w:ascii="宋体" w:hAnsi="宋体"/>
          <w:sz w:val="28"/>
          <w:szCs w:val="28"/>
        </w:rPr>
        <w:t>了</w:t>
      </w:r>
      <w:r>
        <w:rPr>
          <w:rFonts w:hint="eastAsia" w:ascii="宋体" w:hAnsi="宋体"/>
          <w:sz w:val="28"/>
          <w:szCs w:val="28"/>
          <w:lang w:val="en-US" w:eastAsia="zh-CN"/>
        </w:rPr>
        <w:t>8%</w:t>
      </w:r>
      <w:r>
        <w:rPr>
          <w:rFonts w:hint="eastAsia" w:ascii="宋体" w:hAnsi="宋体"/>
          <w:sz w:val="28"/>
          <w:szCs w:val="28"/>
        </w:rPr>
        <w:t>。主要原因是：</w:t>
      </w:r>
      <w:r>
        <w:rPr>
          <w:rFonts w:hint="eastAsia" w:ascii="宋体" w:hAnsi="宋体"/>
          <w:sz w:val="28"/>
          <w:szCs w:val="28"/>
          <w:lang w:eastAsia="zh-CN"/>
        </w:rPr>
        <w:t>学生数及教师数减少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年度本部门继续严格落实中央八项规定精神和厉行节约要求，从严控制三公经费的支出。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7"/>
        <w:spacing w:line="540" w:lineRule="exact"/>
        <w:ind w:firstLine="48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ascii="微软雅黑" w:hAnsi="微软雅黑" w:eastAsia="微软雅黑" w:cs="微软雅黑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宋体" w:hAnsi="宋体"/>
          <w:sz w:val="28"/>
          <w:szCs w:val="28"/>
          <w:lang w:val="en-US" w:eastAsia="zh-CN"/>
        </w:rPr>
        <w:t>601.96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550.69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91.48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51.27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8.52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6"/>
        <w:spacing w:line="46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pStyle w:val="6"/>
        <w:spacing w:line="460" w:lineRule="exact"/>
        <w:ind w:firstLine="64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lang w:eastAsia="zh-CN"/>
        </w:rPr>
        <w:t>2024年度项目支出为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161.01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lang w:eastAsia="zh-CN"/>
        </w:rPr>
        <w:t>万元。主要用于石岩头镇中心小学零星维修工程（春节付款）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7.48万元，墙面改造工程（春节付款）57万元，智慧黑板设备设施（春节付款）1.68万元，幼儿园进度款（春节付款）51.67万元，宿舍楼加固设计费（春节付款）1.62万元，安保监控及应急广播（春节付款）1.59万元，石岩头镇中心幼儿园项目土壤污染状况调查（春节付款）4.8万元，学生宿舍维修工程24.06万元</w:t>
      </w:r>
      <w:r>
        <w:rPr>
          <w:rFonts w:hint="eastAsia" w:ascii="微软雅黑" w:hAnsi="微软雅黑" w:eastAsia="微软雅黑" w:cs="微软雅黑"/>
          <w:sz w:val="24"/>
          <w:lang w:eastAsia="zh-CN"/>
        </w:rPr>
        <w:t>。项目资金的使用严格按照程序和执行规定，及时入账固定资产等相关系统。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firstLine="720" w:firstLineChars="300"/>
        <w:rPr>
          <w:rFonts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left="420" w:leftChars="200" w:firstLine="240" w:firstLineChars="1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202</w:t>
      </w:r>
      <w:r>
        <w:rPr>
          <w:rFonts w:ascii="微软雅黑" w:hAnsi="微软雅黑" w:eastAsia="微软雅黑" w:cs="微软雅黑"/>
          <w:color w:val="000000"/>
          <w:sz w:val="24"/>
        </w:rPr>
        <w:t>4</w:t>
      </w:r>
      <w:r>
        <w:rPr>
          <w:rFonts w:hint="eastAsia" w:ascii="微软雅黑" w:hAnsi="微软雅黑" w:eastAsia="微软雅黑" w:cs="微软雅黑"/>
          <w:color w:val="000000"/>
          <w:sz w:val="24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>
      <w:pPr>
        <w:pStyle w:val="7"/>
        <w:spacing w:line="540" w:lineRule="exact"/>
        <w:ind w:firstLine="48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足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>
      <w:pPr>
        <w:pStyle w:val="7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3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1、能够足额安排财政预算，确保各项日常工作的开展.</w:t>
      </w:r>
    </w:p>
    <w:p>
      <w:pPr>
        <w:pStyle w:val="3"/>
        <w:widowControl/>
        <w:spacing w:line="33" w:lineRule="atLeast"/>
        <w:ind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</w:rPr>
        <w:t>2、加强绩效评价管理评价的可操作性，对相关业务人员进行相关培训，以提高业务知识水平。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3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零陵区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石岩头镇中心小学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202</w:t>
      </w:r>
      <w:r>
        <w:rPr>
          <w:rFonts w:ascii="微软雅黑" w:hAnsi="微软雅黑" w:eastAsia="微软雅黑" w:cs="微软雅黑"/>
          <w:color w:val="000000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年绩效自评结果100分，由零陵区政府门户网站统一公开。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3"/>
        <w:widowControl/>
        <w:shd w:val="clear" w:color="auto" w:fill="FFFFFF"/>
        <w:ind w:firstLine="640"/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N2FlYjZhZDFlNmI0ODU3NmEyMDE1NGIxZDlmZGEifQ=="/>
  </w:docVars>
  <w:rsids>
    <w:rsidRoot w:val="08024CDF"/>
    <w:rsid w:val="00061A9D"/>
    <w:rsid w:val="00353CEE"/>
    <w:rsid w:val="006F2F02"/>
    <w:rsid w:val="0089791B"/>
    <w:rsid w:val="008B1626"/>
    <w:rsid w:val="008F341F"/>
    <w:rsid w:val="00A40F84"/>
    <w:rsid w:val="00AA6E7B"/>
    <w:rsid w:val="00E1069C"/>
    <w:rsid w:val="00E73CA9"/>
    <w:rsid w:val="00EB7FDA"/>
    <w:rsid w:val="00F021F3"/>
    <w:rsid w:val="00F27F81"/>
    <w:rsid w:val="050F5FBD"/>
    <w:rsid w:val="076E04AE"/>
    <w:rsid w:val="08024CDF"/>
    <w:rsid w:val="0AB57C37"/>
    <w:rsid w:val="15C6508F"/>
    <w:rsid w:val="252D138E"/>
    <w:rsid w:val="25676D15"/>
    <w:rsid w:val="25BB7E82"/>
    <w:rsid w:val="294847F4"/>
    <w:rsid w:val="37AF1A0E"/>
    <w:rsid w:val="3DF219ED"/>
    <w:rsid w:val="3EC77513"/>
    <w:rsid w:val="585E6A7C"/>
    <w:rsid w:val="79A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1730</Words>
  <Characters>1867</Characters>
  <Lines>13</Lines>
  <Paragraphs>3</Paragraphs>
  <TotalTime>3</TotalTime>
  <ScaleCrop>false</ScaleCrop>
  <LinksUpToDate>false</LinksUpToDate>
  <CharactersWithSpaces>1870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2025-07-02T09:41:00Z</dcterms:created>
  <dc:creator>thy</dc:creator>
  <cp:lastModifiedBy>Administrator</cp:lastModifiedBy>
  <cp:lastPrinted>2025-07-09T07:34:00Z</cp:lastPrinted>
  <dcterms:modified xsi:type="dcterms:W3CDTF">2025-07-16T03:13:47Z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30891FE3AA5548CA868F9E057B877B6C_13</vt:lpwstr>
  </property>
</Properties>
</file>