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440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CF55A80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00E78646">
      <w:pPr>
        <w:spacing w:line="600" w:lineRule="exact"/>
        <w:rPr>
          <w:rFonts w:eastAsia="黑体"/>
          <w:sz w:val="32"/>
          <w:szCs w:val="32"/>
        </w:rPr>
      </w:pPr>
    </w:p>
    <w:p w14:paraId="3FAF840E">
      <w:pPr>
        <w:spacing w:line="600" w:lineRule="exact"/>
        <w:rPr>
          <w:rFonts w:eastAsia="黑体"/>
          <w:sz w:val="32"/>
          <w:szCs w:val="32"/>
        </w:rPr>
      </w:pPr>
    </w:p>
    <w:p w14:paraId="6367082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2024年度永州市第二技工学校</w:t>
      </w:r>
    </w:p>
    <w:p w14:paraId="3B391E3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部门整体支出绩效自评报告</w:t>
      </w:r>
    </w:p>
    <w:p w14:paraId="64CBC017">
      <w:pPr>
        <w:jc w:val="center"/>
        <w:rPr>
          <w:rFonts w:eastAsia="方正小标宋_GBK"/>
          <w:b/>
          <w:sz w:val="52"/>
          <w:szCs w:val="52"/>
        </w:rPr>
      </w:pPr>
    </w:p>
    <w:p w14:paraId="19086EB4">
      <w:pPr>
        <w:jc w:val="center"/>
        <w:rPr>
          <w:rFonts w:eastAsia="楷体_GB2312"/>
          <w:b/>
          <w:sz w:val="32"/>
          <w:szCs w:val="32"/>
        </w:rPr>
      </w:pPr>
    </w:p>
    <w:p w14:paraId="06D6850A">
      <w:pPr>
        <w:jc w:val="center"/>
        <w:rPr>
          <w:rFonts w:eastAsia="楷体_GB2312"/>
          <w:b/>
          <w:sz w:val="32"/>
          <w:szCs w:val="32"/>
        </w:rPr>
      </w:pPr>
    </w:p>
    <w:p w14:paraId="2F32D5D9">
      <w:pPr>
        <w:jc w:val="center"/>
        <w:rPr>
          <w:rFonts w:eastAsia="楷体_GB2312"/>
          <w:b/>
          <w:sz w:val="32"/>
          <w:szCs w:val="32"/>
        </w:rPr>
      </w:pPr>
    </w:p>
    <w:p w14:paraId="6447E9F7">
      <w:pPr>
        <w:jc w:val="center"/>
        <w:rPr>
          <w:rFonts w:eastAsia="楷体_GB2312"/>
          <w:b/>
          <w:sz w:val="32"/>
          <w:szCs w:val="32"/>
        </w:rPr>
      </w:pPr>
    </w:p>
    <w:p w14:paraId="3F9B0646">
      <w:pPr>
        <w:jc w:val="center"/>
        <w:rPr>
          <w:rFonts w:eastAsia="楷体_GB2312"/>
          <w:b/>
          <w:sz w:val="32"/>
          <w:szCs w:val="32"/>
        </w:rPr>
      </w:pPr>
    </w:p>
    <w:p w14:paraId="16624FE2">
      <w:pPr>
        <w:jc w:val="center"/>
        <w:rPr>
          <w:rFonts w:eastAsia="楷体_GB2312"/>
          <w:b/>
          <w:sz w:val="32"/>
          <w:szCs w:val="32"/>
        </w:rPr>
      </w:pPr>
    </w:p>
    <w:p w14:paraId="09974930">
      <w:pPr>
        <w:jc w:val="center"/>
        <w:rPr>
          <w:rFonts w:eastAsia="黑体"/>
          <w:sz w:val="32"/>
          <w:szCs w:val="32"/>
        </w:rPr>
      </w:pPr>
    </w:p>
    <w:p w14:paraId="53B62E89">
      <w:pPr>
        <w:jc w:val="center"/>
        <w:rPr>
          <w:rFonts w:eastAsia="黑体"/>
          <w:sz w:val="32"/>
          <w:szCs w:val="32"/>
        </w:rPr>
      </w:pPr>
    </w:p>
    <w:p w14:paraId="3F6334BD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  <w:r>
        <w:rPr>
          <w:rFonts w:hint="eastAsia" w:eastAsia="仿宋_GB2312"/>
          <w:sz w:val="32"/>
          <w:szCs w:val="32"/>
          <w:u w:val="single"/>
        </w:rPr>
        <w:t>永州市第二技工学校</w:t>
      </w:r>
    </w:p>
    <w:p w14:paraId="73ED8CF8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</w:rPr>
        <w:t>1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日</w:t>
      </w:r>
    </w:p>
    <w:p w14:paraId="4CE1D9F0">
      <w:pPr>
        <w:jc w:val="center"/>
        <w:rPr>
          <w:rFonts w:eastAsia="黑体"/>
          <w:sz w:val="32"/>
          <w:szCs w:val="32"/>
        </w:rPr>
      </w:pPr>
    </w:p>
    <w:p w14:paraId="5D2C7C6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5FAB54F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8E55152"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52159343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6E488D78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贯彻“中华人民共和国职业教育法”，执行党和国家职业教育方针。</w:t>
      </w:r>
    </w:p>
    <w:p w14:paraId="5FCCA860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开展技工学校三年制中技培训和就业技能培训。</w:t>
      </w:r>
    </w:p>
    <w:p w14:paraId="53895539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加强教育教学管理，提高教学质量，对受教育者进行思想政治教育和职业道德教育，传授职业知识，培养职业技能。</w:t>
      </w:r>
    </w:p>
    <w:p w14:paraId="1B42924A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宣传、实施科教兴国战略，发展职业教育，提高劳动者素质，促进零陵区经济建设。</w:t>
      </w:r>
    </w:p>
    <w:p w14:paraId="2BF85A5C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（5）为毕业（结业）学员开展职业技能鉴定、就业咨询和指导、就业跟踪管理等工作。</w:t>
      </w:r>
    </w:p>
    <w:p w14:paraId="334BDE54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41BCF8D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我单位为财务独立核算单位，财政全额拨款事业单位。</w:t>
      </w:r>
    </w:p>
    <w:p w14:paraId="67ECD2B4">
      <w:pPr>
        <w:tabs>
          <w:tab w:val="left" w:pos="7525"/>
        </w:tabs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 w14:paraId="5FBA0945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2024年事业编制数15人，其中：实有在岗人员15人，离退休人员3人。</w:t>
      </w:r>
    </w:p>
    <w:p w14:paraId="0116FD80"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41EDEA7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1.2024年年部门整体支出情况：</w:t>
      </w:r>
      <w:r>
        <w:rPr>
          <w:rFonts w:hint="eastAsia" w:ascii="仿宋" w:hAnsi="仿宋" w:eastAsia="仿宋" w:cs="仿宋"/>
          <w:kern w:val="0"/>
          <w:sz w:val="30"/>
          <w:szCs w:val="30"/>
        </w:rPr>
        <w:t>2024年初预算数总收入</w:t>
      </w:r>
      <w:r>
        <w:rPr>
          <w:rFonts w:hint="eastAsia" w:ascii="仿宋_GB2312" w:hAnsi="仿宋_GB2312" w:eastAsia="仿宋_GB2312" w:cs="仿宋_GB2312"/>
          <w:sz w:val="30"/>
          <w:szCs w:val="32"/>
        </w:rPr>
        <w:t>431.56</w:t>
      </w:r>
      <w:r>
        <w:rPr>
          <w:rFonts w:hint="eastAsia" w:ascii="仿宋" w:hAnsi="仿宋" w:eastAsia="仿宋" w:cs="仿宋"/>
          <w:kern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2"/>
          <w:szCs w:val="40"/>
        </w:rPr>
        <w:t>财政专户管理资金收入16.2万元</w:t>
      </w:r>
      <w:r>
        <w:rPr>
          <w:rFonts w:hint="eastAsia" w:ascii="仿宋" w:hAnsi="仿宋" w:eastAsia="仿宋" w:cs="仿宋"/>
          <w:sz w:val="32"/>
          <w:szCs w:val="32"/>
        </w:rPr>
        <w:t>。本单位2024年度决算收入总计453.42万元，其中：一般财政决算拨款收入357.70万元，其他收入95.72万元。决算收入比年初预算收入增加5.1%，增加主要原因：是追加其他收入所致。</w:t>
      </w:r>
    </w:p>
    <w:p w14:paraId="47C62F79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4C4C686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/>
          <w:sz w:val="32"/>
          <w:szCs w:val="32"/>
        </w:rPr>
        <w:t>2.“三公”经费支出情况：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2024年度“三公”经费财政拨款支出预算为1.3万元， 支出决算为1.27万元，完成预算的97.69%，决算数小于预算数的主要原因是认真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贯彻落实中央八项规定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精神和厉行节约要求，从严控制“三公”经费开支。</w:t>
      </w:r>
    </w:p>
    <w:p w14:paraId="55CDD505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2024年度“三公”经费财政拨款支出决算数与上年0.6万元相比增加了0.67万元，增加了52.76%，其中：因公出国（境）费支出决算增加【减少】0万元，增长【下降】0%；公务用车购置及运行费支出决算减少0万元，无增减；公务接待费支出决算比上年增加0.67万元，增加了52.76%。公务接待费支出决算数比上年增加的主要原因是校企合作增加，来访人员增加所致。</w:t>
      </w:r>
    </w:p>
    <w:p w14:paraId="6BEA366E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7C7D077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2024年度本部门决算支出总计453.42万元，主要用于以下方面：基本支出298.42万元，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</w:p>
    <w:p w14:paraId="29678CB1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  <w:r>
        <w:rPr>
          <w:rFonts w:hint="eastAsia" w:ascii="Times New Roman" w:hAnsi="Times New Roman" w:eastAsia="仿宋_GB2312"/>
          <w:sz w:val="32"/>
          <w:szCs w:val="32"/>
        </w:rPr>
        <w:t>：本单位2024年决算</w:t>
      </w:r>
      <w:r>
        <w:rPr>
          <w:rFonts w:hint="eastAsia" w:ascii="仿宋" w:hAnsi="仿宋" w:eastAsia="仿宋" w:cs="仿宋"/>
          <w:sz w:val="32"/>
          <w:szCs w:val="32"/>
        </w:rPr>
        <w:t>项目支出155万元。</w:t>
      </w:r>
    </w:p>
    <w:p w14:paraId="742DE6B4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0D2D23E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1417B6AB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3DFED78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140AEA06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1E7BCBE">
      <w:pPr>
        <w:pStyle w:val="6"/>
        <w:spacing w:line="460" w:lineRule="exact"/>
        <w:ind w:left="42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C7A0C7C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CE3E8DC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部门整体支出绩效目标完成率是100%，实际完成率是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</w:rPr>
        <w:t>没有完成达成绩效目标的原因是预算编制不准确影响，部分目标任务没有完成。具体明细见附件2部门整体支出绩效自评表。</w:t>
      </w:r>
    </w:p>
    <w:p w14:paraId="3AAD50A0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履职及履职效益情况来看，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工作的效率；从有效性来看，各专项工作的分工负责部门能够按照制度和各自的目标来抓好落实，注重了专项资金的使用效果；从可持续性来看，后续的政策、相关的配套资金、必要的人员机构要继续保持。管理制度要与时俱进，相关内容进行了及时补充完善。</w:t>
      </w:r>
    </w:p>
    <w:p w14:paraId="6BF7A581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285C51A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1.年初预算金额跟年末决算金额相差较大，相差较大原因是上级补助年初没有列入预算。</w:t>
      </w:r>
    </w:p>
    <w:p w14:paraId="37A8EE08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2.财务管理工作不细致，对各类经济业务开展组织及业务流程不全面。</w:t>
      </w:r>
    </w:p>
    <w:p w14:paraId="236D4392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3.进一步加强各项财务管理工作，梳理规范财务流程，落实各项财务制度。</w:t>
      </w:r>
    </w:p>
    <w:p w14:paraId="005CE8D3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6470BFB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进一步细化预算编制，编制预算时做好规划，按预算编制匹配开支，控制预算成本率。</w:t>
      </w:r>
    </w:p>
    <w:p w14:paraId="36AEC24C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3D34534C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根据《永州市第二技工学校部门整体绩效评价评分表》，从决策、过程、产出、效益四项指标逐一分析评价打分，学校各项支出基本合理、规范、有效，项目基本完成，绩效评价综合得分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sz w:val="32"/>
          <w:szCs w:val="32"/>
          <w:highlight w:val="none"/>
        </w:rPr>
        <w:t>分</w:t>
      </w:r>
      <w:r>
        <w:rPr>
          <w:rFonts w:hint="eastAsia" w:eastAsia="仿宋_GB2312"/>
          <w:sz w:val="32"/>
          <w:szCs w:val="32"/>
        </w:rPr>
        <w:t>，评价等级为“</w:t>
      </w:r>
      <w:r>
        <w:rPr>
          <w:rFonts w:hint="eastAsia" w:eastAsia="仿宋_GB2312"/>
          <w:sz w:val="32"/>
          <w:szCs w:val="32"/>
          <w:lang w:val="en-US" w:eastAsia="zh-CN"/>
        </w:rPr>
        <w:t>优</w:t>
      </w:r>
      <w:r>
        <w:rPr>
          <w:rFonts w:hint="eastAsia" w:eastAsia="仿宋_GB2312"/>
          <w:sz w:val="32"/>
          <w:szCs w:val="32"/>
        </w:rPr>
        <w:t>”。要求及时在零陵区财政局各门户网站进行了公开。</w:t>
      </w:r>
    </w:p>
    <w:p w14:paraId="70305567">
      <w:pPr>
        <w:pStyle w:val="3"/>
        <w:ind w:firstLine="0" w:firstLineChars="0"/>
      </w:pPr>
    </w:p>
    <w:p w14:paraId="76ABB1CA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3260BC5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无其他需要说明的情况</w:t>
      </w:r>
    </w:p>
    <w:p w14:paraId="11D6AF3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32300"/>
    <w:multiLevelType w:val="singleLevel"/>
    <w:tmpl w:val="957323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E555826"/>
    <w:multiLevelType w:val="singleLevel"/>
    <w:tmpl w:val="9E555826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2FF6BCC0"/>
    <w:multiLevelType w:val="singleLevel"/>
    <w:tmpl w:val="2FF6BCC0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>
    <w:nsid w:val="5142A255"/>
    <w:multiLevelType w:val="singleLevel"/>
    <w:tmpl w:val="5142A25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7F2ED3"/>
    <w:multiLevelType w:val="singleLevel"/>
    <w:tmpl w:val="557F2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7FEE"/>
    <w:rsid w:val="4FE57FEE"/>
    <w:rsid w:val="6FE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1712</Characters>
  <Lines>0</Lines>
  <Paragraphs>0</Paragraphs>
  <TotalTime>0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2025-09-12T00:55:00Z</dcterms:created>
  <dc:creator>右手左手</dc:creator>
  <cp:lastModifiedBy>烈焰</cp:lastModifiedBy>
  <cp:lastPrinted>2025-09-12T00:56:00Z</cp:lastPrinted>
  <dcterms:modified xsi:type="dcterms:W3CDTF">2025-10-28T07:38:45Z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5F9621C7DCBE40CF8AEE0C1A01DB61AC_11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