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52"/>
          <w:szCs w:val="52"/>
        </w:rPr>
      </w:pPr>
    </w:p>
    <w:p>
      <w:pPr>
        <w:jc w:val="center"/>
        <w:rPr>
          <w:rFonts w:hint="eastAsia" w:ascii="方正小标宋简体" w:eastAsia="方正小标宋简体"/>
          <w:sz w:val="52"/>
          <w:szCs w:val="52"/>
        </w:rPr>
      </w:pPr>
    </w:p>
    <w:p>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永州市</w:t>
      </w:r>
      <w:r>
        <w:rPr>
          <w:rFonts w:hint="eastAsia" w:ascii="方正小标宋简体" w:eastAsia="方正小标宋简体"/>
          <w:sz w:val="52"/>
          <w:szCs w:val="52"/>
          <w:lang w:val="en-US" w:eastAsia="zh-CN"/>
        </w:rPr>
        <w:t>交通运输综合行政执法支队零陵区大队</w:t>
      </w:r>
      <w:r>
        <w:rPr>
          <w:rFonts w:hint="eastAsia" w:ascii="方正小标宋简体" w:eastAsia="方正小标宋简体"/>
          <w:sz w:val="52"/>
          <w:szCs w:val="52"/>
        </w:rPr>
        <w:t>整体支出绩效自评报告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pStyle w:val="4"/>
      </w:pPr>
    </w:p>
    <w:p>
      <w:pPr>
        <w:jc w:val="center"/>
        <w:rPr>
          <w:rFonts w:eastAsia="黑体"/>
          <w:sz w:val="32"/>
          <w:szCs w:val="32"/>
        </w:rPr>
      </w:pPr>
    </w:p>
    <w:p>
      <w:pPr>
        <w:jc w:val="center"/>
        <w:rPr>
          <w:rFonts w:eastAsia="黑体"/>
          <w:sz w:val="32"/>
          <w:szCs w:val="32"/>
        </w:rPr>
      </w:pPr>
    </w:p>
    <w:p>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u w:val="single"/>
          <w:lang w:eastAsia="zh-CN"/>
        </w:rPr>
        <w:t>永州市</w:t>
      </w:r>
      <w:r>
        <w:rPr>
          <w:rFonts w:hint="eastAsia" w:eastAsia="仿宋_GB2312"/>
          <w:sz w:val="32"/>
          <w:szCs w:val="32"/>
          <w:u w:val="single"/>
          <w:lang w:val="en-US" w:eastAsia="zh-CN"/>
        </w:rPr>
        <w:t>交通运输综合行政执法支队零陵区大队</w:t>
      </w:r>
    </w:p>
    <w:p>
      <w:pPr>
        <w:spacing w:line="600" w:lineRule="exact"/>
        <w:ind w:firstLine="3200" w:firstLineChars="1000"/>
        <w:rPr>
          <w:rFonts w:hint="eastAsia" w:eastAsia="楷体_GB2312"/>
          <w:sz w:val="32"/>
          <w:szCs w:val="32"/>
          <w:lang w:val="en-US" w:eastAsia="zh-CN"/>
        </w:rPr>
      </w:pPr>
    </w:p>
    <w:p>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7</w:t>
      </w:r>
      <w:r>
        <w:rPr>
          <w:rFonts w:eastAsia="楷体_GB2312"/>
          <w:sz w:val="32"/>
          <w:szCs w:val="32"/>
        </w:rPr>
        <w:t xml:space="preserve"> 月 </w:t>
      </w:r>
      <w:r>
        <w:rPr>
          <w:rFonts w:hint="eastAsia" w:eastAsia="楷体_GB2312"/>
          <w:sz w:val="32"/>
          <w:szCs w:val="32"/>
          <w:lang w:val="en-US" w:eastAsia="zh-CN"/>
        </w:rPr>
        <w:t>15</w:t>
      </w:r>
      <w:r>
        <w:rPr>
          <w:rFonts w:eastAsia="楷体_GB2312"/>
          <w:sz w:val="32"/>
          <w:szCs w:val="32"/>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204" w:lineRule="auto"/>
        <w:ind w:right="0"/>
        <w:jc w:val="center"/>
        <w:textAlignment w:val="baseline"/>
        <w:rPr>
          <w:rFonts w:ascii="微软雅黑" w:hAnsi="微软雅黑" w:eastAsia="微软雅黑" w:cs="微软雅黑"/>
          <w:spacing w:val="42"/>
          <w:sz w:val="43"/>
          <w:szCs w:val="43"/>
        </w:rPr>
        <w:sectPr>
          <w:footerReference r:id="rId5" w:type="default"/>
          <w:pgSz w:w="11900" w:h="16833"/>
          <w:pgMar w:top="1430" w:right="1673" w:bottom="1554" w:left="1586" w:header="0" w:footer="1301" w:gutter="0"/>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部门(单位)基本情况</w:t>
      </w:r>
    </w:p>
    <w:p>
      <w:pPr>
        <w:pStyle w:val="6"/>
      </w:pPr>
    </w:p>
    <w:p>
      <w:pPr>
        <w:pStyle w:val="6"/>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部门（单位）职能职责、机构编制、人员构成等。</w:t>
      </w:r>
    </w:p>
    <w:p>
      <w:pPr>
        <w:pStyle w:val="6"/>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1、部门（单位）职能职责：</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（1）贯彻执行有关交通运输综合行政执法方面的法律、法规、规章和政策，拟订编制实施交通运输综合行政执法工作规划、监管制度。</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（2）承担零陵辖区内道路运政、公路路政（不含高速公路）、水路运政、港口行政、地方海事（船舶检验）、渔船检验和监督管理及农村公路工程质量安全监管、农村客运等交通运输综合行政执法工作。</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（3）负责全区交通运输执法的业务指导、组织协调，参与执法监管和考核评价。</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（4）负责交通运输综合行政执法有关信访举报、服务投诉及违章抄告等事项的受理、处理等工作，承担全区交通运输综合行政执法门类的信息统计汇总与上报工作。</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5）负责组织协调全区重大和跨区域交通运输综合行政执法工作。参与交通运输行业安全生产事故调查和重大自然灾害的应急处置工作。参与辖区内国家重点物资、战备物资、抢险物资和紧急客货运输的道路、水路运输保障工作。</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（6）参与办理行政复议、行政诉讼等工作，负责行政执法过错的核查与纠正。</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（7）完成区交通运输局及上级执法机关交办的其他工作任务。</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2、机构编制、人员构成：</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永州市交通运输综合行政执法支队零陵区大队内设机构为10个：综合办公室、财务装备股、安全法制股、处罚投诉处理中心、珠山交通执法中队、黄田铺交通执法中队、富家桥交通执法中队、邮亭圩交通执法中队、城市客运执法中队、质监和水上执法中队。</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本部门核定编制数70人，全额编制70人，实有人数65人。</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（二）部门（单位）整体支出规模，包括但不限于部门整体支出情况、部门预算收支决算情况及“三公经费”支出使用和管理情况。</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2024年全年预算数为1149.2万元，全年执行数为1123.56万元；基本支出1020.92万元，其中包括人员经费960.22万元和日常公用经费60.70万元；项目支出为102.64万元。</w:t>
      </w:r>
    </w:p>
    <w:p>
      <w:pPr>
        <w:spacing w:before="225" w:line="357" w:lineRule="auto"/>
        <w:ind w:left="32" w:right="91" w:firstLine="638"/>
        <w:rPr>
          <w:rFonts w:hint="default"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部门严格控制三公经费支出，支出总额控制在预算总额以内；2024年度“三公经费”预算支出：因公出国（境）费支出为0万元;公务用车购置及运行费支出为2.19万元;公务接待费支出为6万元；“三公经费”决算支出：因公出国（境）费支出0万元;公务用车购置及运行费支出2.19万元;公务接待费支出5.89万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 xml:space="preserve"> 一般公共预算支出情况</w:t>
      </w:r>
    </w:p>
    <w:p>
      <w:pPr>
        <w:keepNext w:val="0"/>
        <w:keepLines w:val="0"/>
        <w:pageBreakBefore w:val="0"/>
        <w:widowControl/>
        <w:kinsoku w:val="0"/>
        <w:wordWrap/>
        <w:overflowPunct/>
        <w:topLinePunct w:val="0"/>
        <w:autoSpaceDE w:val="0"/>
        <w:autoSpaceDN w:val="0"/>
        <w:bidi w:val="0"/>
        <w:adjustRightInd w:val="0"/>
        <w:snapToGrid w:val="0"/>
        <w:spacing w:before="225" w:line="240" w:lineRule="auto"/>
        <w:ind w:left="34" w:right="91" w:firstLine="641"/>
        <w:textAlignment w:val="baseline"/>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(一) 基本支出情况</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2024年全年执行数为1020.92万元，是指为保障单位机构正常运转、完成日常工作任务而发生的各项支出。其中：</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（1）工资福利支出945.38万元，包括用于基本工资、津贴补贴、社保缴费等。</w:t>
      </w:r>
    </w:p>
    <w:p>
      <w:pPr>
        <w:spacing w:before="225" w:line="357" w:lineRule="auto"/>
        <w:ind w:left="32" w:right="91" w:firstLine="638"/>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2）商品和服务支出60.70万元，包括办公费、咨询费、会议费、印刷费、水电费、邮电费、差旅费、维修费、租赁费、会议费、培训费、公务接待费、专用材料费、被装购置费、劳务费、委托业务费、工会经费、福利费、公务用车运行维护费、其他交通工具运行维护、其他、办公设备购置等日常公用经费。</w:t>
      </w:r>
    </w:p>
    <w:p>
      <w:pPr>
        <w:pStyle w:val="5"/>
        <w:ind w:firstLine="640" w:firstLineChars="200"/>
        <w:rPr>
          <w:rFonts w:hint="default"/>
          <w:lang w:val="en-US" w:eastAsia="zh-CN"/>
        </w:rPr>
      </w:pPr>
      <w:r>
        <w:rPr>
          <w:rFonts w:hint="eastAsia" w:ascii="仿宋_GB2312" w:eastAsia="仿宋_GB2312" w:cs="Times New Roman"/>
          <w:snapToGrid w:val="0"/>
          <w:color w:val="000000"/>
          <w:kern w:val="2"/>
          <w:sz w:val="32"/>
          <w:szCs w:val="32"/>
          <w:lang w:val="en-US" w:eastAsia="zh-CN"/>
        </w:rPr>
        <w:t>（3）对个人和家庭的补助14.84万元。</w:t>
      </w:r>
    </w:p>
    <w:p>
      <w:pPr>
        <w:keepNext w:val="0"/>
        <w:keepLines w:val="0"/>
        <w:pageBreakBefore w:val="0"/>
        <w:widowControl/>
        <w:kinsoku w:val="0"/>
        <w:wordWrap/>
        <w:overflowPunct/>
        <w:topLinePunct w:val="0"/>
        <w:autoSpaceDE w:val="0"/>
        <w:autoSpaceDN w:val="0"/>
        <w:bidi w:val="0"/>
        <w:adjustRightInd w:val="0"/>
        <w:snapToGrid w:val="0"/>
        <w:spacing w:before="225" w:line="240" w:lineRule="auto"/>
        <w:ind w:left="34" w:right="91" w:firstLine="641"/>
        <w:textAlignment w:val="baseline"/>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(二) 项目支出情况</w:t>
      </w:r>
    </w:p>
    <w:p>
      <w:pPr>
        <w:spacing w:before="225" w:line="357" w:lineRule="auto"/>
        <w:ind w:left="32" w:right="91" w:firstLine="638"/>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2024年全年执行数为102.64万元，是指单位为完成特定行政工作任务或事业发展目标而发生的支出。其中2024年实施项目如下：综合治超项目102.64万元，主要用于健全完善交通运输和公安部门治超执法机制，严厉打击公路货车违法超限超载行为。承担零陵辖区内道路运政、公路路政（不含高速公路）、水路运政、港口行政、地方海事（船舶检验）、渔船检验和监督管理及农村公路工程质量安全监管、农村客运等交通运输综合行政执法工作。</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政府性基金预算支出情况</w:t>
      </w:r>
    </w:p>
    <w:p>
      <w:pPr>
        <w:spacing w:before="225" w:line="357" w:lineRule="auto"/>
        <w:ind w:left="32" w:right="91" w:firstLine="638"/>
        <w:rPr>
          <w:rFonts w:hint="eastAsia" w:ascii="仿宋" w:hAnsi="仿宋" w:eastAsia="仿宋_GB2312" w:cs="仿宋"/>
          <w:spacing w:val="5"/>
          <w:sz w:val="31"/>
          <w:szCs w:val="31"/>
          <w:lang w:val="en-US"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国有资本经营预算支出情况</w:t>
      </w:r>
    </w:p>
    <w:p>
      <w:pPr>
        <w:spacing w:before="225" w:line="357" w:lineRule="auto"/>
        <w:ind w:left="32" w:right="91" w:firstLine="638"/>
        <w:rPr>
          <w:rFonts w:hint="eastAsia" w:ascii="仿宋" w:hAnsi="仿宋" w:eastAsia="仿宋_GB2312" w:cs="仿宋"/>
          <w:spacing w:val="5"/>
          <w:sz w:val="31"/>
          <w:szCs w:val="31"/>
          <w:lang w:val="en-US"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社会保险基金预算支出情况</w:t>
      </w:r>
    </w:p>
    <w:p>
      <w:pPr>
        <w:spacing w:before="225" w:line="357" w:lineRule="auto"/>
        <w:ind w:left="32" w:right="91" w:firstLine="638"/>
        <w:rPr>
          <w:rFonts w:hint="eastAsia" w:ascii="仿宋" w:hAnsi="仿宋" w:eastAsia="仿宋_GB2312" w:cs="仿宋"/>
          <w:spacing w:val="5"/>
          <w:sz w:val="31"/>
          <w:szCs w:val="31"/>
          <w:lang w:val="en-US" w:eastAsia="zh-CN"/>
        </w:rPr>
      </w:pPr>
      <w:r>
        <w:rPr>
          <w:rFonts w:hint="eastAsia" w:ascii="Times New Roman" w:hAnsi="Times New Roman" w:eastAsia="仿宋_GB2312"/>
          <w:color w:val="000000"/>
          <w:sz w:val="32"/>
          <w:szCs w:val="32"/>
        </w:rPr>
        <w:t>我单位社会保险</w:t>
      </w:r>
      <w:r>
        <w:rPr>
          <w:rFonts w:hint="eastAsia" w:ascii="Times New Roman" w:hAnsi="Times New Roman" w:eastAsia="仿宋_GB2312"/>
          <w:color w:val="000000"/>
          <w:sz w:val="32"/>
          <w:szCs w:val="32"/>
          <w:lang w:eastAsia="zh-CN"/>
        </w:rPr>
        <w:t>基金</w:t>
      </w:r>
      <w:r>
        <w:rPr>
          <w:rFonts w:hint="eastAsia" w:ascii="Times New Roman" w:hAnsi="Times New Roman" w:eastAsia="仿宋_GB2312"/>
          <w:color w:val="000000"/>
          <w:sz w:val="32"/>
          <w:szCs w:val="32"/>
        </w:rPr>
        <w:t>预算支出情况</w:t>
      </w:r>
      <w:r>
        <w:rPr>
          <w:rFonts w:hint="eastAsia" w:ascii="Times New Roman" w:hAnsi="Times New Roman" w:eastAsia="仿宋_GB2312"/>
          <w:color w:val="000000"/>
          <w:sz w:val="32"/>
          <w:szCs w:val="32"/>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部门整体支出绩效情况</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2024年，根据年初工作规划和重点性工作，通过加强预算收支管理，不断建立健全内部管理制度，梳理内部管理流程，部门整体支出管理情况得到提升。部门整体支出绩效情况如下：</w:t>
      </w:r>
    </w:p>
    <w:p>
      <w:pPr>
        <w:keepNext w:val="0"/>
        <w:keepLines w:val="0"/>
        <w:pageBreakBefore w:val="0"/>
        <w:widowControl/>
        <w:kinsoku w:val="0"/>
        <w:wordWrap/>
        <w:overflowPunct/>
        <w:topLinePunct w:val="0"/>
        <w:autoSpaceDE w:val="0"/>
        <w:autoSpaceDN w:val="0"/>
        <w:bidi w:val="0"/>
        <w:adjustRightInd w:val="0"/>
        <w:snapToGrid w:val="0"/>
        <w:spacing w:before="225" w:line="240" w:lineRule="auto"/>
        <w:ind w:left="34" w:right="91" w:firstLine="641"/>
        <w:textAlignment w:val="baseline"/>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（一）经济效益评价</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 预算执行方面，支出总额控制在预算总额以内，“三公经费”从严把控，与上年基本持平。</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2、预算管理方面，制度执行总体较为有效。</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3、资产管理方面，建立了资产管理制度，定期进行了盘点和资产清理，总体执行较好。</w:t>
      </w:r>
    </w:p>
    <w:p>
      <w:pPr>
        <w:keepNext w:val="0"/>
        <w:keepLines w:val="0"/>
        <w:pageBreakBefore w:val="0"/>
        <w:widowControl/>
        <w:kinsoku w:val="0"/>
        <w:wordWrap/>
        <w:overflowPunct/>
        <w:topLinePunct w:val="0"/>
        <w:autoSpaceDE w:val="0"/>
        <w:autoSpaceDN w:val="0"/>
        <w:bidi w:val="0"/>
        <w:adjustRightInd w:val="0"/>
        <w:snapToGrid w:val="0"/>
        <w:spacing w:before="225" w:line="240" w:lineRule="auto"/>
        <w:ind w:left="34" w:right="91" w:firstLine="641"/>
        <w:textAlignment w:val="baseline"/>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（二）效率性评价和有效性评价</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预算安排的基本支出保障了正常的工作运转，预算安排的项目支出是非常必要的，在执行上是严格遵守各项财经纪律的，在项目资金的使用上也是放的心的，严守法律底线、纪律底线、道德底线。</w:t>
      </w:r>
    </w:p>
    <w:p>
      <w:pPr>
        <w:keepNext w:val="0"/>
        <w:keepLines w:val="0"/>
        <w:pageBreakBefore w:val="0"/>
        <w:widowControl/>
        <w:kinsoku w:val="0"/>
        <w:wordWrap/>
        <w:overflowPunct/>
        <w:topLinePunct w:val="0"/>
        <w:autoSpaceDE w:val="0"/>
        <w:autoSpaceDN w:val="0"/>
        <w:bidi w:val="0"/>
        <w:adjustRightInd w:val="0"/>
        <w:snapToGrid w:val="0"/>
        <w:spacing w:before="225" w:line="240" w:lineRule="auto"/>
        <w:ind w:left="34" w:right="91" w:firstLine="641"/>
        <w:textAlignment w:val="baseline"/>
        <w:rPr>
          <w:rFonts w:hint="eastAsia" w:ascii="仿宋_GB2312" w:hAnsi="Calibri" w:eastAsia="仿宋_GB2312" w:cs="Times New Roman"/>
          <w:snapToGrid w:val="0"/>
          <w:color w:val="000000"/>
          <w:kern w:val="2"/>
          <w:sz w:val="32"/>
          <w:szCs w:val="32"/>
          <w:lang w:val="en-US" w:eastAsia="zh-CN"/>
        </w:rPr>
      </w:pPr>
      <w:r>
        <w:rPr>
          <w:rFonts w:hint="eastAsia" w:ascii="仿宋_GB2312" w:hAnsi="Calibri" w:eastAsia="仿宋_GB2312" w:cs="Times New Roman"/>
          <w:snapToGrid w:val="0"/>
          <w:color w:val="000000"/>
          <w:kern w:val="2"/>
          <w:sz w:val="32"/>
          <w:szCs w:val="32"/>
          <w:lang w:val="en-US" w:eastAsia="zh-CN"/>
        </w:rPr>
        <w:t>（三）社会公众满意度评价</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从一定程度上避免了重特大交通安全事故的发生，减轻了交通事故的危害程度，保证了人民生命财产的安全，提升了社会公众对公路行业的认同感。</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 xml:space="preserve"> 存在的问题及原因分析</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通过2024年度部门绩效监控，我们认识到：部门预算应当遵循统筹兼顾、讲求绩效和收支平衡的原则。绩效管理要从年初预算制定工作抓起，要科学合理地编制部门预算，预算要结合本部门的事业发展计划、职责和任务测算，要确保部门预算编制真实、准确、完整，切合单位实际。</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下一步改进措施</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为了进一步提高本部门整体绩效水平，在预算编制和预算执行过程中，我们采取如下建议：</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1、继续加强组织领导。统一思想，明确责任，明确由大队主要负责人、分管负责人牵头的绩效评价管理制度，为绩效评价工作开展创造好的条件。</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2、继续加强队伍建设。要抓好绩效评价的队伍建设和业务学习，培育各部门的绩效评价管理人才，并加强业务培训。</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3、建立和完善长效机制。把绩效评价作为交通部门的日常性工作，建立绩效评价管理工作考核的长效机制。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部门整体支出绩效自评结果拟应用和公开情况</w:t>
      </w:r>
    </w:p>
    <w:p>
      <w:pPr>
        <w:spacing w:before="225" w:line="357" w:lineRule="auto"/>
        <w:ind w:left="32" w:right="91" w:firstLine="638"/>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按时完成绩效自评并在日常工作中进行反馈提升，已在零陵区政府网公开。</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240" w:lineRule="auto"/>
        <w:ind w:left="658"/>
        <w:textAlignment w:val="baseline"/>
        <w:rPr>
          <w:rFonts w:ascii="黑体" w:hAnsi="黑体" w:eastAsia="黑体" w:cs="黑体"/>
          <w:spacing w:val="19"/>
          <w:sz w:val="32"/>
          <w:szCs w:val="32"/>
        </w:rPr>
      </w:pPr>
      <w:r>
        <w:rPr>
          <w:rFonts w:ascii="黑体" w:hAnsi="黑体" w:eastAsia="黑体" w:cs="黑体"/>
          <w:spacing w:val="19"/>
          <w:sz w:val="32"/>
          <w:szCs w:val="32"/>
        </w:rPr>
        <w:t>其他需要说明的情况</w:t>
      </w:r>
    </w:p>
    <w:p>
      <w:pPr>
        <w:spacing w:before="225" w:line="357" w:lineRule="auto"/>
        <w:ind w:left="32" w:right="91" w:firstLine="638"/>
        <w:sectPr>
          <w:footerReference r:id="rId6" w:type="default"/>
          <w:pgSz w:w="11900" w:h="16833"/>
          <w:pgMar w:top="1430" w:right="1211" w:bottom="1554" w:left="1215" w:header="0" w:footer="1301" w:gutter="0"/>
          <w:cols w:space="720" w:num="1"/>
        </w:sectPr>
      </w:pPr>
      <w:r>
        <w:rPr>
          <w:rFonts w:hint="eastAsia" w:ascii="Times New Roman" w:hAnsi="Times New Roman" w:eastAsia="仿宋_GB2312"/>
          <w:color w:val="000000"/>
          <w:sz w:val="32"/>
          <w:szCs w:val="32"/>
          <w:lang w:val="en-US" w:eastAsia="zh-CN"/>
        </w:rPr>
        <w:t>无</w:t>
      </w:r>
    </w:p>
    <w:p>
      <w:bookmarkStart w:id="0" w:name="_GoBack"/>
      <w:bookmarkEnd w:id="0"/>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17</w:t>
    </w:r>
    <w:r>
      <w:rPr>
        <w:rFonts w:ascii="Times New Roman" w:hAnsi="Times New Roman" w:eastAsia="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371"/>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9D394"/>
    <w:multiLevelType w:val="singleLevel"/>
    <w:tmpl w:val="1F59D3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NGY3N2M1ZWE5MzRmMTk5ZGMwZGQwN2I3ZTFjNjMifQ=="/>
    <w:docVar w:name="KSO_WPS_MARK_KEY" w:val="ea80f998-5f35-4cf7-934d-659cba398f27"/>
  </w:docVars>
  <w:rsids>
    <w:rsidRoot w:val="00000000"/>
    <w:rsid w:val="00A010BF"/>
    <w:rsid w:val="00A10993"/>
    <w:rsid w:val="02005B8D"/>
    <w:rsid w:val="04D356AB"/>
    <w:rsid w:val="05F73C27"/>
    <w:rsid w:val="0626648E"/>
    <w:rsid w:val="086F4F4B"/>
    <w:rsid w:val="0AD412B3"/>
    <w:rsid w:val="0C917B0E"/>
    <w:rsid w:val="0CBD7B78"/>
    <w:rsid w:val="0F84395A"/>
    <w:rsid w:val="10377AFF"/>
    <w:rsid w:val="107E2A9F"/>
    <w:rsid w:val="10812FB3"/>
    <w:rsid w:val="10C61D50"/>
    <w:rsid w:val="1238664E"/>
    <w:rsid w:val="12401C95"/>
    <w:rsid w:val="140E6D4A"/>
    <w:rsid w:val="14876322"/>
    <w:rsid w:val="16A8727F"/>
    <w:rsid w:val="1B5D5EFE"/>
    <w:rsid w:val="1DF96869"/>
    <w:rsid w:val="1F64116F"/>
    <w:rsid w:val="21703D3E"/>
    <w:rsid w:val="21DA103F"/>
    <w:rsid w:val="221D4A83"/>
    <w:rsid w:val="2245302C"/>
    <w:rsid w:val="22503472"/>
    <w:rsid w:val="22B87849"/>
    <w:rsid w:val="282022B7"/>
    <w:rsid w:val="2B2B38D3"/>
    <w:rsid w:val="2E545AA5"/>
    <w:rsid w:val="2FCC5E07"/>
    <w:rsid w:val="304F5466"/>
    <w:rsid w:val="33072028"/>
    <w:rsid w:val="34305E37"/>
    <w:rsid w:val="35415CC5"/>
    <w:rsid w:val="36820344"/>
    <w:rsid w:val="36FD3E6E"/>
    <w:rsid w:val="38AD5420"/>
    <w:rsid w:val="3C5067EE"/>
    <w:rsid w:val="3DE559F7"/>
    <w:rsid w:val="3ECB65D8"/>
    <w:rsid w:val="3F584337"/>
    <w:rsid w:val="3FC11FF3"/>
    <w:rsid w:val="401D7A68"/>
    <w:rsid w:val="4041794F"/>
    <w:rsid w:val="405C1BCE"/>
    <w:rsid w:val="40614659"/>
    <w:rsid w:val="40B765CC"/>
    <w:rsid w:val="45C757DF"/>
    <w:rsid w:val="47583F1D"/>
    <w:rsid w:val="47BB0C1E"/>
    <w:rsid w:val="47DB6D86"/>
    <w:rsid w:val="493038EF"/>
    <w:rsid w:val="49BF4FB3"/>
    <w:rsid w:val="4B412124"/>
    <w:rsid w:val="4CC02C48"/>
    <w:rsid w:val="4CCC0113"/>
    <w:rsid w:val="4F9071F2"/>
    <w:rsid w:val="4FA87E7D"/>
    <w:rsid w:val="4FD74E04"/>
    <w:rsid w:val="50F264F0"/>
    <w:rsid w:val="5207605D"/>
    <w:rsid w:val="520946F0"/>
    <w:rsid w:val="560E354A"/>
    <w:rsid w:val="5AE40D1D"/>
    <w:rsid w:val="5B01367D"/>
    <w:rsid w:val="5C5A6B7D"/>
    <w:rsid w:val="5D5932FD"/>
    <w:rsid w:val="645B3DFE"/>
    <w:rsid w:val="652266CA"/>
    <w:rsid w:val="668B2A74"/>
    <w:rsid w:val="68784853"/>
    <w:rsid w:val="68790E5C"/>
    <w:rsid w:val="694B0300"/>
    <w:rsid w:val="69B479A5"/>
    <w:rsid w:val="6C677623"/>
    <w:rsid w:val="6CE40709"/>
    <w:rsid w:val="6E517A89"/>
    <w:rsid w:val="6EF90182"/>
    <w:rsid w:val="70F640AA"/>
    <w:rsid w:val="72A61C1E"/>
    <w:rsid w:val="730613D9"/>
    <w:rsid w:val="76955067"/>
    <w:rsid w:val="76FE292F"/>
    <w:rsid w:val="79142376"/>
    <w:rsid w:val="7B174D52"/>
    <w:rsid w:val="7B374B30"/>
    <w:rsid w:val="7BE443BC"/>
    <w:rsid w:val="7DFD162B"/>
    <w:rsid w:val="7F0864D9"/>
    <w:rsid w:val="7F92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3"/>
    <w:basedOn w:val="1"/>
    <w:qFormat/>
    <w:uiPriority w:val="0"/>
    <w:pPr>
      <w:spacing w:after="120"/>
    </w:pPr>
    <w:rPr>
      <w:sz w:val="16"/>
    </w:rPr>
  </w:style>
  <w:style w:type="paragraph" w:styleId="5">
    <w:name w:val="Body Text"/>
    <w:basedOn w:val="1"/>
    <w:next w:val="6"/>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6">
    <w:name w:val="Body Text First Indent"/>
    <w:basedOn w:val="5"/>
    <w:qFormat/>
    <w:uiPriority w:val="0"/>
    <w:pPr>
      <w:ind w:firstLine="420" w:firstLineChars="10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_Style 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2257</Words>
  <Characters>2359</Characters>
  <Lines>0</Lines>
  <Paragraphs>0</Paragraphs>
  <TotalTime>13</TotalTime>
  <ScaleCrop>false</ScaleCrop>
  <LinksUpToDate>false</LinksUpToDate>
  <CharactersWithSpaces>2368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罗凤祥</cp:lastModifiedBy>
  <dcterms:modified xsi:type="dcterms:W3CDTF">2025-07-15T08:30:27Z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C8642EB9B6924810AE42E06A1BAFE198_13</vt:lpwstr>
  </property>
</Properties>
</file>