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0"/>
          <w:szCs w:val="40"/>
        </w:rPr>
        <w:t>2024</w:t>
      </w:r>
      <w:r>
        <w:rPr>
          <w:rFonts w:ascii="微软雅黑" w:eastAsia="微软雅黑" w:cs="微软雅黑" w:hint="eastAsia"/>
          <w:sz w:val="40"/>
          <w:szCs w:val="40"/>
        </w:rPr>
        <w:t>年度零陵区梳子铺乡</w:t>
      </w:r>
      <w:r>
        <w:rPr>
          <w:rFonts w:ascii="微软雅黑" w:eastAsia="微软雅黑" w:cs="微软雅黑" w:hint="eastAsia"/>
          <w:sz w:val="40"/>
          <w:szCs w:val="40"/>
          <w:lang w:eastAsia="zh-CN"/>
        </w:rPr>
        <w:t>水字桥完小</w:t>
      </w:r>
      <w:r>
        <w:rPr>
          <w:rFonts w:ascii="微软雅黑" w:eastAsia="微软雅黑" w:cs="微软雅黑" w:hint="eastAsia"/>
          <w:sz w:val="40"/>
          <w:szCs w:val="40"/>
        </w:rPr>
        <w:t>整体支出</w:t>
      </w:r>
      <w:r>
        <w:rPr>
          <w:rFonts w:ascii="微软雅黑" w:eastAsia="微软雅黑" w:cs="微软雅黑" w:hint="eastAsia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Chars="200" w:firstLine="640"/>
        <w:jc w:val="center"/>
        <w:rPr>
          <w:rFonts w:eastAsia="仿宋_GB2312" w:hint="eastAsia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eastAsia="仿宋_GB2312" w:hint="eastAsia"/>
          <w:sz w:val="32"/>
          <w:szCs w:val="32"/>
        </w:rPr>
        <w:t>零陵区梳子铺乡</w:t>
      </w:r>
      <w:r>
        <w:rPr>
          <w:rFonts w:eastAsia="仿宋_GB2312" w:hint="eastAsia"/>
          <w:sz w:val="32"/>
          <w:szCs w:val="32"/>
          <w:lang w:eastAsia="zh-CN"/>
        </w:rPr>
        <w:t>水字桥完小</w:t>
      </w:r>
    </w:p>
    <w:p>
      <w:pPr>
        <w:spacing w:line="600" w:lineRule="exact"/>
        <w:ind w:firstLineChars="1000" w:firstLine="320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 xml:space="preserve">5年 </w:t>
      </w:r>
      <w:r>
        <w:rPr>
          <w:rFonts w:eastAsia="楷体_GB2312" w:hint="eastAsia"/>
          <w:sz w:val="32"/>
          <w:szCs w:val="32"/>
        </w:rPr>
        <w:t>0</w:t>
      </w:r>
      <w:r>
        <w:rPr>
          <w:rFonts w:eastAsia="楷体_GB2312"/>
          <w:sz w:val="32"/>
          <w:szCs w:val="32"/>
        </w:rPr>
        <w:t>7月 02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shd w:val="clear" w:color="auto" w:fill="FFFFFF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（一）单位职能职责、机构编制、人员构成情况。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1．主要职能。</w:t>
      </w:r>
    </w:p>
    <w:p>
      <w:pPr>
        <w:ind w:firstLine="60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(1)认真贯彻落实党的教育方针，坚持依法办学；</w:t>
      </w:r>
    </w:p>
    <w:p>
      <w:pPr>
        <w:ind w:firstLine="60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(2)严格执行上级有关招生、收费等文件精神；</w:t>
      </w:r>
    </w:p>
    <w:p>
      <w:pPr>
        <w:ind w:firstLine="60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(3)认真履行教育法、教师法等法律法规；</w:t>
      </w:r>
    </w:p>
    <w:p>
      <w:pPr>
        <w:ind w:firstLine="60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(4)积极做好教师队伍培训，重点做好校园和师生的安全教育工作；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宋体" w:hint="eastAsia"/>
          <w:sz w:val="28"/>
          <w:szCs w:val="28"/>
        </w:rPr>
        <w:t>(5)努力完成好各项教育教学任务。</w:t>
      </w:r>
    </w:p>
    <w:p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2．机构编制情况，包括当年变动情况及原因。</w:t>
      </w:r>
    </w:p>
    <w:p>
      <w:pPr>
        <w:snapToGrid w:val="0"/>
        <w:spacing w:line="520" w:lineRule="exact"/>
        <w:ind w:firstLineChars="200" w:firstLine="560"/>
        <w:rPr>
          <w:rFonts w:ascii="仿宋_GB2312" w:hAnsi="仿宋_GB2312"/>
          <w:sz w:val="32"/>
          <w:szCs w:val="32"/>
        </w:rPr>
      </w:pPr>
      <w:r>
        <w:rPr>
          <w:rFonts w:ascii="宋体" w:hint="eastAsia"/>
          <w:sz w:val="28"/>
          <w:szCs w:val="28"/>
        </w:rPr>
        <w:t>我校是一所义务教育阶段的</w:t>
      </w:r>
      <w:r>
        <w:rPr>
          <w:rFonts w:ascii="宋体" w:hint="eastAsia"/>
          <w:sz w:val="28"/>
          <w:szCs w:val="28"/>
          <w:lang w:eastAsia="zh-CN"/>
        </w:rPr>
        <w:t>水字桥完小</w:t>
      </w:r>
      <w:r>
        <w:rPr>
          <w:rFonts w:ascii="宋体" w:hint="eastAsia"/>
          <w:sz w:val="28"/>
          <w:szCs w:val="28"/>
        </w:rPr>
        <w:t>，属于财政全额拨款的事业单位，隶属于零陵区教育局。202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年度内设职能部门5个：校长室、办公室、教导处、政教处、总务处。</w:t>
      </w:r>
    </w:p>
    <w:p>
      <w:pPr>
        <w:numPr>
          <w:ilvl w:val="0"/>
          <w:numId w:val="2"/>
        </w:numPr>
        <w:snapToGrid w:val="0"/>
        <w:spacing w:line="52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人员构成情况，包括当年变动情况及原因。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宋体" w:hint="eastAsia"/>
          <w:sz w:val="28"/>
          <w:szCs w:val="28"/>
        </w:rPr>
        <w:t>零陵区梳子铺乡</w:t>
      </w:r>
      <w:r>
        <w:rPr>
          <w:rFonts w:ascii="宋体" w:hint="eastAsia"/>
          <w:sz w:val="28"/>
          <w:szCs w:val="28"/>
          <w:lang w:eastAsia="zh-CN"/>
        </w:rPr>
        <w:t>水字桥完小</w:t>
      </w:r>
      <w:r>
        <w:rPr>
          <w:rFonts w:ascii="宋体" w:hint="eastAsia"/>
          <w:sz w:val="28"/>
          <w:szCs w:val="28"/>
        </w:rPr>
        <w:t>核定编制数</w:t>
      </w:r>
      <w:r>
        <w:rPr>
          <w:rFonts w:ascii="宋体" w:hint="eastAsia"/>
          <w:sz w:val="28"/>
          <w:szCs w:val="28"/>
          <w:lang w:val="en-US" w:eastAsia="zh-CN"/>
        </w:rPr>
        <w:t>17</w:t>
      </w:r>
      <w:r>
        <w:rPr>
          <w:rFonts w:ascii="宋体" w:hint="eastAsia"/>
          <w:sz w:val="28"/>
          <w:szCs w:val="28"/>
        </w:rPr>
        <w:t>名，全额拨款编制</w:t>
      </w:r>
      <w:r>
        <w:rPr>
          <w:rFonts w:ascii="宋体" w:hint="eastAsia"/>
          <w:sz w:val="28"/>
          <w:szCs w:val="28"/>
          <w:lang w:val="en-US" w:eastAsia="zh-CN"/>
        </w:rPr>
        <w:t>16</w:t>
      </w:r>
      <w:r>
        <w:rPr>
          <w:rFonts w:ascii="宋体" w:hint="eastAsia"/>
          <w:sz w:val="28"/>
          <w:szCs w:val="28"/>
        </w:rPr>
        <w:t>名，实有全额拨款编制人数</w:t>
      </w:r>
      <w:r>
        <w:rPr>
          <w:rFonts w:ascii="宋体" w:hint="eastAsia"/>
          <w:sz w:val="28"/>
          <w:szCs w:val="28"/>
          <w:lang w:val="en-US" w:eastAsia="zh-CN"/>
        </w:rPr>
        <w:t>16</w:t>
      </w:r>
      <w:r>
        <w:rPr>
          <w:rFonts w:ascii="宋体" w:hint="eastAsia"/>
          <w:sz w:val="28"/>
          <w:szCs w:val="28"/>
        </w:rPr>
        <w:t>名，在岗人员</w:t>
      </w:r>
      <w:r>
        <w:rPr>
          <w:rFonts w:ascii="宋体" w:hint="eastAsia"/>
          <w:sz w:val="28"/>
          <w:szCs w:val="28"/>
          <w:lang w:val="en-US" w:eastAsia="zh-CN"/>
        </w:rPr>
        <w:t>16</w:t>
      </w:r>
      <w:r>
        <w:rPr>
          <w:rFonts w:ascii="宋体" w:hint="eastAsia"/>
          <w:sz w:val="28"/>
          <w:szCs w:val="28"/>
        </w:rPr>
        <w:t>人。其中：在职在编人员</w:t>
      </w:r>
      <w:r>
        <w:rPr>
          <w:rFonts w:ascii="宋体" w:hint="eastAsia"/>
          <w:sz w:val="28"/>
          <w:szCs w:val="28"/>
          <w:lang w:val="en-US" w:eastAsia="zh-CN"/>
        </w:rPr>
        <w:t>16</w:t>
      </w:r>
      <w:r>
        <w:rPr>
          <w:rFonts w:ascii="宋体" w:hint="eastAsia"/>
          <w:sz w:val="28"/>
          <w:szCs w:val="28"/>
        </w:rPr>
        <w:t>人。</w:t>
      </w:r>
    </w:p>
    <w:p>
      <w:pPr>
        <w:numPr>
          <w:ilvl w:val="0"/>
          <w:numId w:val="3"/>
        </w:numPr>
        <w:spacing w:line="460" w:lineRule="exact"/>
        <w:ind w:left="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单位整体支出规模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1.部门整体支出情况。</w:t>
      </w:r>
    </w:p>
    <w:p>
      <w:pPr>
        <w:snapToGrid w:val="0"/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年部门整体支出年初预算数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万元，全年预算数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万元，全年支出执行数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万元，执行率为</w:t>
      </w:r>
      <w:r>
        <w:rPr>
          <w:rFonts w:ascii="宋体"/>
          <w:sz w:val="28"/>
          <w:szCs w:val="28"/>
        </w:rPr>
        <w:t>100</w:t>
      </w:r>
      <w:r>
        <w:rPr>
          <w:rFonts w:ascii="宋体" w:hint="eastAsia"/>
          <w:sz w:val="28"/>
          <w:szCs w:val="28"/>
        </w:rPr>
        <w:t>%，全年绩效目标都按时按量完成。</w:t>
      </w:r>
    </w:p>
    <w:p>
      <w:pPr>
        <w:snapToGrid w:val="0"/>
        <w:spacing w:line="52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2.部门预算收支决算情况。</w:t>
      </w:r>
    </w:p>
    <w:p>
      <w:pPr>
        <w:snapToGrid w:val="0"/>
        <w:spacing w:line="52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宋体" w:hint="eastAsia"/>
          <w:sz w:val="28"/>
          <w:szCs w:val="28"/>
        </w:rPr>
        <w:t>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年预算总收入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万元，其中一般预算拨款（补助）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万元，与上年决算收入</w:t>
      </w:r>
      <w:r>
        <w:rPr>
          <w:rFonts w:ascii="宋体"/>
          <w:sz w:val="28"/>
          <w:szCs w:val="28"/>
        </w:rPr>
        <w:t>264.28</w:t>
      </w:r>
      <w:r>
        <w:rPr>
          <w:rFonts w:ascii="宋体" w:hint="eastAsia"/>
          <w:sz w:val="28"/>
          <w:szCs w:val="28"/>
        </w:rPr>
        <w:t>万元相比增加了了</w:t>
      </w:r>
      <w:r>
        <w:rPr>
          <w:rFonts w:ascii="宋体"/>
          <w:sz w:val="28"/>
          <w:szCs w:val="28"/>
        </w:rPr>
        <w:t>23.69</w:t>
      </w:r>
      <w:r>
        <w:rPr>
          <w:rFonts w:ascii="宋体" w:hint="eastAsia"/>
          <w:sz w:val="28"/>
          <w:szCs w:val="28"/>
        </w:rPr>
        <w:t>%。202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年度预算总支出</w:t>
      </w:r>
      <w:r>
        <w:rPr>
          <w:rFonts w:ascii="宋体"/>
          <w:sz w:val="28"/>
          <w:szCs w:val="28"/>
        </w:rPr>
        <w:t>211.23</w:t>
      </w:r>
      <w:r>
        <w:rPr>
          <w:rFonts w:ascii="宋体" w:hint="eastAsia"/>
          <w:sz w:val="28"/>
          <w:szCs w:val="28"/>
        </w:rPr>
        <w:t>万元，与上年决算支出</w:t>
      </w:r>
      <w:r>
        <w:rPr>
          <w:rFonts w:ascii="宋体"/>
          <w:sz w:val="28"/>
          <w:szCs w:val="28"/>
        </w:rPr>
        <w:t>264.28</w:t>
      </w:r>
      <w:r>
        <w:rPr>
          <w:rFonts w:ascii="宋体" w:hint="eastAsia"/>
          <w:sz w:val="28"/>
          <w:szCs w:val="28"/>
        </w:rPr>
        <w:t>万元相比增加了</w:t>
      </w:r>
      <w:r>
        <w:rPr>
          <w:rFonts w:ascii="宋体"/>
          <w:sz w:val="28"/>
          <w:szCs w:val="28"/>
        </w:rPr>
        <w:t>23.69</w:t>
      </w:r>
      <w:r>
        <w:rPr>
          <w:rFonts w:ascii="宋体" w:hint="eastAsia"/>
          <w:sz w:val="28"/>
          <w:szCs w:val="28"/>
        </w:rPr>
        <w:t>%。主要原因是：项目支出增加。</w:t>
      </w:r>
    </w:p>
    <w:p>
      <w:pPr>
        <w:snapToGrid w:val="0"/>
        <w:spacing w:line="52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3.“三公经费”支出和管理情况。</w:t>
      </w:r>
    </w:p>
    <w:p>
      <w:pPr>
        <w:snapToGrid w:val="0"/>
        <w:spacing w:line="520" w:lineRule="exact"/>
        <w:ind w:firstLineChars="200" w:firstLine="560"/>
        <w:rPr>
          <w:rFonts w:ascii="宋体"/>
          <w:sz w:val="28"/>
          <w:szCs w:val="28"/>
          <w:lang w:val="zh-TW"/>
        </w:rPr>
      </w:pPr>
      <w:r>
        <w:rPr>
          <w:rFonts w:ascii="宋体" w:hint="eastAsia"/>
          <w:sz w:val="28"/>
          <w:szCs w:val="28"/>
        </w:rPr>
        <w:t>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年度“三公经费”预算支出：因</w:t>
      </w:r>
      <w:r>
        <w:rPr>
          <w:rFonts w:ascii="宋体" w:hint="eastAsia"/>
          <w:sz w:val="28"/>
          <w:szCs w:val="28"/>
          <w:lang w:val="zh-TW" w:eastAsia="zh-TW"/>
        </w:rPr>
        <w:t>公出国（境）费支出为0万元</w:t>
      </w:r>
      <w:r>
        <w:rPr>
          <w:rFonts w:ascii="宋体" w:hint="eastAsia"/>
          <w:sz w:val="28"/>
          <w:szCs w:val="28"/>
          <w:lang w:val="zh-TW"/>
        </w:rPr>
        <w:t>；</w:t>
      </w:r>
      <w:r>
        <w:rPr>
          <w:rFonts w:ascii="宋体" w:hint="eastAsia"/>
          <w:sz w:val="28"/>
          <w:szCs w:val="28"/>
          <w:lang w:val="zh-TW" w:eastAsia="zh-TW"/>
        </w:rPr>
        <w:t>公务用车购置及运行费支出为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  <w:lang w:val="zh-TW" w:eastAsia="zh-TW"/>
        </w:rPr>
        <w:t>万元;公务接待费支出为</w:t>
      </w:r>
      <w:r>
        <w:rPr>
          <w:rFonts w:ascii="宋体" w:hint="eastAsia"/>
          <w:sz w:val="28"/>
          <w:szCs w:val="28"/>
        </w:rPr>
        <w:t>0.0</w:t>
      </w:r>
      <w:r>
        <w:rPr>
          <w:rFonts w:ascii="宋体" w:hint="eastAsia"/>
          <w:sz w:val="28"/>
          <w:szCs w:val="28"/>
          <w:lang w:val="zh-TW" w:eastAsia="zh-TW"/>
        </w:rPr>
        <w:t>万元</w:t>
      </w:r>
      <w:r>
        <w:rPr>
          <w:rFonts w:ascii="宋体" w:hint="eastAsia"/>
          <w:sz w:val="28"/>
          <w:szCs w:val="28"/>
          <w:lang w:val="zh-TW"/>
        </w:rPr>
        <w:t>；</w:t>
      </w:r>
      <w:r>
        <w:rPr>
          <w:rFonts w:ascii="宋体" w:hint="eastAsia"/>
          <w:sz w:val="28"/>
          <w:szCs w:val="28"/>
        </w:rPr>
        <w:t>“三公经费”决算支出：因</w:t>
      </w:r>
      <w:r>
        <w:rPr>
          <w:rFonts w:ascii="宋体" w:hint="eastAsia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ascii="宋体" w:hint="eastAsia"/>
          <w:sz w:val="28"/>
          <w:szCs w:val="28"/>
          <w:lang w:val="zh-TW"/>
        </w:rPr>
        <w:t>0</w:t>
      </w:r>
      <w:r>
        <w:rPr>
          <w:rFonts w:ascii="宋体" w:hint="eastAsia"/>
          <w:sz w:val="28"/>
          <w:szCs w:val="28"/>
          <w:lang w:val="zh-TW" w:eastAsia="zh-TW"/>
        </w:rPr>
        <w:t>万元</w:t>
      </w:r>
      <w:r>
        <w:rPr>
          <w:rFonts w:ascii="宋体" w:hint="eastAsia"/>
          <w:sz w:val="28"/>
          <w:szCs w:val="28"/>
          <w:lang w:val="zh-TW"/>
        </w:rPr>
        <w:t>；</w:t>
      </w:r>
      <w:r>
        <w:rPr>
          <w:rFonts w:ascii="宋体" w:hint="eastAsia"/>
          <w:sz w:val="28"/>
          <w:szCs w:val="28"/>
          <w:lang w:val="zh-TW" w:eastAsia="zh-TW"/>
        </w:rPr>
        <w:t>公务接待费支出决算为</w:t>
      </w:r>
      <w:r>
        <w:rPr>
          <w:rFonts w:ascii="宋体" w:hint="eastAsia"/>
          <w:sz w:val="28"/>
          <w:szCs w:val="28"/>
        </w:rPr>
        <w:t>0.0</w:t>
      </w:r>
      <w:r>
        <w:rPr>
          <w:rFonts w:ascii="宋体" w:hint="eastAsia"/>
          <w:sz w:val="28"/>
          <w:szCs w:val="28"/>
          <w:lang w:val="zh-TW" w:eastAsia="zh-TW"/>
        </w:rPr>
        <w:t>万元</w:t>
      </w:r>
      <w:r>
        <w:rPr>
          <w:rFonts w:ascii="宋体" w:hint="eastAsia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202</w:t>
      </w:r>
      <w:r>
        <w:rPr>
          <w:rFonts w:ascii="宋体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年度本部门继续严格落实中央八项规定精神和厉行节约要求，从严控制三公经费的支出。</w:t>
      </w:r>
    </w:p>
    <w:p>
      <w:pPr>
        <w:pStyle w:val="17"/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>
      <w:pPr>
        <w:pStyle w:val="17"/>
        <w:spacing w:line="4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（一）基本支出情况</w:t>
      </w:r>
    </w:p>
    <w:p>
      <w:pPr>
        <w:pStyle w:val="18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微软雅黑" w:eastAsia="微软雅黑" w:cs="微软雅黑" w:hint="eastAsia"/>
          <w:sz w:val="24"/>
          <w:szCs w:val="24"/>
        </w:rPr>
        <w:t>202</w:t>
      </w:r>
      <w:r>
        <w:rPr>
          <w:rFonts w:ascii="微软雅黑" w:eastAsia="微软雅黑" w:cs="微软雅黑"/>
          <w:sz w:val="24"/>
          <w:szCs w:val="24"/>
        </w:rPr>
        <w:t>4</w:t>
      </w:r>
      <w:r>
        <w:rPr>
          <w:rFonts w:ascii="微软雅黑" w:eastAsia="微软雅黑" w:cs="微软雅黑" w:hint="eastAsia"/>
          <w:sz w:val="24"/>
          <w:szCs w:val="24"/>
        </w:rPr>
        <w:t>年度基本支出</w:t>
      </w:r>
      <w:r>
        <w:rPr>
          <w:rFonts w:ascii="微软雅黑" w:eastAsia="微软雅黑" w:cs="微软雅黑"/>
          <w:sz w:val="24"/>
          <w:szCs w:val="24"/>
        </w:rPr>
        <w:t>272.56</w:t>
      </w:r>
      <w:r>
        <w:rPr>
          <w:rFonts w:ascii="微软雅黑" w:eastAsia="微软雅黑" w:cs="微软雅黑" w:hint="eastAsia"/>
          <w:sz w:val="24"/>
          <w:szCs w:val="24"/>
        </w:rPr>
        <w:t>万元，其中：人员经费</w:t>
      </w:r>
      <w:r>
        <w:rPr>
          <w:rFonts w:ascii="微软雅黑" w:eastAsia="微软雅黑" w:cs="微软雅黑"/>
          <w:sz w:val="24"/>
          <w:szCs w:val="24"/>
        </w:rPr>
        <w:t>263.56</w:t>
      </w:r>
      <w:r>
        <w:rPr>
          <w:rFonts w:ascii="微软雅黑" w:eastAsia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cs="微软雅黑"/>
          <w:sz w:val="24"/>
          <w:szCs w:val="24"/>
        </w:rPr>
        <w:t>92.13</w:t>
      </w:r>
      <w:r>
        <w:rPr>
          <w:rFonts w:ascii="微软雅黑" w:eastAsia="微软雅黑" w:cs="微软雅黑" w:hint="eastAsia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ascii="微软雅黑" w:eastAsia="微软雅黑" w:cs="微软雅黑"/>
          <w:sz w:val="24"/>
          <w:szCs w:val="24"/>
        </w:rPr>
        <w:t>9</w:t>
      </w:r>
      <w:r>
        <w:rPr>
          <w:rFonts w:ascii="微软雅黑" w:eastAsia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cs="微软雅黑"/>
          <w:sz w:val="24"/>
          <w:szCs w:val="24"/>
        </w:rPr>
        <w:t>3.34</w:t>
      </w:r>
      <w:r>
        <w:rPr>
          <w:rFonts w:ascii="微软雅黑" w:eastAsia="微软雅黑" w:cs="微软雅黑" w:hint="eastAsia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17"/>
        <w:spacing w:line="460" w:lineRule="exact"/>
        <w:ind w:leftChars="200" w:left="42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项目支出情况</w:t>
      </w:r>
    </w:p>
    <w:p>
      <w:pPr>
        <w:spacing w:line="540" w:lineRule="exact"/>
        <w:ind w:firstLineChars="200" w:firstLine="480"/>
        <w:rPr>
          <w:rFonts w:eastAsia="仿宋_GB2312"/>
          <w:sz w:val="32"/>
          <w:szCs w:val="32"/>
        </w:rPr>
      </w:pPr>
      <w:r>
        <w:rPr>
          <w:rFonts w:ascii="微软雅黑" w:eastAsia="微软雅黑" w:cs="微软雅黑" w:hint="eastAsia"/>
          <w:sz w:val="24"/>
        </w:rPr>
        <w:t>202</w:t>
      </w:r>
      <w:r>
        <w:rPr>
          <w:rFonts w:ascii="微软雅黑" w:eastAsia="微软雅黑" w:cs="微软雅黑"/>
          <w:sz w:val="24"/>
        </w:rPr>
        <w:t>4</w:t>
      </w:r>
      <w:r>
        <w:rPr>
          <w:rFonts w:ascii="微软雅黑" w:eastAsia="微软雅黑" w:cs="微软雅黑" w:hint="eastAsia"/>
          <w:sz w:val="24"/>
        </w:rPr>
        <w:t>年度</w:t>
      </w:r>
      <w:r>
        <w:rPr>
          <w:rFonts w:ascii="微软雅黑" w:eastAsia="微软雅黑" w:cs="微软雅黑" w:hint="eastAsia"/>
          <w:bCs/>
          <w:sz w:val="24"/>
        </w:rPr>
        <w:t>项目支出为</w:t>
      </w:r>
      <w:r>
        <w:rPr>
          <w:rFonts w:ascii="微软雅黑" w:eastAsia="微软雅黑" w:cs="微软雅黑"/>
          <w:color w:val="000000"/>
          <w:sz w:val="24"/>
          <w:shd w:val="clear" w:color="auto" w:fill="FFFFFF"/>
        </w:rPr>
        <w:t>0</w:t>
      </w:r>
      <w:r>
        <w:rPr>
          <w:rFonts w:ascii="微软雅黑" w:eastAsia="微软雅黑" w:cs="微软雅黑" w:hint="eastAsia"/>
          <w:color w:val="000000"/>
          <w:sz w:val="24"/>
          <w:shd w:val="clear" w:color="auto" w:fill="FFFFFF"/>
        </w:rPr>
        <w:t>万元。</w:t>
      </w:r>
      <w:bookmarkStart w:id="0" w:name="_GoBack"/>
      <w:bookmarkEnd w:id="0"/>
    </w:p>
    <w:p>
      <w:pPr>
        <w:pStyle w:val="17"/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>
      <w:pPr>
        <w:pStyle w:val="17"/>
        <w:spacing w:line="460" w:lineRule="exact"/>
        <w:ind w:firstLineChars="300" w:firstLine="720"/>
        <w:rPr>
          <w:rFonts w:ascii="微软雅黑" w:eastAsia="微软雅黑" w:cs="微软雅黑"/>
          <w:color w:val="000000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sz w:val="24"/>
          <w:szCs w:val="24"/>
        </w:rPr>
        <w:t>我单位无政府性基金预算支出情况。</w:t>
      </w:r>
    </w:p>
    <w:p>
      <w:pPr>
        <w:pStyle w:val="17"/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>
      <w:pPr>
        <w:pStyle w:val="17"/>
        <w:spacing w:line="460" w:lineRule="exact"/>
        <w:ind w:firstLineChars="300" w:firstLine="720"/>
        <w:rPr>
          <w:rFonts w:ascii="微软雅黑" w:eastAsia="微软雅黑" w:cs="微软雅黑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sz w:val="24"/>
          <w:szCs w:val="24"/>
        </w:rPr>
        <w:t>我单位无国有资本经营预算支出情况。</w:t>
      </w:r>
    </w:p>
    <w:p>
      <w:pPr>
        <w:pStyle w:val="17"/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  <w:r>
        <w:rPr>
          <w:rFonts w:ascii="Times New Roman" w:eastAsia="黑体" w:hAnsi="Times New Roman" w:hint="eastAsia"/>
          <w:sz w:val="32"/>
          <w:szCs w:val="32"/>
        </w:rPr>
        <w:t>。</w:t>
      </w:r>
    </w:p>
    <w:p>
      <w:pPr>
        <w:pStyle w:val="17"/>
        <w:spacing w:line="460" w:lineRule="exact"/>
        <w:ind w:leftChars="200" w:left="420" w:firstLineChars="100" w:firstLine="240"/>
        <w:rPr>
          <w:rFonts w:ascii="微软雅黑" w:eastAsia="微软雅黑" w:cs="微软雅黑"/>
          <w:sz w:val="24"/>
          <w:szCs w:val="24"/>
        </w:rPr>
      </w:pPr>
      <w:r>
        <w:rPr>
          <w:rFonts w:ascii="微软雅黑" w:eastAsia="微软雅黑" w:cs="微软雅黑" w:hint="eastAsia"/>
          <w:color w:val="000000"/>
          <w:sz w:val="24"/>
          <w:szCs w:val="24"/>
        </w:rPr>
        <w:t>我单位无社会保险基金预算支出情况。</w:t>
      </w:r>
    </w:p>
    <w:p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firstLineChars="200" w:firstLine="480"/>
        <w:rPr>
          <w:rFonts w:ascii="微软雅黑" w:eastAsia="微软雅黑" w:cs="微软雅黑"/>
          <w:color w:val="000000"/>
          <w:sz w:val="24"/>
        </w:rPr>
      </w:pPr>
      <w:r>
        <w:rPr>
          <w:rFonts w:ascii="微软雅黑" w:eastAsia="微软雅黑" w:cs="微软雅黑" w:hint="eastAsia"/>
          <w:color w:val="000000"/>
          <w:sz w:val="24"/>
        </w:rPr>
        <w:t>202</w:t>
      </w:r>
      <w:r>
        <w:rPr>
          <w:rFonts w:ascii="微软雅黑" w:eastAsia="微软雅黑" w:cs="微软雅黑"/>
          <w:color w:val="000000"/>
          <w:sz w:val="24"/>
        </w:rPr>
        <w:t>4</w:t>
      </w:r>
      <w:r>
        <w:rPr>
          <w:rFonts w:ascii="微软雅黑" w:eastAsia="微软雅黑" w:cs="微软雅黑" w:hint="eastAsia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pStyle w:val="18"/>
        <w:spacing w:line="540" w:lineRule="exact"/>
        <w:rPr>
          <w:rFonts w:ascii="微软雅黑" w:eastAsia="微软雅黑" w:cs="微软雅黑"/>
          <w:color w:val="333333"/>
          <w:sz w:val="24"/>
          <w:szCs w:val="24"/>
        </w:rPr>
      </w:pPr>
      <w:r>
        <w:rPr>
          <w:rFonts w:ascii="微软雅黑" w:eastAsia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eastAsia="微软雅黑" w:cs="微软雅黑"/>
          <w:color w:val="333333"/>
          <w:sz w:val="24"/>
          <w:szCs w:val="24"/>
        </w:rPr>
        <w:t>以致</w:t>
      </w:r>
      <w:r>
        <w:rPr>
          <w:rFonts w:ascii="微软雅黑" w:eastAsia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ascii="微软雅黑" w:eastAsia="微软雅黑" w:cs="微软雅黑" w:hint="eastAsia"/>
          <w:color w:val="333333"/>
          <w:sz w:val="24"/>
          <w:szCs w:val="24"/>
        </w:rPr>
        <w:t>足</w:t>
      </w:r>
      <w:r>
        <w:rPr>
          <w:rFonts w:asci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pStyle w:val="18"/>
        <w:spacing w:line="5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16"/>
        <w:widowControl/>
        <w:spacing w:line="33" w:lineRule="atLeast"/>
        <w:ind w:firstLine="420"/>
        <w:jc w:val="both"/>
        <w:rPr>
          <w:rFonts w:ascii="微软雅黑" w:eastAsia="微软雅黑" w:cs="微软雅黑"/>
          <w:color w:val="333333"/>
        </w:rPr>
      </w:pPr>
      <w:r>
        <w:rPr>
          <w:rFonts w:ascii="微软雅黑" w:eastAsia="微软雅黑" w:cs="微软雅黑" w:hint="eastAsia"/>
          <w:color w:val="333333"/>
        </w:rPr>
        <w:t>1、能够足额安排财政预算，确保各项日常工作的开展.</w:t>
      </w:r>
    </w:p>
    <w:p>
      <w:pPr>
        <w:pStyle w:val="16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ascii="微软雅黑" w:eastAsia="微软雅黑" w:cs="微软雅黑" w:hint="eastAsia"/>
          <w:color w:val="333333"/>
        </w:rPr>
        <w:t>2、加强绩效评价管理评价的可操作性，对相关业务人员进行相关培训，以提高业务知识水平。</w:t>
      </w:r>
    </w:p>
    <w:p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16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ascii="微软雅黑" w:eastAsia="微软雅黑" w:cs="微软雅黑" w:hint="eastAsia"/>
          <w:color w:val="000000"/>
          <w:shd w:val="clear" w:color="auto" w:fill="FFFFFF"/>
        </w:rPr>
        <w:t>零陵区梳子铺乡</w:t>
      </w:r>
      <w:r>
        <w:rPr>
          <w:rFonts w:ascii="微软雅黑" w:eastAsia="微软雅黑" w:cs="微软雅黑" w:hint="eastAsia"/>
          <w:color w:val="000000"/>
          <w:shd w:val="clear" w:color="auto" w:fill="FFFFFF"/>
          <w:lang w:eastAsia="zh-CN"/>
        </w:rPr>
        <w:t>水字桥完小</w:t>
      </w:r>
      <w:r>
        <w:rPr>
          <w:rFonts w:ascii="微软雅黑" w:eastAsia="微软雅黑" w:cs="微软雅黑" w:hint="eastAsia"/>
          <w:color w:val="000000"/>
          <w:shd w:val="clear" w:color="auto" w:fill="FFFFFF"/>
        </w:rPr>
        <w:t>202</w:t>
      </w:r>
      <w:r>
        <w:rPr>
          <w:rFonts w:ascii="微软雅黑" w:eastAsia="微软雅黑" w:cs="微软雅黑"/>
          <w:color w:val="000000"/>
          <w:shd w:val="clear" w:color="auto" w:fill="FFFFFF"/>
        </w:rPr>
        <w:t>4</w:t>
      </w:r>
      <w:r>
        <w:rPr>
          <w:rFonts w:ascii="微软雅黑" w:eastAsia="微软雅黑" w:cs="微软雅黑" w:hint="eastAsia"/>
          <w:color w:val="000000"/>
          <w:shd w:val="clear" w:color="auto" w:fill="FFFFFF"/>
        </w:rPr>
        <w:t>年绩效自评结果100分，由零陵区政府门户网站统一公开。</w:t>
      </w:r>
    </w:p>
    <w:p>
      <w:pPr>
        <w:spacing w:line="4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16"/>
        <w:widowControl/>
        <w:shd w:val="clear" w:color="auto" w:fill="FFFFFF"/>
        <w:ind w:firstLine="640"/>
      </w:pPr>
      <w:r>
        <w:rPr>
          <w:rFonts w:ascii="微软雅黑" w:eastAsia="微软雅黑" w:cs="微软雅黑" w:hint="eastAsia"/>
          <w:color w:val="000000"/>
          <w:shd w:val="clear" w:color="auto" w:fill="FFFFFF"/>
        </w:rPr>
        <w:t>无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AC1353A"/>
    <w:multiLevelType w:val="singleLevel"/>
    <w:tmpl w:val="2AC1353A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abstractNum w:abstractNumId="1">
    <w:nsid w:val="0965527E"/>
    <w:multiLevelType w:val="singleLevel"/>
    <w:tmpl w:val="0965527E"/>
    <w:lvl w:ilvl="0">
      <w:start w:val="3"/>
      <w:numFmt w:val="decimal"/>
      <w:lvlRestart w:val="0"/>
      <w:suff w:val="nothing"/>
      <w:lvlText w:val="%1．"/>
      <w:lvlJc w:val="left"/>
      <w:pPr>
        <w:ind w:left="0" w:hanging="0"/>
      </w:pPr>
    </w:lvl>
  </w:abstractNum>
  <w:abstractNum w:abstractNumId="2">
    <w:nsid w:val="5E8C7D66"/>
    <w:multiLevelType w:val="singleLevel"/>
    <w:tmpl w:val="5E8C7D66"/>
    <w:lvl w:ilvl="0">
      <w:start w:val="2"/>
      <w:numFmt w:val="chineseCounting"/>
      <w:lvlRestart w:val="0"/>
      <w:suff w:val="nothing"/>
      <w:lvlText w:val="（%1）"/>
      <w:lvlJc w:val="left"/>
      <w:pPr>
        <w:ind w:left="0" w:hanging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jg0N2FlYjZhZDFlNmI0ODU3NmEyMDE1NGIxZDlmZG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Normal (Web)"/>
    <w:qFormat/>
    <w:basedOn w:val="0"/>
    <w:pPr>
      <w:jc w:val="left"/>
    </w:pPr>
    <w:rPr>
      <w:kern w:val="0"/>
      <w:sz w:val="24"/>
    </w:rPr>
  </w:style>
  <w:style w:type="paragraph" w:customStyle="1" w:styleId="17">
    <w:name w:val="列出段落1"/>
    <w:qFormat/>
    <w:basedOn w:val="0"/>
    <w:pPr>
      <w:ind w:firstLineChars="200" w:firstLine="200"/>
    </w:pPr>
    <w:rPr>
      <w:rFonts w:ascii="Calibri" w:hAnsi="Calibri"/>
      <w:kern w:val="0"/>
      <w:sz w:val="28"/>
      <w:szCs w:val="22"/>
    </w:rPr>
  </w:style>
  <w:style w:type="paragraph" w:customStyle="1" w:styleId="18">
    <w:name w:val="_Style 1"/>
    <w:qFormat/>
    <w:basedOn w:val="0"/>
    <w:pPr>
      <w:ind w:firstLineChars="200" w:firstLine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Yozo_Office27021597764231180</Application>
  <Pages>4</Pages>
  <Words>0</Words>
  <Characters>1376</Characters>
  <Lines>0</Lines>
  <Paragraphs>59</Paragraphs>
  <CharactersWithSpaces>1835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thy</dc:creator>
  <cp:lastModifiedBy>Administrator</cp:lastModifiedBy>
  <cp:revision>6</cp:revision>
  <cp:lastPrinted>2025-07-02T07:35:00Z</cp:lastPrinted>
  <dcterms:created xsi:type="dcterms:W3CDTF">2025-07-02T09:41:00Z</dcterms:created>
  <dcterms:modified xsi:type="dcterms:W3CDTF">2025-07-14T05:47:20Z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2052-10.8.2.6837</vt:lpwstr>
  </property>
  <property fmtid="{D5CDD505-2E9C-101B-9397-08002B2CF9AE}" pid="3" name="ICV">
    <vt:lpwstr>28435BD42ADD4B49874DFB3E3143B0AC_12</vt:lpwstr>
  </property>
</Properties>
</file>