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B6B88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6362068A">
      <w:pPr>
        <w:spacing w:line="600" w:lineRule="exact"/>
        <w:rPr>
          <w:rFonts w:eastAsia="黑体"/>
          <w:sz w:val="32"/>
          <w:szCs w:val="32"/>
        </w:rPr>
      </w:pPr>
    </w:p>
    <w:p w14:paraId="045125DC">
      <w:pPr>
        <w:spacing w:line="600" w:lineRule="exact"/>
        <w:rPr>
          <w:rFonts w:eastAsia="黑体"/>
          <w:sz w:val="32"/>
          <w:szCs w:val="32"/>
        </w:rPr>
      </w:pPr>
    </w:p>
    <w:p w14:paraId="5C42DAAA">
      <w:pPr>
        <w:spacing w:line="600" w:lineRule="exact"/>
        <w:rPr>
          <w:rFonts w:eastAsia="黑体"/>
          <w:sz w:val="32"/>
          <w:szCs w:val="32"/>
        </w:rPr>
      </w:pPr>
    </w:p>
    <w:p w14:paraId="1986ED76"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  <w:lang w:eastAsia="zh-CN"/>
        </w:rPr>
        <w:t>2024</w:t>
      </w:r>
      <w:r>
        <w:rPr>
          <w:rFonts w:hint="eastAsia" w:ascii="方正小标宋简体" w:eastAsia="方正小标宋简体"/>
          <w:sz w:val="48"/>
          <w:szCs w:val="48"/>
        </w:rPr>
        <w:t>年度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邮亭圩镇桐子坪完小</w:t>
      </w:r>
      <w:r>
        <w:rPr>
          <w:rFonts w:hint="eastAsia" w:ascii="方正小标宋简体" w:eastAsia="方正小标宋简体"/>
          <w:sz w:val="48"/>
          <w:szCs w:val="48"/>
        </w:rPr>
        <w:t>整体支出</w:t>
      </w:r>
    </w:p>
    <w:p w14:paraId="0EC247E1"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绩效自评报告</w:t>
      </w:r>
    </w:p>
    <w:p w14:paraId="72145713">
      <w:pPr>
        <w:jc w:val="center"/>
        <w:rPr>
          <w:rFonts w:eastAsia="方正小标宋_GBK"/>
          <w:b/>
          <w:sz w:val="52"/>
          <w:szCs w:val="52"/>
        </w:rPr>
      </w:pPr>
    </w:p>
    <w:p w14:paraId="4A93BF9A">
      <w:pPr>
        <w:jc w:val="center"/>
        <w:rPr>
          <w:rFonts w:eastAsia="楷体_GB2312"/>
          <w:b/>
          <w:sz w:val="32"/>
          <w:szCs w:val="32"/>
        </w:rPr>
      </w:pPr>
    </w:p>
    <w:p w14:paraId="0ED2648C">
      <w:pPr>
        <w:jc w:val="center"/>
        <w:rPr>
          <w:rFonts w:eastAsia="楷体_GB2312"/>
          <w:b/>
          <w:sz w:val="32"/>
          <w:szCs w:val="32"/>
        </w:rPr>
      </w:pPr>
    </w:p>
    <w:p w14:paraId="780F085E">
      <w:pPr>
        <w:jc w:val="center"/>
        <w:rPr>
          <w:rFonts w:eastAsia="楷体_GB2312"/>
          <w:b/>
          <w:sz w:val="32"/>
          <w:szCs w:val="32"/>
        </w:rPr>
      </w:pPr>
    </w:p>
    <w:p w14:paraId="6C114159">
      <w:pPr>
        <w:jc w:val="center"/>
        <w:rPr>
          <w:rFonts w:eastAsia="楷体_GB2312"/>
          <w:b/>
          <w:sz w:val="32"/>
          <w:szCs w:val="32"/>
        </w:rPr>
      </w:pPr>
    </w:p>
    <w:p w14:paraId="4CF3ED0E">
      <w:pPr>
        <w:jc w:val="center"/>
        <w:rPr>
          <w:rFonts w:eastAsia="楷体_GB2312"/>
          <w:b/>
          <w:sz w:val="32"/>
          <w:szCs w:val="32"/>
        </w:rPr>
      </w:pPr>
    </w:p>
    <w:p w14:paraId="5AFA6A1B">
      <w:pPr>
        <w:jc w:val="center"/>
        <w:rPr>
          <w:rFonts w:eastAsia="楷体_GB2312"/>
          <w:b/>
          <w:sz w:val="32"/>
          <w:szCs w:val="32"/>
        </w:rPr>
      </w:pPr>
    </w:p>
    <w:p w14:paraId="62297EA6">
      <w:pPr>
        <w:jc w:val="center"/>
        <w:rPr>
          <w:rFonts w:eastAsia="黑体"/>
          <w:sz w:val="32"/>
          <w:szCs w:val="32"/>
        </w:rPr>
      </w:pPr>
    </w:p>
    <w:p w14:paraId="09504AA7">
      <w:pPr>
        <w:jc w:val="center"/>
        <w:rPr>
          <w:rFonts w:eastAsia="黑体"/>
          <w:sz w:val="32"/>
          <w:szCs w:val="32"/>
        </w:rPr>
      </w:pPr>
    </w:p>
    <w:p w14:paraId="6C57626B">
      <w:pPr>
        <w:ind w:firstLine="640" w:firstLineChars="200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</w:t>
      </w:r>
      <w:r>
        <w:rPr>
          <w:rFonts w:eastAsia="仿宋_GB2312"/>
          <w:sz w:val="32"/>
          <w:szCs w:val="32"/>
          <w:u w:val="none"/>
        </w:rPr>
        <w:t>（盖章）</w:t>
      </w:r>
      <w:r>
        <w:rPr>
          <w:rFonts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邮亭圩镇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桐子坪完小</w:t>
      </w:r>
    </w:p>
    <w:p w14:paraId="4C0B0660"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2025</w:t>
      </w:r>
      <w:r>
        <w:rPr>
          <w:rFonts w:eastAsia="楷体_GB2312"/>
          <w:sz w:val="32"/>
          <w:szCs w:val="32"/>
        </w:rPr>
        <w:t xml:space="preserve">年 </w:t>
      </w:r>
      <w:r>
        <w:rPr>
          <w:rFonts w:hint="eastAsia" w:eastAsia="楷体_GB2312"/>
          <w:sz w:val="32"/>
          <w:szCs w:val="32"/>
          <w:lang w:val="en-US" w:eastAsia="zh-CN"/>
        </w:rPr>
        <w:t>06</w:t>
      </w:r>
      <w:r>
        <w:rPr>
          <w:rFonts w:eastAsia="楷体_GB2312"/>
          <w:sz w:val="32"/>
          <w:szCs w:val="32"/>
        </w:rPr>
        <w:t xml:space="preserve">月 </w:t>
      </w:r>
      <w:r>
        <w:rPr>
          <w:rFonts w:hint="eastAsia" w:eastAsia="楷体_GB2312"/>
          <w:sz w:val="32"/>
          <w:szCs w:val="32"/>
          <w:lang w:val="en-US" w:eastAsia="zh-CN"/>
        </w:rPr>
        <w:t>28</w:t>
      </w:r>
      <w:r>
        <w:rPr>
          <w:rFonts w:eastAsia="楷体_GB2312"/>
          <w:sz w:val="32"/>
          <w:szCs w:val="32"/>
        </w:rPr>
        <w:t xml:space="preserve"> 日</w:t>
      </w:r>
    </w:p>
    <w:p w14:paraId="07C0D319">
      <w:pPr>
        <w:jc w:val="center"/>
        <w:rPr>
          <w:rFonts w:eastAsia="黑体"/>
          <w:sz w:val="32"/>
          <w:szCs w:val="32"/>
        </w:rPr>
      </w:pPr>
    </w:p>
    <w:p w14:paraId="22C85D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单位基本情况</w:t>
      </w:r>
    </w:p>
    <w:p w14:paraId="1459422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（一）单位职能职责、机构编制、人员构成</w:t>
      </w:r>
      <w:r>
        <w:rPr>
          <w:rFonts w:hint="eastAsia" w:ascii="仿宋_GB2312" w:eastAsia="仿宋_GB2312"/>
          <w:sz w:val="32"/>
          <w:szCs w:val="32"/>
          <w:lang w:eastAsia="zh-CN"/>
        </w:rPr>
        <w:t>情况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36EE8BB">
      <w:pPr>
        <w:ind w:firstLine="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</w:p>
    <w:p w14:paraId="2AF5AC31"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(1)</w:t>
      </w:r>
      <w:r>
        <w:rPr>
          <w:rFonts w:hint="eastAsia" w:ascii="宋体" w:hAnsi="宋体" w:eastAsia="宋体" w:cs="Times New Roman"/>
          <w:sz w:val="28"/>
          <w:szCs w:val="28"/>
        </w:rPr>
        <w:t>认真贯彻落实党的教育方针，坚持依法办学；</w:t>
      </w:r>
    </w:p>
    <w:p w14:paraId="02C09E9A"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)</w:t>
      </w:r>
      <w:r>
        <w:rPr>
          <w:rFonts w:hint="eastAsia" w:ascii="宋体" w:hAnsi="宋体" w:eastAsia="宋体" w:cs="Times New Roman"/>
          <w:sz w:val="28"/>
          <w:szCs w:val="28"/>
        </w:rPr>
        <w:t>严格执行上级有关招生、收费等文件精神；</w:t>
      </w:r>
    </w:p>
    <w:p w14:paraId="7962B63D"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)</w:t>
      </w:r>
      <w:r>
        <w:rPr>
          <w:rFonts w:hint="eastAsia" w:ascii="宋体" w:hAnsi="宋体" w:eastAsia="宋体" w:cs="Times New Roman"/>
          <w:sz w:val="28"/>
          <w:szCs w:val="28"/>
        </w:rPr>
        <w:t>认真履行教育法、教师法等法律法规；</w:t>
      </w:r>
    </w:p>
    <w:p w14:paraId="11B094DA">
      <w:pPr>
        <w:ind w:firstLine="6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)</w:t>
      </w:r>
      <w:r>
        <w:rPr>
          <w:rFonts w:hint="eastAsia" w:ascii="宋体" w:hAnsi="宋体" w:eastAsia="宋体" w:cs="Times New Roman"/>
          <w:sz w:val="28"/>
          <w:szCs w:val="28"/>
        </w:rPr>
        <w:t>积极做好教师队伍培训，重点做好校园和师生的安全教育工作；</w:t>
      </w:r>
    </w:p>
    <w:p w14:paraId="2469899A">
      <w:pPr>
        <w:ind w:firstLine="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)</w:t>
      </w:r>
      <w:r>
        <w:rPr>
          <w:rFonts w:hint="eastAsia" w:ascii="宋体" w:hAnsi="宋体" w:eastAsia="宋体" w:cs="Times New Roman"/>
          <w:sz w:val="28"/>
          <w:szCs w:val="28"/>
        </w:rPr>
        <w:t>努力完成好各项教育教学任务。</w:t>
      </w:r>
    </w:p>
    <w:p w14:paraId="2BC91D56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2．机构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编制</w:t>
      </w:r>
      <w:r>
        <w:rPr>
          <w:rFonts w:hint="eastAsia" w:ascii="仿宋_GB2312" w:hAnsi="仿宋" w:eastAsia="仿宋_GB2312"/>
          <w:sz w:val="32"/>
          <w:szCs w:val="32"/>
        </w:rPr>
        <w:t>情况，包括当年变动情况及原因。</w:t>
      </w:r>
    </w:p>
    <w:p w14:paraId="3FCF253C"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我校是一所义务教育阶段的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完全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小学，属于财政全额拨款的事业单位，隶属于零陵区教育局。</w:t>
      </w:r>
      <w:r>
        <w:rPr>
          <w:rFonts w:hint="eastAsia" w:ascii="宋体" w:hAnsi="宋体"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年度</w:t>
      </w:r>
      <w:r>
        <w:rPr>
          <w:rFonts w:hint="eastAsia" w:ascii="宋体" w:hAnsi="宋体"/>
          <w:sz w:val="28"/>
          <w:szCs w:val="28"/>
        </w:rPr>
        <w:t>内设职能部门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个：校长室、办公室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教务处、工会、总务处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61B3B314">
      <w:pPr>
        <w:numPr>
          <w:ilvl w:val="0"/>
          <w:numId w:val="2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人员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构成</w:t>
      </w:r>
      <w:r>
        <w:rPr>
          <w:rFonts w:hint="eastAsia" w:ascii="仿宋_GB2312" w:hAnsi="仿宋" w:eastAsia="仿宋_GB2312"/>
          <w:sz w:val="32"/>
          <w:szCs w:val="32"/>
        </w:rPr>
        <w:t>情况，包括当年变动情况及原因。</w:t>
      </w:r>
    </w:p>
    <w:p w14:paraId="3D2A30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邮亭圩镇</w:t>
      </w:r>
      <w:r>
        <w:rPr>
          <w:rFonts w:hint="eastAsia" w:ascii="宋体" w:hAnsi="宋体"/>
          <w:sz w:val="28"/>
          <w:szCs w:val="28"/>
          <w:lang w:val="en-US" w:eastAsia="zh-CN"/>
        </w:rPr>
        <w:t>桐子坪完小</w:t>
      </w:r>
      <w:r>
        <w:rPr>
          <w:rFonts w:hint="eastAsia" w:ascii="宋体" w:hAnsi="宋体"/>
          <w:sz w:val="28"/>
          <w:szCs w:val="28"/>
        </w:rPr>
        <w:t>核定编制数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sz w:val="28"/>
          <w:szCs w:val="28"/>
        </w:rPr>
        <w:t>名，全额拨款编制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sz w:val="28"/>
          <w:szCs w:val="28"/>
        </w:rPr>
        <w:t>名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9B6EC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单位整体支出规模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 w14:paraId="34FFCBAF">
      <w:pPr>
        <w:numPr>
          <w:ilvl w:val="0"/>
          <w:numId w:val="0"/>
        </w:num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  <w:lang w:eastAsia="zh-CN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1.</w:t>
      </w:r>
      <w:r>
        <w:rPr>
          <w:rFonts w:hint="eastAsia" w:ascii="楷体_GB2312" w:hAnsi="仿宋" w:eastAsia="楷体_GB2312"/>
          <w:b/>
          <w:sz w:val="32"/>
          <w:szCs w:val="32"/>
          <w:lang w:eastAsia="zh-CN"/>
        </w:rPr>
        <w:t>部门整体支出情况。</w:t>
      </w:r>
    </w:p>
    <w:p w14:paraId="7E30E42A"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2024年部门整体支出年初预算数206.34万元，全年预算数302.9万元，全年支出执行数302.9万元，执行率为100%，全年绩效目标都按时按量完成。</w:t>
      </w:r>
    </w:p>
    <w:p w14:paraId="47DD2259">
      <w:pPr>
        <w:numPr>
          <w:ilvl w:val="0"/>
          <w:numId w:val="0"/>
        </w:num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2.部门预算收支决算情况</w:t>
      </w:r>
      <w:r>
        <w:rPr>
          <w:rFonts w:hint="eastAsia" w:ascii="楷体_GB2312" w:hAnsi="仿宋" w:eastAsia="楷体_GB2312"/>
          <w:b/>
          <w:sz w:val="32"/>
          <w:szCs w:val="32"/>
        </w:rPr>
        <w:t>。</w:t>
      </w:r>
    </w:p>
    <w:p w14:paraId="03B22CF8">
      <w:pPr>
        <w:snapToGrid w:val="0"/>
        <w:spacing w:line="520" w:lineRule="exact"/>
        <w:ind w:firstLine="560" w:firstLineChars="200"/>
        <w:rPr>
          <w:rFonts w:hint="default" w:ascii="仿宋_GB2312" w:hAnsi="仿宋" w:eastAsia="仿宋_GB2312"/>
          <w:sz w:val="32"/>
          <w:szCs w:val="32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</w:t>
      </w:r>
      <w:r>
        <w:rPr>
          <w:rFonts w:hint="eastAsia" w:ascii="宋体" w:hAnsi="宋体"/>
          <w:sz w:val="28"/>
          <w:szCs w:val="28"/>
        </w:rPr>
        <w:t>年预算总收入</w:t>
      </w:r>
      <w:r>
        <w:rPr>
          <w:rFonts w:hint="eastAsia" w:ascii="宋体" w:hAnsi="宋体"/>
          <w:sz w:val="28"/>
          <w:szCs w:val="28"/>
          <w:lang w:val="en-US" w:eastAsia="zh-CN"/>
        </w:rPr>
        <w:t>302.9</w:t>
      </w:r>
      <w:r>
        <w:rPr>
          <w:rFonts w:hint="eastAsia" w:ascii="宋体" w:hAnsi="宋体"/>
          <w:sz w:val="28"/>
          <w:szCs w:val="28"/>
        </w:rPr>
        <w:t>万元，其中一般预算拨款（补助）</w:t>
      </w:r>
      <w:r>
        <w:rPr>
          <w:rFonts w:hint="eastAsia" w:ascii="宋体" w:hAnsi="宋体"/>
          <w:sz w:val="28"/>
          <w:szCs w:val="28"/>
          <w:lang w:val="en-US" w:eastAsia="zh-CN"/>
        </w:rPr>
        <w:t>302.9</w:t>
      </w:r>
      <w:r>
        <w:rPr>
          <w:rFonts w:hint="eastAsia" w:ascii="宋体" w:hAnsi="宋体"/>
          <w:sz w:val="28"/>
          <w:szCs w:val="28"/>
        </w:rPr>
        <w:t>万元，与上年</w:t>
      </w:r>
      <w:r>
        <w:rPr>
          <w:rFonts w:hint="eastAsia" w:ascii="宋体" w:hAnsi="宋体"/>
          <w:sz w:val="28"/>
          <w:szCs w:val="28"/>
          <w:lang w:eastAsia="zh-CN"/>
        </w:rPr>
        <w:t>决算</w:t>
      </w:r>
      <w:r>
        <w:rPr>
          <w:rFonts w:hint="eastAsia" w:ascii="宋体" w:hAnsi="宋体"/>
          <w:sz w:val="28"/>
          <w:szCs w:val="28"/>
        </w:rPr>
        <w:t>收入</w:t>
      </w:r>
      <w:r>
        <w:rPr>
          <w:rFonts w:hint="eastAsia" w:ascii="宋体" w:hAnsi="宋体"/>
          <w:sz w:val="28"/>
          <w:szCs w:val="28"/>
          <w:lang w:val="en-US" w:eastAsia="zh-CN"/>
        </w:rPr>
        <w:t>303.36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val="en-US" w:eastAsia="zh-CN"/>
        </w:rPr>
        <w:t>减少1</w:t>
      </w:r>
      <w:r>
        <w:rPr>
          <w:rFonts w:hint="eastAsia" w:ascii="宋体" w:hAnsi="宋体"/>
          <w:sz w:val="28"/>
          <w:szCs w:val="28"/>
        </w:rPr>
        <w:t>%。</w:t>
      </w:r>
      <w:r>
        <w:rPr>
          <w:rFonts w:hint="eastAsia" w:ascii="宋体" w:hAnsi="宋体"/>
          <w:sz w:val="28"/>
          <w:szCs w:val="28"/>
          <w:lang w:eastAsia="zh-CN"/>
        </w:rPr>
        <w:t>2024</w:t>
      </w:r>
      <w:r>
        <w:rPr>
          <w:rFonts w:hint="eastAsia" w:ascii="宋体" w:hAnsi="宋体"/>
          <w:sz w:val="28"/>
          <w:szCs w:val="28"/>
        </w:rPr>
        <w:t>年度预算总支出</w:t>
      </w:r>
      <w:r>
        <w:rPr>
          <w:rFonts w:hint="eastAsia" w:ascii="宋体" w:hAnsi="宋体"/>
          <w:sz w:val="28"/>
          <w:szCs w:val="28"/>
          <w:lang w:val="en-US" w:eastAsia="zh-CN"/>
        </w:rPr>
        <w:t>303.36</w:t>
      </w:r>
      <w:r>
        <w:rPr>
          <w:rFonts w:hint="eastAsia" w:ascii="宋体" w:hAnsi="宋体"/>
          <w:sz w:val="28"/>
          <w:szCs w:val="28"/>
        </w:rPr>
        <w:t>万元，与上年</w:t>
      </w:r>
      <w:r>
        <w:rPr>
          <w:rFonts w:hint="eastAsia" w:ascii="宋体" w:hAnsi="宋体"/>
          <w:sz w:val="28"/>
          <w:szCs w:val="28"/>
          <w:lang w:eastAsia="zh-CN"/>
        </w:rPr>
        <w:t>决算</w:t>
      </w:r>
      <w:r>
        <w:rPr>
          <w:rFonts w:hint="eastAsia" w:ascii="宋体" w:hAnsi="宋体"/>
          <w:sz w:val="28"/>
          <w:szCs w:val="28"/>
        </w:rPr>
        <w:t>支出</w:t>
      </w:r>
      <w:r>
        <w:rPr>
          <w:rFonts w:hint="eastAsia" w:ascii="宋体" w:hAnsi="宋体"/>
          <w:sz w:val="28"/>
          <w:szCs w:val="28"/>
          <w:lang w:val="en-US" w:eastAsia="zh-CN"/>
        </w:rPr>
        <w:t>302.61</w:t>
      </w:r>
      <w:r>
        <w:rPr>
          <w:rFonts w:hint="eastAsia" w:ascii="宋体" w:hAnsi="宋体"/>
          <w:sz w:val="28"/>
          <w:szCs w:val="28"/>
        </w:rPr>
        <w:t>万元相</w:t>
      </w:r>
      <w:r>
        <w:rPr>
          <w:rFonts w:hint="eastAsia" w:ascii="宋体" w:hAnsi="宋体"/>
          <w:sz w:val="28"/>
          <w:szCs w:val="28"/>
          <w:lang w:val="en-US" w:eastAsia="zh-CN"/>
        </w:rPr>
        <w:t>减少1%</w:t>
      </w:r>
      <w:r>
        <w:rPr>
          <w:rFonts w:hint="eastAsia" w:ascii="宋体" w:hAnsi="宋体"/>
          <w:sz w:val="28"/>
          <w:szCs w:val="28"/>
        </w:rPr>
        <w:t>。主要原因是：</w:t>
      </w:r>
      <w:r>
        <w:rPr>
          <w:rFonts w:hint="eastAsia" w:ascii="宋体" w:hAnsi="宋体"/>
          <w:sz w:val="28"/>
          <w:szCs w:val="28"/>
          <w:lang w:eastAsia="zh-CN"/>
        </w:rPr>
        <w:t>厉行节约，减少</w:t>
      </w:r>
      <w:r>
        <w:rPr>
          <w:rFonts w:hint="eastAsia" w:ascii="宋体" w:hAnsi="宋体"/>
          <w:sz w:val="28"/>
          <w:szCs w:val="28"/>
        </w:rPr>
        <w:t>对校园基础设施的投入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1A0AB832"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3.“三公经费”支出和管理情况。</w:t>
      </w:r>
    </w:p>
    <w:p w14:paraId="6E979949"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val="zh-TW"/>
        </w:rPr>
      </w:pPr>
      <w:r>
        <w:rPr>
          <w:rFonts w:hint="eastAsia" w:ascii="宋体" w:hAnsi="宋体"/>
          <w:sz w:val="28"/>
          <w:szCs w:val="28"/>
          <w:lang w:eastAsia="zh-CN"/>
        </w:rPr>
        <w:t>2024</w:t>
      </w:r>
      <w:r>
        <w:rPr>
          <w:rFonts w:hint="eastAsia" w:ascii="宋体" w:hAnsi="宋体"/>
          <w:sz w:val="28"/>
          <w:szCs w:val="28"/>
        </w:rPr>
        <w:t>年度“三公经费”预算支出：因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公出国（境）费支出为0万元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公务用车购置及运行费支出为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万元;公务接待费支出为</w:t>
      </w:r>
      <w:r>
        <w:rPr>
          <w:rFonts w:hint="eastAsia" w:ascii="宋体" w:hAnsi="宋体"/>
          <w:sz w:val="28"/>
          <w:szCs w:val="28"/>
          <w:lang w:val="en-US" w:eastAsia="zh-CN"/>
        </w:rPr>
        <w:t>0.0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</w:rPr>
        <w:t>“三公经费”决算支出：因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公出国（境）费支出决算为0万元;公务用车购置及运行费支出决算为</w:t>
      </w:r>
      <w:r>
        <w:rPr>
          <w:rFonts w:hint="eastAsia" w:ascii="宋体" w:hAnsi="宋体"/>
          <w:sz w:val="28"/>
          <w:szCs w:val="28"/>
          <w:lang w:val="zh-TW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公务接待费支出决算为</w:t>
      </w:r>
      <w:r>
        <w:rPr>
          <w:rFonts w:hint="eastAsia" w:ascii="宋体" w:hAnsi="宋体"/>
          <w:sz w:val="28"/>
          <w:szCs w:val="28"/>
          <w:lang w:val="en-US" w:eastAsia="zh-CN"/>
        </w:rPr>
        <w:t>0.0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/>
        </w:rPr>
        <w:t>。</w:t>
      </w:r>
    </w:p>
    <w:p w14:paraId="210EF6E6">
      <w:pPr>
        <w:snapToGrid w:val="0"/>
        <w:spacing w:line="520" w:lineRule="exact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2024年度本部门继续严格落实中央八项规定精神和厉行节约要求，从严控制三公经费的支出。</w:t>
      </w:r>
    </w:p>
    <w:p w14:paraId="03DE09E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771672C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 w14:paraId="765E925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 w:cs="宋体"/>
          <w:sz w:val="28"/>
          <w:szCs w:val="28"/>
        </w:rPr>
        <w:t>年度基本支出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283.94</w:t>
      </w:r>
      <w:r>
        <w:rPr>
          <w:rFonts w:hint="eastAsia" w:ascii="宋体" w:hAnsi="宋体" w:eastAsia="宋体" w:cs="宋体"/>
          <w:sz w:val="28"/>
          <w:szCs w:val="28"/>
        </w:rPr>
        <w:t>万元，其中：人员经费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264.02</w:t>
      </w:r>
      <w:r>
        <w:rPr>
          <w:rFonts w:hint="eastAsia" w:ascii="宋体" w:hAnsi="宋体" w:eastAsia="宋体" w:cs="宋体"/>
          <w:sz w:val="28"/>
          <w:szCs w:val="28"/>
        </w:rPr>
        <w:t>万元，占基本支出的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%,主要包括基本工资、津贴补贴、奖金、社会保险缴费、生活补助、对个人和家庭补助等；公用经费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19.92</w:t>
      </w:r>
      <w:r>
        <w:rPr>
          <w:rFonts w:hint="eastAsia" w:ascii="宋体" w:hAnsi="宋体" w:eastAsia="宋体" w:cs="宋体"/>
          <w:sz w:val="28"/>
          <w:szCs w:val="28"/>
        </w:rPr>
        <w:t>万元，占基本支出的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%，主要包括办公费、印刷费、水电费、差旅费、工会经费、其他商品和服务支出等。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 w14:paraId="5C5E364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（二）</w:t>
      </w:r>
      <w:r>
        <w:rPr>
          <w:rFonts w:ascii="Times New Roman" w:hAnsi="Times New Roman" w:eastAsia="仿宋_GB2312"/>
          <w:sz w:val="32"/>
          <w:szCs w:val="32"/>
        </w:rPr>
        <w:t>项目支出情况</w:t>
      </w:r>
    </w:p>
    <w:p w14:paraId="3F3E6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2024</w:t>
      </w:r>
      <w:r>
        <w:rPr>
          <w:rFonts w:hint="eastAsia" w:ascii="宋体" w:hAnsi="宋体" w:eastAsia="宋体" w:cs="宋体"/>
          <w:sz w:val="28"/>
          <w:szCs w:val="28"/>
        </w:rPr>
        <w:t>年度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bCs/>
          <w:sz w:val="28"/>
          <w:szCs w:val="28"/>
        </w:rPr>
        <w:t>支出为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18.95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万元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主要用于学校基础设施建设及维修。项目资金的使用严格按照程序和执行规定，及时入账固定资产等相关系统。</w:t>
      </w:r>
    </w:p>
    <w:p w14:paraId="213ADEC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79EA447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我单位无政府性基金预算支出情况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</w:p>
    <w:p w14:paraId="69CDAA3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四、</w:t>
      </w: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6086C2C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我单位无国有资本经营预算支出情况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</w:p>
    <w:p w14:paraId="0756E37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20FAECF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firstLine="280" w:firstLineChars="100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我单位无社会保险基金预算支出情况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</w:p>
    <w:p w14:paraId="373A9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5AF994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年我校所有财政性资金、专项资金都纳入绩效管理的范围。我校各项开支严格执行预算，控制成本，开源节流，每一分钱的使用都有它的经济性、效率性、有效性和可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 w14:paraId="468338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066457E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目前单位预算由基本支出和项目支出预算两部分组成，财政对基本支出中公用经费预算实行定额标准管理。公用经费标准的确定与实际执行差距较大，追加预算困难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以致</w:t>
      </w:r>
      <w:r>
        <w:rPr>
          <w:rFonts w:hint="eastAsia" w:ascii="宋体" w:hAnsi="宋体" w:eastAsia="宋体" w:cs="宋体"/>
          <w:sz w:val="28"/>
          <w:szCs w:val="28"/>
        </w:rPr>
        <w:t>预算经费拨付稍有滞后，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造成学校的经费使用不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足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。由于专业业务水平不高，对于固定资产的管理和入账不够规范合理。</w:t>
      </w:r>
    </w:p>
    <w:p w14:paraId="23C7C77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八、</w:t>
      </w:r>
      <w:r>
        <w:rPr>
          <w:rFonts w:eastAsia="黑体"/>
          <w:sz w:val="32"/>
          <w:szCs w:val="32"/>
        </w:rPr>
        <w:t>下一步改进措施</w:t>
      </w:r>
    </w:p>
    <w:p w14:paraId="4CE056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1、能够足额安排财政预算，确保各项日常工作的开展.</w:t>
      </w:r>
    </w:p>
    <w:p w14:paraId="60DF23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eastAsia="黑体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2、加强绩效评价管理评价的可操作性，对相关业务人员进行相关培训，以提高业务知识水平。</w:t>
      </w:r>
    </w:p>
    <w:p w14:paraId="3F0FA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 w14:paraId="3AB8894C">
      <w:pPr>
        <w:pStyle w:val="2"/>
        <w:widowControl/>
        <w:shd w:val="clear" w:color="auto" w:fill="FFFFFF"/>
        <w:ind w:firstLine="64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邮亭圩镇桐子坪完小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>年绩效自评结果100分，由零陵区政府门户网站统一公开。</w:t>
      </w:r>
    </w:p>
    <w:p w14:paraId="11DA0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1F7633D1">
      <w:pPr>
        <w:pStyle w:val="2"/>
        <w:widowControl/>
        <w:shd w:val="clear" w:color="auto" w:fill="FFFFFF"/>
        <w:ind w:firstLine="640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65527E"/>
    <w:multiLevelType w:val="singleLevel"/>
    <w:tmpl w:val="0965527E"/>
    <w:lvl w:ilvl="0" w:tentative="0">
      <w:start w:val="3"/>
      <w:numFmt w:val="decimal"/>
      <w:suff w:val="nothing"/>
      <w:lvlText w:val="%1．"/>
      <w:lvlJc w:val="left"/>
    </w:lvl>
  </w:abstractNum>
  <w:abstractNum w:abstractNumId="1">
    <w:nsid w:val="2AC1353A"/>
    <w:multiLevelType w:val="singleLevel"/>
    <w:tmpl w:val="2AC135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MjRlYTU2OThlZGZiYWNhZjUxYjZjZDQ1M2FiZWIifQ=="/>
  </w:docVars>
  <w:rsids>
    <w:rsidRoot w:val="08024CDF"/>
    <w:rsid w:val="03706DD9"/>
    <w:rsid w:val="08024CDF"/>
    <w:rsid w:val="0AF2165F"/>
    <w:rsid w:val="1FB87BEA"/>
    <w:rsid w:val="2F9F43ED"/>
    <w:rsid w:val="53C9021B"/>
    <w:rsid w:val="7C4455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  <w:style w:type="paragraph" w:customStyle="1" w:styleId="6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2024-05-07T05:39:00Z</dcterms:created>
  <dc:creator>thy</dc:creator>
  <cp:lastModifiedBy>Administrator</cp:lastModifiedBy>
  <dcterms:modified xsi:type="dcterms:W3CDTF">2025-07-04T13:29:05Z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9C1087A47B414C659F6659FE4297D73A_12</vt:lpwstr>
  </property>
</Properties>
</file>