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spacing w:line="600" w:lineRule="exact"/>
        <w:rPr>
          <w:rFonts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/>
          <w:sz w:val="48"/>
          <w:szCs w:val="48"/>
        </w:rPr>
        <w:t>2024</w:t>
      </w:r>
      <w:r>
        <w:rPr>
          <w:rFonts w:hint="eastAsia" w:ascii="微软雅黑" w:hAnsi="微软雅黑" w:eastAsia="微软雅黑" w:cs="微软雅黑"/>
          <w:sz w:val="48"/>
          <w:szCs w:val="48"/>
        </w:rPr>
        <w:t>年度零陵区</w:t>
      </w:r>
      <w:r>
        <w:rPr>
          <w:rFonts w:hint="eastAsia" w:ascii="微软雅黑" w:hAnsi="微软雅黑" w:eastAsia="微软雅黑" w:cs="微软雅黑"/>
          <w:sz w:val="48"/>
          <w:szCs w:val="48"/>
          <w:lang w:eastAsia="zh-CN"/>
        </w:rPr>
        <w:t>石岩头镇中学</w:t>
      </w:r>
      <w:r>
        <w:rPr>
          <w:rFonts w:hint="eastAsia" w:ascii="微软雅黑" w:hAnsi="微软雅黑" w:eastAsia="微软雅黑" w:cs="微软雅黑"/>
          <w:sz w:val="48"/>
          <w:szCs w:val="48"/>
        </w:rPr>
        <w:t>整体支出绩效自评报告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ind w:firstLine="640" w:firstLineChars="200"/>
        <w:jc w:val="center"/>
        <w:rPr>
          <w:rFonts w:hint="eastAsia" w:eastAsia="仿宋_GB2312"/>
          <w:sz w:val="32"/>
          <w:szCs w:val="32"/>
          <w:u w:val="single"/>
          <w:lang w:eastAsia="zh-CN"/>
        </w:rPr>
      </w:pPr>
      <w:r>
        <w:rPr>
          <w:rFonts w:eastAsia="仿宋_GB2312"/>
          <w:sz w:val="32"/>
          <w:szCs w:val="32"/>
        </w:rPr>
        <w:t>单位名称（盖章）：</w:t>
      </w:r>
      <w:r>
        <w:rPr>
          <w:rFonts w:hint="eastAsia" w:eastAsia="仿宋_GB2312"/>
          <w:sz w:val="32"/>
          <w:szCs w:val="32"/>
          <w:lang w:eastAsia="zh-CN"/>
        </w:rPr>
        <w:t>石岩头镇中学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</w:t>
      </w:r>
      <w:r>
        <w:rPr>
          <w:rFonts w:eastAsia="楷体_GB2312"/>
          <w:sz w:val="32"/>
          <w:szCs w:val="32"/>
        </w:rPr>
        <w:t xml:space="preserve">5年 </w:t>
      </w:r>
      <w:r>
        <w:rPr>
          <w:rFonts w:hint="eastAsia" w:eastAsia="楷体_GB2312"/>
          <w:sz w:val="32"/>
          <w:szCs w:val="32"/>
        </w:rPr>
        <w:t>0</w:t>
      </w:r>
      <w:r>
        <w:rPr>
          <w:rFonts w:eastAsia="楷体_GB2312"/>
          <w:sz w:val="32"/>
          <w:szCs w:val="32"/>
        </w:rPr>
        <w:t xml:space="preserve">7月 </w:t>
      </w:r>
      <w:r>
        <w:rPr>
          <w:rFonts w:hint="eastAsia" w:eastAsia="楷体_GB2312"/>
          <w:sz w:val="32"/>
          <w:szCs w:val="32"/>
          <w:lang w:val="en-US" w:eastAsia="zh-CN"/>
        </w:rPr>
        <w:t>13</w:t>
      </w:r>
      <w:r>
        <w:rPr>
          <w:rFonts w:eastAsia="楷体_GB2312"/>
          <w:sz w:val="32"/>
          <w:szCs w:val="32"/>
        </w:rPr>
        <w:t xml:space="preserve"> 日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numPr>
          <w:ilvl w:val="0"/>
          <w:numId w:val="1"/>
        </w:num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单位基本情况</w:t>
      </w:r>
    </w:p>
    <w:p>
      <w:pPr>
        <w:shd w:val="clear" w:color="auto" w:fill="FFFFFF"/>
        <w:spacing w:line="4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（一）单位职能职责、机构编制、人员构成情况。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1．主要职能。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(1)认真贯彻落实党的教育方针，坚持依法办学；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(2)严格执行上级有关招生、收费等文件精神；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(3)认真履行教育法、教师法等法律法规；</w:t>
      </w:r>
    </w:p>
    <w:p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(4)积极做好教师队伍培训，重点做好校园和师生的安全教育工作；</w:t>
      </w:r>
    </w:p>
    <w:p>
      <w:pPr>
        <w:ind w:firstLine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(5)努力完成好各项教育教学任务。</w:t>
      </w:r>
    </w:p>
    <w:p>
      <w:p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2．机构编制情况，包括当年变动情况及原因。</w:t>
      </w:r>
    </w:p>
    <w:p>
      <w:pPr>
        <w:snapToGrid w:val="0"/>
        <w:spacing w:line="520" w:lineRule="exact"/>
        <w:ind w:firstLine="560" w:firstLineChars="200"/>
        <w:rPr>
          <w:rFonts w:ascii="仿宋_GB2312" w:hAnsi="仿宋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我校是一所义务教育阶段的中学，属于财政全额拨款的事业单位，隶属于零陵区教育局。202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年度内设职能部门5个：校长室、办公室、教导处、政教处、总务处。</w:t>
      </w:r>
    </w:p>
    <w:p>
      <w:pPr>
        <w:numPr>
          <w:ilvl w:val="0"/>
          <w:numId w:val="2"/>
        </w:numPr>
        <w:snapToGrid w:val="0"/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人员构成情况，包括当年变动情况及原因。</w:t>
      </w:r>
    </w:p>
    <w:p>
      <w:pPr>
        <w:ind w:firstLine="600"/>
        <w:rPr>
          <w:rFonts w:hint="eastAsia" w:ascii="仿宋_GB2312" w:hAnsi="仿宋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28"/>
          <w:szCs w:val="28"/>
        </w:rPr>
        <w:t>零陵区</w:t>
      </w:r>
      <w:r>
        <w:rPr>
          <w:rFonts w:hint="eastAsia" w:ascii="宋体" w:hAnsi="宋体"/>
          <w:sz w:val="28"/>
          <w:szCs w:val="28"/>
          <w:lang w:eastAsia="zh-CN"/>
        </w:rPr>
        <w:t>中学</w:t>
      </w:r>
      <w:r>
        <w:rPr>
          <w:rFonts w:hint="eastAsia" w:ascii="宋体" w:hAnsi="宋体"/>
          <w:sz w:val="28"/>
          <w:szCs w:val="28"/>
        </w:rPr>
        <w:t>核定编制数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名，全额拨款编制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名，实有全额拨款编制人数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名，在岗人员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  <w:lang w:eastAsia="zh-CN"/>
        </w:rPr>
        <w:t>，其中</w:t>
      </w:r>
      <w:r>
        <w:rPr>
          <w:rFonts w:hint="eastAsia" w:ascii="宋体" w:hAnsi="宋体"/>
          <w:sz w:val="28"/>
          <w:szCs w:val="28"/>
        </w:rPr>
        <w:t>在职在编人员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  <w:r>
        <w:rPr>
          <w:rFonts w:hint="eastAsia" w:ascii="宋体" w:hAnsi="宋体"/>
          <w:sz w:val="28"/>
          <w:szCs w:val="28"/>
        </w:rPr>
        <w:t>人，其中借调教师至</w:t>
      </w:r>
      <w:r>
        <w:rPr>
          <w:rFonts w:hint="eastAsia" w:ascii="宋体" w:hAnsi="宋体"/>
          <w:sz w:val="28"/>
          <w:szCs w:val="28"/>
          <w:lang w:eastAsia="zh-CN"/>
        </w:rPr>
        <w:t>五中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人，借调到</w:t>
      </w:r>
      <w:r>
        <w:rPr>
          <w:rFonts w:hint="eastAsia" w:ascii="宋体" w:hAnsi="宋体"/>
          <w:sz w:val="28"/>
          <w:szCs w:val="28"/>
          <w:lang w:eastAsia="zh-CN"/>
        </w:rPr>
        <w:t>教育局</w:t>
      </w:r>
      <w:r>
        <w:rPr>
          <w:rFonts w:hint="eastAsia" w:ascii="宋体" w:hAnsi="宋体"/>
          <w:sz w:val="28"/>
          <w:szCs w:val="28"/>
        </w:rPr>
        <w:t>1人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numPr>
          <w:ilvl w:val="0"/>
          <w:numId w:val="3"/>
        </w:numPr>
        <w:spacing w:line="4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>
      <w:pPr>
        <w:snapToGrid w:val="0"/>
        <w:spacing w:line="52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1.部门整体支出情况。</w:t>
      </w:r>
    </w:p>
    <w:p>
      <w:pPr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年部门整体支出年初预算数</w:t>
      </w:r>
      <w:r>
        <w:rPr>
          <w:rFonts w:hint="eastAsia" w:ascii="宋体" w:hAnsi="宋体"/>
          <w:sz w:val="28"/>
          <w:szCs w:val="28"/>
          <w:lang w:val="en-US" w:eastAsia="zh-CN"/>
        </w:rPr>
        <w:t>212.91</w:t>
      </w:r>
      <w:r>
        <w:rPr>
          <w:rFonts w:hint="eastAsia" w:ascii="宋体" w:hAnsi="宋体"/>
          <w:sz w:val="28"/>
          <w:szCs w:val="28"/>
        </w:rPr>
        <w:t>万元，全年预算数</w:t>
      </w:r>
      <w:r>
        <w:rPr>
          <w:rFonts w:hint="eastAsia" w:ascii="宋体" w:hAnsi="宋体"/>
          <w:sz w:val="28"/>
          <w:szCs w:val="28"/>
          <w:lang w:val="en-US" w:eastAsia="zh-CN"/>
        </w:rPr>
        <w:t>244.54</w:t>
      </w:r>
      <w:r>
        <w:rPr>
          <w:rFonts w:hint="eastAsia" w:ascii="宋体" w:hAnsi="宋体"/>
          <w:sz w:val="28"/>
          <w:szCs w:val="28"/>
        </w:rPr>
        <w:t>万元，全年支出执行数</w:t>
      </w:r>
      <w:r>
        <w:rPr>
          <w:rFonts w:hint="eastAsia" w:ascii="宋体" w:hAnsi="宋体"/>
          <w:sz w:val="28"/>
          <w:szCs w:val="28"/>
          <w:lang w:val="en-US" w:eastAsia="zh-CN"/>
        </w:rPr>
        <w:t>244.54</w:t>
      </w:r>
      <w:r>
        <w:rPr>
          <w:rFonts w:hint="eastAsia" w:ascii="宋体" w:hAnsi="宋体"/>
          <w:sz w:val="28"/>
          <w:szCs w:val="28"/>
        </w:rPr>
        <w:t>万元，执行率为</w:t>
      </w:r>
      <w:r>
        <w:rPr>
          <w:rFonts w:hint="eastAsia" w:ascii="宋体" w:hAnsi="宋体"/>
          <w:sz w:val="28"/>
          <w:szCs w:val="28"/>
          <w:lang w:val="en-US" w:eastAsia="zh-CN"/>
        </w:rPr>
        <w:t>100</w:t>
      </w:r>
      <w:r>
        <w:rPr>
          <w:rFonts w:hint="eastAsia" w:ascii="宋体" w:hAnsi="宋体"/>
          <w:sz w:val="28"/>
          <w:szCs w:val="28"/>
        </w:rPr>
        <w:t>%，全年绩效目标都按时按量完成。</w:t>
      </w:r>
    </w:p>
    <w:p>
      <w:pPr>
        <w:snapToGrid w:val="0"/>
        <w:spacing w:line="52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2.部门预算收支决算情况。</w:t>
      </w:r>
    </w:p>
    <w:p>
      <w:pPr>
        <w:snapToGrid w:val="0"/>
        <w:spacing w:line="520" w:lineRule="exact"/>
        <w:ind w:firstLine="56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年预算总收入</w:t>
      </w:r>
      <w:r>
        <w:rPr>
          <w:rFonts w:hint="eastAsia" w:ascii="宋体" w:hAnsi="宋体"/>
          <w:sz w:val="28"/>
          <w:szCs w:val="28"/>
          <w:lang w:val="en-US" w:eastAsia="zh-CN"/>
        </w:rPr>
        <w:t>212.91</w:t>
      </w:r>
      <w:r>
        <w:rPr>
          <w:rFonts w:hint="eastAsia" w:ascii="宋体" w:hAnsi="宋体"/>
          <w:sz w:val="28"/>
          <w:szCs w:val="28"/>
        </w:rPr>
        <w:t>万元，其中一般预算拨款（补助）</w:t>
      </w:r>
      <w:r>
        <w:rPr>
          <w:rFonts w:hint="eastAsia" w:ascii="宋体" w:hAnsi="宋体"/>
          <w:sz w:val="28"/>
          <w:szCs w:val="28"/>
          <w:lang w:val="en-US" w:eastAsia="zh-CN"/>
        </w:rPr>
        <w:t>212.91</w:t>
      </w:r>
      <w:r>
        <w:rPr>
          <w:rFonts w:hint="eastAsia" w:ascii="宋体" w:hAnsi="宋体"/>
          <w:sz w:val="28"/>
          <w:szCs w:val="28"/>
        </w:rPr>
        <w:t>万元，与上年决算收入</w:t>
      </w:r>
      <w:r>
        <w:rPr>
          <w:rFonts w:hint="eastAsia" w:ascii="宋体" w:hAnsi="宋体"/>
          <w:sz w:val="28"/>
          <w:szCs w:val="28"/>
          <w:lang w:val="en-US" w:eastAsia="zh-CN"/>
        </w:rPr>
        <w:t>314.77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eastAsia="zh-CN"/>
        </w:rPr>
        <w:t>减少</w:t>
      </w:r>
      <w:r>
        <w:rPr>
          <w:rFonts w:hint="eastAsia" w:ascii="宋体" w:hAnsi="宋体"/>
          <w:sz w:val="28"/>
          <w:szCs w:val="28"/>
        </w:rPr>
        <w:t>了</w:t>
      </w:r>
      <w:r>
        <w:rPr>
          <w:rFonts w:hint="eastAsia" w:ascii="宋体" w:hAnsi="宋体"/>
          <w:sz w:val="28"/>
          <w:szCs w:val="28"/>
          <w:lang w:val="en-US" w:eastAsia="zh-CN"/>
        </w:rPr>
        <w:t>32.36%</w:t>
      </w:r>
      <w:r>
        <w:rPr>
          <w:rFonts w:hint="eastAsia" w:ascii="宋体" w:hAnsi="宋体"/>
          <w:sz w:val="28"/>
          <w:szCs w:val="28"/>
        </w:rPr>
        <w:t>。202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年度预算总支出</w:t>
      </w:r>
      <w:r>
        <w:rPr>
          <w:rFonts w:hint="eastAsia" w:ascii="宋体" w:hAnsi="宋体"/>
          <w:sz w:val="28"/>
          <w:szCs w:val="28"/>
          <w:lang w:val="en-US" w:eastAsia="zh-CN"/>
        </w:rPr>
        <w:t>244.54</w:t>
      </w:r>
      <w:r>
        <w:rPr>
          <w:rFonts w:hint="eastAsia" w:ascii="宋体" w:hAnsi="宋体"/>
          <w:sz w:val="28"/>
          <w:szCs w:val="28"/>
        </w:rPr>
        <w:t>万元，与上年决算支出</w:t>
      </w:r>
      <w:r>
        <w:rPr>
          <w:rFonts w:hint="eastAsia" w:ascii="宋体" w:hAnsi="宋体"/>
          <w:sz w:val="28"/>
          <w:szCs w:val="28"/>
          <w:lang w:val="en-US" w:eastAsia="zh-CN"/>
        </w:rPr>
        <w:t>314.77</w:t>
      </w:r>
      <w:r>
        <w:rPr>
          <w:rFonts w:hint="eastAsia" w:ascii="宋体" w:hAnsi="宋体"/>
          <w:sz w:val="28"/>
          <w:szCs w:val="28"/>
        </w:rPr>
        <w:t>万元相比</w:t>
      </w:r>
      <w:r>
        <w:rPr>
          <w:rFonts w:hint="eastAsia" w:ascii="宋体" w:hAnsi="宋体"/>
          <w:sz w:val="28"/>
          <w:szCs w:val="28"/>
          <w:lang w:eastAsia="zh-CN"/>
        </w:rPr>
        <w:t>减少</w:t>
      </w:r>
      <w:r>
        <w:rPr>
          <w:rFonts w:hint="eastAsia" w:ascii="宋体" w:hAnsi="宋体"/>
          <w:sz w:val="28"/>
          <w:szCs w:val="28"/>
        </w:rPr>
        <w:t>了</w:t>
      </w:r>
      <w:r>
        <w:rPr>
          <w:rFonts w:hint="eastAsia" w:ascii="宋体" w:hAnsi="宋体"/>
          <w:sz w:val="28"/>
          <w:szCs w:val="28"/>
          <w:lang w:val="en-US" w:eastAsia="zh-CN"/>
        </w:rPr>
        <w:t>22.31%</w:t>
      </w:r>
      <w:r>
        <w:rPr>
          <w:rFonts w:hint="eastAsia" w:ascii="宋体" w:hAnsi="宋体"/>
          <w:sz w:val="28"/>
          <w:szCs w:val="28"/>
        </w:rPr>
        <w:t>。主要原因是：</w:t>
      </w:r>
      <w:r>
        <w:rPr>
          <w:rFonts w:hint="eastAsia" w:ascii="宋体" w:hAnsi="宋体"/>
          <w:sz w:val="28"/>
          <w:szCs w:val="28"/>
          <w:lang w:eastAsia="zh-CN"/>
        </w:rPr>
        <w:t>学生数及教师数减少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napToGrid w:val="0"/>
        <w:spacing w:line="520" w:lineRule="exact"/>
        <w:ind w:firstLine="643" w:firstLineChars="200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3.“三公经费”支出和管理情况。</w:t>
      </w:r>
    </w:p>
    <w:p>
      <w:pPr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  <w:lang w:val="zh-TW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年度“三公经费”预算支出：因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公出国（境）费支出为0万元</w:t>
      </w:r>
      <w:r>
        <w:rPr>
          <w:rFonts w:hint="eastAsia" w:ascii="宋体" w:hAnsi="宋体"/>
          <w:sz w:val="28"/>
          <w:szCs w:val="28"/>
          <w:lang w:val="zh-TW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公务用车购置及运行费支出为</w:t>
      </w:r>
      <w:r>
        <w:rPr>
          <w:rFonts w:hint="eastAsia" w:ascii="宋体" w:hAnsi="宋体"/>
          <w:sz w:val="28"/>
          <w:szCs w:val="28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万元;公务接待费支出为</w: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；</w:t>
      </w:r>
      <w:r>
        <w:rPr>
          <w:rFonts w:hint="eastAsia" w:ascii="宋体" w:hAnsi="宋体"/>
          <w:sz w:val="28"/>
          <w:szCs w:val="28"/>
        </w:rPr>
        <w:t>“三公经费”决算支出：因</w:t>
      </w:r>
      <w:r>
        <w:rPr>
          <w:rFonts w:hint="eastAsia" w:ascii="宋体" w:hAnsi="宋体"/>
          <w:sz w:val="28"/>
          <w:szCs w:val="28"/>
          <w:lang w:val="zh-TW" w:eastAsia="zh-TW"/>
        </w:rPr>
        <w:t>公出国（境）费支出决算为0万元;公务用车购置及运行费支出决算为</w:t>
      </w:r>
      <w:r>
        <w:rPr>
          <w:rFonts w:hint="eastAsia" w:ascii="宋体" w:hAnsi="宋体"/>
          <w:sz w:val="28"/>
          <w:szCs w:val="28"/>
          <w:lang w:val="zh-TW"/>
        </w:rPr>
        <w:t>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；</w:t>
      </w:r>
      <w:r>
        <w:rPr>
          <w:rFonts w:hint="eastAsia" w:ascii="宋体" w:hAnsi="宋体"/>
          <w:sz w:val="28"/>
          <w:szCs w:val="28"/>
          <w:lang w:val="zh-TW" w:eastAsia="zh-TW"/>
        </w:rPr>
        <w:t>公务接待费支出决算为</w:t>
      </w:r>
      <w:r>
        <w:rPr>
          <w:rFonts w:hint="eastAsia" w:ascii="宋体" w:hAnsi="宋体"/>
          <w:sz w:val="28"/>
          <w:szCs w:val="28"/>
        </w:rPr>
        <w:t>0.0</w:t>
      </w:r>
      <w:r>
        <w:rPr>
          <w:rFonts w:hint="eastAsia" w:ascii="宋体" w:hAnsi="宋体"/>
          <w:sz w:val="28"/>
          <w:szCs w:val="28"/>
          <w:lang w:val="zh-TW" w:eastAsia="zh-TW"/>
        </w:rPr>
        <w:t>万元</w:t>
      </w:r>
      <w:r>
        <w:rPr>
          <w:rFonts w:hint="eastAsia" w:ascii="宋体" w:hAnsi="宋体"/>
          <w:sz w:val="28"/>
          <w:szCs w:val="28"/>
          <w:lang w:val="zh-TW"/>
        </w:rPr>
        <w:t>。</w:t>
      </w:r>
    </w:p>
    <w:p>
      <w:pPr>
        <w:snapToGrid w:val="0"/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年度本部门继续严格落实中央八项规定精神和厉行节约要求，从严控制三公经费的支出。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6"/>
        <w:spacing w:line="4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7"/>
        <w:spacing w:line="540" w:lineRule="exact"/>
        <w:ind w:firstLine="48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</w:t>
      </w:r>
      <w:r>
        <w:rPr>
          <w:rFonts w:ascii="微软雅黑" w:hAnsi="微软雅黑" w:eastAsia="微软雅黑" w:cs="微软雅黑"/>
          <w:sz w:val="24"/>
          <w:szCs w:val="24"/>
        </w:rPr>
        <w:t>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宋体" w:hAnsi="宋体"/>
          <w:sz w:val="28"/>
          <w:szCs w:val="28"/>
          <w:lang w:val="en-US" w:eastAsia="zh-CN"/>
        </w:rPr>
        <w:t>244.54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211.98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86.69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32.56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13.31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>
      <w:pPr>
        <w:pStyle w:val="6"/>
        <w:spacing w:line="460" w:lineRule="exact"/>
        <w:ind w:left="420" w:leftChars="200"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</w:t>
      </w:r>
      <w:r>
        <w:rPr>
          <w:rFonts w:ascii="Times New Roman" w:hAnsi="Times New Roman" w:eastAsia="仿宋_GB2312"/>
          <w:sz w:val="32"/>
          <w:szCs w:val="32"/>
        </w:rPr>
        <w:t>项目支出情况</w:t>
      </w:r>
    </w:p>
    <w:p>
      <w:pPr>
        <w:pStyle w:val="6"/>
        <w:spacing w:line="460" w:lineRule="exact"/>
        <w:ind w:firstLine="640"/>
        <w:rPr>
          <w:rFonts w:hint="eastAsia" w:ascii="微软雅黑" w:hAnsi="微软雅黑" w:eastAsia="微软雅黑" w:cs="微软雅黑"/>
          <w:sz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lang w:eastAsia="zh-CN"/>
        </w:rPr>
        <w:t>2024年度项目支出为5.06万元。主要用于石岩头镇中学房屋结构安全性鉴定技术服务费。项目资金的使用严格按照程序和执行规定，及时入账固定资产等相关系统。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2"/>
          <w:szCs w:val="32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spacing w:line="460" w:lineRule="exact"/>
        <w:ind w:firstLine="720" w:firstLineChars="300"/>
        <w:rPr>
          <w:rFonts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我单位无政府性基金预算支出情况。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ascii="Times New Roman" w:hAnsi="Times New Roman" w:eastAsia="黑体"/>
          <w:sz w:val="32"/>
          <w:szCs w:val="32"/>
        </w:rPr>
        <w:t>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spacing w:line="460" w:lineRule="exact"/>
        <w:ind w:firstLine="720" w:firstLineChars="3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我单位无国有资本经营预算支出情况。</w:t>
      </w:r>
    </w:p>
    <w:p>
      <w:pPr>
        <w:pStyle w:val="6"/>
        <w:spacing w:line="46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</w:t>
      </w: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6"/>
        <w:spacing w:line="460" w:lineRule="exact"/>
        <w:ind w:left="420" w:leftChars="200" w:firstLine="240" w:firstLineChars="100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我单位无社会保险基金预算支出情况。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spacing w:line="540" w:lineRule="exact"/>
        <w:ind w:firstLine="480" w:firstLineChars="200"/>
        <w:rPr>
          <w:rFonts w:ascii="微软雅黑" w:hAnsi="微软雅黑" w:eastAsia="微软雅黑" w:cs="微软雅黑"/>
          <w:color w:val="000000"/>
          <w:sz w:val="24"/>
        </w:rPr>
      </w:pPr>
      <w:r>
        <w:rPr>
          <w:rFonts w:hint="eastAsia" w:ascii="微软雅黑" w:hAnsi="微软雅黑" w:eastAsia="微软雅黑" w:cs="微软雅黑"/>
          <w:color w:val="000000"/>
          <w:sz w:val="24"/>
        </w:rPr>
        <w:t>202</w:t>
      </w:r>
      <w:r>
        <w:rPr>
          <w:rFonts w:ascii="微软雅黑" w:hAnsi="微软雅黑" w:eastAsia="微软雅黑" w:cs="微软雅黑"/>
          <w:color w:val="000000"/>
          <w:sz w:val="24"/>
        </w:rPr>
        <w:t>4</w:t>
      </w:r>
      <w:r>
        <w:rPr>
          <w:rFonts w:hint="eastAsia" w:ascii="微软雅黑" w:hAnsi="微软雅黑" w:eastAsia="微软雅黑" w:cs="微软雅黑"/>
          <w:color w:val="000000"/>
          <w:sz w:val="24"/>
        </w:rPr>
        <w:t>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>
      <w:pPr>
        <w:spacing w:line="5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>
      <w:pPr>
        <w:pStyle w:val="7"/>
        <w:spacing w:line="540" w:lineRule="exact"/>
        <w:ind w:firstLine="480"/>
        <w:rPr>
          <w:rFonts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目前单位预算由基本支出和项目支出预算两部分组成，财政对基本支出中公用经费预算实行定额标准管理。公用经费标准的确定与实际执行差距较大，追加预算困难，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足</w:t>
      </w:r>
      <w:r>
        <w:rPr>
          <w:rFonts w:ascii="微软雅黑" w:hAnsi="微软雅黑" w:eastAsia="微软雅黑" w:cs="微软雅黑"/>
          <w:color w:val="333333"/>
          <w:sz w:val="24"/>
          <w:szCs w:val="24"/>
        </w:rPr>
        <w:t>。由于专业业务水平不高，对于固定资产的管理和入账不够规范合理。</w:t>
      </w:r>
    </w:p>
    <w:p>
      <w:pPr>
        <w:pStyle w:val="7"/>
        <w:spacing w:line="540" w:lineRule="exact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八、</w:t>
      </w:r>
      <w:r>
        <w:rPr>
          <w:rFonts w:eastAsia="黑体"/>
          <w:sz w:val="32"/>
          <w:szCs w:val="32"/>
        </w:rPr>
        <w:t>下一步改进措施</w:t>
      </w:r>
    </w:p>
    <w:p>
      <w:pPr>
        <w:pStyle w:val="3"/>
        <w:widowControl/>
        <w:spacing w:line="33" w:lineRule="atLeast"/>
        <w:ind w:firstLine="420"/>
        <w:jc w:val="both"/>
        <w:rPr>
          <w:rFonts w:ascii="微软雅黑" w:hAnsi="微软雅黑" w:eastAsia="微软雅黑" w:cs="微软雅黑"/>
          <w:color w:val="333333"/>
        </w:rPr>
      </w:pPr>
      <w:r>
        <w:rPr>
          <w:rFonts w:hint="eastAsia" w:ascii="微软雅黑" w:hAnsi="微软雅黑" w:eastAsia="微软雅黑" w:cs="微软雅黑"/>
          <w:color w:val="333333"/>
        </w:rPr>
        <w:t>1、能够足额安排财政预算，确保各项日常工作的开展.</w:t>
      </w:r>
    </w:p>
    <w:p>
      <w:pPr>
        <w:pStyle w:val="3"/>
        <w:widowControl/>
        <w:spacing w:line="33" w:lineRule="atLeast"/>
        <w:ind w:firstLine="420"/>
        <w:jc w:val="both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333333"/>
        </w:rPr>
        <w:t>2、加强绩效评价管理评价的可操作性，对相关业务人员进行相关培训，以提高业务知识水平。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pStyle w:val="3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零陵区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  <w:lang w:eastAsia="zh-CN"/>
        </w:rPr>
        <w:t>石岩头镇中学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202</w:t>
      </w:r>
      <w:r>
        <w:rPr>
          <w:rFonts w:ascii="微软雅黑" w:hAnsi="微软雅黑" w:eastAsia="微软雅黑" w:cs="微软雅黑"/>
          <w:color w:val="000000"/>
          <w:shd w:val="clear" w:color="auto" w:fill="FFFFFF"/>
        </w:rPr>
        <w:t>4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年绩效自评结果100分，由零陵区政府门户网站统一公开。</w:t>
      </w:r>
    </w:p>
    <w:p>
      <w:pPr>
        <w:spacing w:line="4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pStyle w:val="3"/>
        <w:widowControl/>
        <w:shd w:val="clear" w:color="auto" w:fill="FFFFFF"/>
        <w:ind w:firstLine="640"/>
      </w:pP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527E"/>
    <w:multiLevelType w:val="singleLevel"/>
    <w:tmpl w:val="0965527E"/>
    <w:lvl w:ilvl="0" w:tentative="0">
      <w:start w:val="3"/>
      <w:numFmt w:val="decimal"/>
      <w:suff w:val="nothing"/>
      <w:lvlText w:val="%1．"/>
      <w:lvlJc w:val="left"/>
    </w:lvl>
  </w:abstractNum>
  <w:abstractNum w:abstractNumId="1">
    <w:nsid w:val="2AC1353A"/>
    <w:multiLevelType w:val="singleLevel"/>
    <w:tmpl w:val="2AC13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E8C7D66"/>
    <w:multiLevelType w:val="singleLevel"/>
    <w:tmpl w:val="5E8C7D6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0N2FlYjZhZDFlNmI0ODU3NmEyMDE1NGIxZDlmZGEifQ=="/>
  </w:docVars>
  <w:rsids>
    <w:rsidRoot w:val="08024CDF"/>
    <w:rsid w:val="00061A9D"/>
    <w:rsid w:val="00353CEE"/>
    <w:rsid w:val="006F2F02"/>
    <w:rsid w:val="0089791B"/>
    <w:rsid w:val="008B1626"/>
    <w:rsid w:val="008F341F"/>
    <w:rsid w:val="00A40F84"/>
    <w:rsid w:val="00AA6E7B"/>
    <w:rsid w:val="00E1069C"/>
    <w:rsid w:val="00E73CA9"/>
    <w:rsid w:val="00EB7FDA"/>
    <w:rsid w:val="00F021F3"/>
    <w:rsid w:val="00F27F81"/>
    <w:rsid w:val="050F5FBD"/>
    <w:rsid w:val="076E04AE"/>
    <w:rsid w:val="08024CDF"/>
    <w:rsid w:val="0AB57C37"/>
    <w:rsid w:val="25676D15"/>
    <w:rsid w:val="25BB7E82"/>
    <w:rsid w:val="294847F4"/>
    <w:rsid w:val="37AF1A0E"/>
    <w:rsid w:val="3DF219ED"/>
    <w:rsid w:val="3EC77513"/>
    <w:rsid w:val="79A3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customStyle="1" w:styleId="6">
    <w:name w:val="列出段落1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8">
    <w:name w:val="批注框文本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1730</Words>
  <Characters>1867</Characters>
  <Lines>13</Lines>
  <Paragraphs>3</Paragraphs>
  <TotalTime>2</TotalTime>
  <ScaleCrop>false</ScaleCrop>
  <LinksUpToDate>false</LinksUpToDate>
  <CharactersWithSpaces>1870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2025-07-02T09:41:00Z</dcterms:created>
  <dc:creator>thy</dc:creator>
  <cp:lastModifiedBy>Administrator</cp:lastModifiedBy>
  <cp:lastPrinted>2025-07-09T07:34:00Z</cp:lastPrinted>
  <dcterms:modified xsi:type="dcterms:W3CDTF">2025-07-13T08:52:56Z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30891FE3AA5548CA868F9E057B877B6C_13</vt:lpwstr>
  </property>
</Properties>
</file>