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永州市零陵区道路运输服务中心</w:t>
      </w:r>
      <w:r>
        <w:rPr>
          <w:rFonts w:eastAsia="方正小标宋_GBK"/>
          <w:sz w:val="48"/>
          <w:szCs w:val="48"/>
        </w:rPr>
        <w:t>部门（单位）整体支出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主要职能职责：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1、负责拟订全区道路运输行业事务性工作规划和计划并组织实施。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2、承担道路运输市场运行监测、统计分析；协助信用管理、政策评估和从业人员考核工作。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3、承担全区道路运输行业统计和信息收集、整理、发布等工作；负责组织开展公路运输量抽样调查、营运车辆燃油消耗调查和统计；协助全区道路运输行业的燃油补贴审核、审报工作。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4、承担道路运输行业公共信息查询、考核结果公布等事务性工作。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5、参与道路运输企业质量信誉考核、节能减排工作。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6、参与汽车客运站服务等级评定和客运车辆类型划分实车评定工作。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7、参与春运、重要节假日运输、军运、抢险救灾和重大物资运输工作；协助开展道路运输价格相关工作。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8、协助道路运输安全生产相关事务工作。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9、承担驾驶员培训和机动车维修相关服务工作。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10、承担区交通运输局交办的其他工作。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机构设置情况：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永州市零陵区道路运输服务中心内设机构为6个：综合部、财务统计部、道路运输事务部、机动车维修事务部、驾培事务部、安全生产事务部。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  <w:lang w:eastAsia="zh-CN"/>
        </w:rPr>
        <w:t xml:space="preserve">年末实有在职人员 </w:t>
      </w:r>
      <w:r>
        <w:rPr>
          <w:rFonts w:hint="eastAsia" w:eastAsia="仿宋_GB2312"/>
          <w:sz w:val="32"/>
          <w:szCs w:val="32"/>
          <w:lang w:val="en-US" w:eastAsia="zh-CN"/>
        </w:rPr>
        <w:t>54</w:t>
      </w:r>
      <w:r>
        <w:rPr>
          <w:rFonts w:hint="eastAsia" w:eastAsia="仿宋_GB2312"/>
          <w:sz w:val="32"/>
          <w:szCs w:val="32"/>
          <w:lang w:eastAsia="zh-CN"/>
        </w:rPr>
        <w:t xml:space="preserve">名，事业人员 </w:t>
      </w:r>
      <w:r>
        <w:rPr>
          <w:rFonts w:hint="eastAsia" w:eastAsia="仿宋_GB2312"/>
          <w:sz w:val="32"/>
          <w:szCs w:val="32"/>
          <w:lang w:val="en-US" w:eastAsia="zh-CN"/>
        </w:rPr>
        <w:t>54</w:t>
      </w:r>
      <w:r>
        <w:rPr>
          <w:rFonts w:hint="eastAsia" w:eastAsia="仿宋_GB2312"/>
          <w:sz w:val="32"/>
          <w:szCs w:val="32"/>
          <w:lang w:eastAsia="zh-CN"/>
        </w:rPr>
        <w:t xml:space="preserve">名；离退休人员 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  <w:lang w:eastAsia="zh-CN"/>
        </w:rPr>
        <w:t xml:space="preserve">名；遗抚人员 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 xml:space="preserve"> 名。</w:t>
      </w:r>
    </w:p>
    <w:p>
      <w:pPr>
        <w:spacing w:line="600" w:lineRule="exact"/>
        <w:rPr>
          <w:rFonts w:eastAsia="楷体_GB2312"/>
          <w:b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部门（单位）年度整体支出绩效目标，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级专项资金绩效目标、其他项目支出（除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级专项资金以外）绩效目标</w:t>
      </w:r>
    </w:p>
    <w:p>
      <w:p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  <w:lang w:eastAsia="zh-CN"/>
        </w:rPr>
        <w:t>年区财政预算拨款</w:t>
      </w:r>
      <w:r>
        <w:rPr>
          <w:rFonts w:hint="eastAsia" w:ascii="仿宋_GB2312" w:hAnsi="仿宋" w:eastAsia="仿宋_GB2312"/>
          <w:sz w:val="32"/>
          <w:szCs w:val="32"/>
        </w:rPr>
        <w:t>523.44</w:t>
      </w:r>
      <w:r>
        <w:rPr>
          <w:rFonts w:hint="eastAsia" w:eastAsia="仿宋_GB2312"/>
          <w:sz w:val="32"/>
          <w:szCs w:val="32"/>
          <w:lang w:eastAsia="zh-CN"/>
        </w:rPr>
        <w:t>万元，其中工资福利支出</w:t>
      </w:r>
      <w:r>
        <w:rPr>
          <w:rFonts w:hint="eastAsia" w:eastAsia="仿宋_GB2312"/>
          <w:sz w:val="32"/>
          <w:szCs w:val="32"/>
          <w:lang w:val="en-US" w:eastAsia="zh-CN"/>
        </w:rPr>
        <w:t>478.17</w:t>
      </w:r>
      <w:r>
        <w:rPr>
          <w:rFonts w:hint="eastAsia" w:eastAsia="仿宋_GB2312"/>
          <w:sz w:val="32"/>
          <w:szCs w:val="32"/>
          <w:lang w:eastAsia="zh-CN"/>
        </w:rPr>
        <w:t>万元，一般商品和服务支出</w:t>
      </w:r>
      <w:r>
        <w:rPr>
          <w:rFonts w:hint="eastAsia" w:eastAsia="仿宋_GB2312"/>
          <w:sz w:val="32"/>
          <w:szCs w:val="32"/>
          <w:lang w:val="en-US" w:eastAsia="zh-CN"/>
        </w:rPr>
        <w:t>26.46</w:t>
      </w:r>
      <w:r>
        <w:rPr>
          <w:rFonts w:hint="eastAsia" w:eastAsia="仿宋_GB2312"/>
          <w:sz w:val="32"/>
          <w:szCs w:val="32"/>
          <w:lang w:eastAsia="zh-CN"/>
        </w:rPr>
        <w:t>万元，专项商品和服务支出</w:t>
      </w:r>
      <w:r>
        <w:rPr>
          <w:rFonts w:hint="eastAsia" w:eastAsia="仿宋_GB2312"/>
          <w:sz w:val="32"/>
          <w:szCs w:val="32"/>
          <w:lang w:val="en-US" w:eastAsia="zh-CN"/>
        </w:rPr>
        <w:t>18.81</w:t>
      </w:r>
      <w:r>
        <w:rPr>
          <w:rFonts w:hint="eastAsia" w:eastAsia="仿宋_GB2312"/>
          <w:sz w:val="32"/>
          <w:szCs w:val="32"/>
          <w:lang w:eastAsia="zh-CN"/>
        </w:rPr>
        <w:t>万元（春运经费</w:t>
      </w:r>
      <w:r>
        <w:rPr>
          <w:rFonts w:hint="eastAsia" w:eastAsia="仿宋_GB2312"/>
          <w:sz w:val="32"/>
          <w:szCs w:val="32"/>
          <w:lang w:val="en-US" w:eastAsia="zh-CN"/>
        </w:rPr>
        <w:t>10.8</w:t>
      </w:r>
      <w:r>
        <w:rPr>
          <w:rFonts w:hint="eastAsia" w:eastAsia="仿宋_GB2312"/>
          <w:sz w:val="32"/>
          <w:szCs w:val="32"/>
          <w:lang w:eastAsia="zh-CN"/>
        </w:rPr>
        <w:t>万元，职工工伤护理</w:t>
      </w:r>
      <w:r>
        <w:rPr>
          <w:rFonts w:hint="eastAsia" w:eastAsia="仿宋_GB2312"/>
          <w:sz w:val="32"/>
          <w:szCs w:val="32"/>
          <w:lang w:val="en-US" w:eastAsia="zh-CN"/>
        </w:rPr>
        <w:t>及康复经</w:t>
      </w:r>
      <w:r>
        <w:rPr>
          <w:rFonts w:hint="eastAsia" w:eastAsia="仿宋_GB2312"/>
          <w:sz w:val="32"/>
          <w:szCs w:val="32"/>
          <w:lang w:eastAsia="zh-CN"/>
        </w:rPr>
        <w:t>费</w:t>
      </w:r>
      <w:r>
        <w:rPr>
          <w:rFonts w:hint="eastAsia" w:eastAsia="仿宋_GB2312"/>
          <w:sz w:val="32"/>
          <w:szCs w:val="32"/>
          <w:lang w:val="en-US" w:eastAsia="zh-CN"/>
        </w:rPr>
        <w:t>3.51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公共就业经费4.5万元</w:t>
      </w:r>
      <w:r>
        <w:rPr>
          <w:rFonts w:hint="eastAsia" w:eastAsia="仿宋_GB2312"/>
          <w:sz w:val="32"/>
          <w:szCs w:val="32"/>
          <w:lang w:eastAsia="zh-CN"/>
        </w:rPr>
        <w:t>）。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  <w:lang w:eastAsia="zh-CN"/>
        </w:rPr>
        <w:t>年基本支出数为</w:t>
      </w:r>
      <w:r>
        <w:rPr>
          <w:rFonts w:hint="eastAsia" w:ascii="仿宋_GB2312" w:hAnsi="仿宋" w:eastAsia="仿宋_GB2312"/>
          <w:sz w:val="32"/>
          <w:szCs w:val="32"/>
        </w:rPr>
        <w:t>706.45</w:t>
      </w:r>
      <w:r>
        <w:rPr>
          <w:rFonts w:hint="eastAsia" w:eastAsia="仿宋_GB2312"/>
          <w:sz w:val="32"/>
          <w:szCs w:val="32"/>
          <w:lang w:eastAsia="zh-CN"/>
        </w:rPr>
        <w:t>万元，是指为保障单位机构正常运转、完成日常工作任务而发生的各项支出。其中：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（1）工资福利支出</w:t>
      </w:r>
      <w:r>
        <w:rPr>
          <w:rFonts w:ascii="仿宋_GB2312" w:hAnsi="仿宋" w:eastAsia="仿宋_GB2312"/>
          <w:sz w:val="32"/>
          <w:szCs w:val="32"/>
        </w:rPr>
        <w:t>656.98</w:t>
      </w:r>
      <w:r>
        <w:rPr>
          <w:rFonts w:hint="eastAsia" w:eastAsia="仿宋_GB2312"/>
          <w:sz w:val="32"/>
          <w:szCs w:val="32"/>
          <w:lang w:eastAsia="zh-CN"/>
        </w:rPr>
        <w:t>万元，包括用于基本工资、津贴补贴、社保缴费、</w:t>
      </w:r>
      <w:r>
        <w:rPr>
          <w:rFonts w:hint="eastAsia" w:eastAsia="仿宋_GB2312"/>
          <w:sz w:val="32"/>
          <w:szCs w:val="32"/>
          <w:lang w:val="en-US" w:eastAsia="zh-CN"/>
        </w:rPr>
        <w:t>住房公积金</w:t>
      </w:r>
      <w:r>
        <w:rPr>
          <w:rFonts w:hint="eastAsia" w:eastAsia="仿宋_GB2312"/>
          <w:sz w:val="32"/>
          <w:szCs w:val="32"/>
          <w:lang w:eastAsia="zh-CN"/>
        </w:rPr>
        <w:t>等。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）商品和服务支出</w:t>
      </w:r>
      <w:r>
        <w:rPr>
          <w:rFonts w:hint="eastAsia" w:eastAsia="仿宋_GB2312"/>
          <w:sz w:val="32"/>
          <w:szCs w:val="32"/>
          <w:lang w:val="en-US" w:eastAsia="zh-CN"/>
        </w:rPr>
        <w:t>38.67</w:t>
      </w:r>
      <w:r>
        <w:rPr>
          <w:rFonts w:hint="eastAsia" w:eastAsia="仿宋_GB2312"/>
          <w:sz w:val="32"/>
          <w:szCs w:val="32"/>
          <w:lang w:eastAsia="zh-CN"/>
        </w:rPr>
        <w:t>万元，包括办公费、交通费、会议费、印刷费、水电费、物业费、办公设备购置等日常公用经费。</w:t>
      </w:r>
    </w:p>
    <w:p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本项目属于部门（单位）确定的延续专项，主要用于春运经费支出、职工工伤护理及康复</w:t>
      </w:r>
      <w:r>
        <w:rPr>
          <w:rFonts w:hint="eastAsia" w:eastAsia="仿宋_GB2312"/>
          <w:sz w:val="32"/>
          <w:szCs w:val="32"/>
          <w:lang w:val="en-US" w:eastAsia="zh-CN"/>
        </w:rPr>
        <w:t>经费支出、公共就业经费支出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1、项目安排资金共</w:t>
      </w:r>
      <w:r>
        <w:rPr>
          <w:rFonts w:hint="eastAsia" w:eastAsia="仿宋_GB2312"/>
          <w:sz w:val="32"/>
          <w:szCs w:val="32"/>
          <w:lang w:val="en-US" w:eastAsia="zh-CN"/>
        </w:rPr>
        <w:t>18.81</w:t>
      </w:r>
      <w:r>
        <w:rPr>
          <w:rFonts w:hint="eastAsia" w:eastAsia="仿宋_GB2312"/>
          <w:sz w:val="32"/>
          <w:szCs w:val="32"/>
          <w:lang w:eastAsia="zh-CN"/>
        </w:rPr>
        <w:t>万元，其中春运经费</w:t>
      </w:r>
      <w:r>
        <w:rPr>
          <w:rFonts w:hint="eastAsia" w:eastAsia="仿宋_GB2312"/>
          <w:sz w:val="32"/>
          <w:szCs w:val="32"/>
          <w:lang w:val="en-US" w:eastAsia="zh-CN"/>
        </w:rPr>
        <w:t>10.8</w:t>
      </w:r>
      <w:r>
        <w:rPr>
          <w:rFonts w:hint="eastAsia" w:eastAsia="仿宋_GB2312"/>
          <w:sz w:val="32"/>
          <w:szCs w:val="32"/>
          <w:lang w:eastAsia="zh-CN"/>
        </w:rPr>
        <w:t>万元，职工工伤护理及康复</w:t>
      </w:r>
      <w:r>
        <w:rPr>
          <w:rFonts w:hint="eastAsia" w:eastAsia="仿宋_GB2312"/>
          <w:sz w:val="32"/>
          <w:szCs w:val="32"/>
          <w:lang w:val="en-US" w:eastAsia="zh-CN"/>
        </w:rPr>
        <w:t>经费3.51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公共就业经费4.5万元，</w:t>
      </w:r>
      <w:r>
        <w:rPr>
          <w:rFonts w:hint="eastAsia" w:eastAsia="仿宋_GB2312"/>
          <w:sz w:val="32"/>
          <w:szCs w:val="32"/>
          <w:lang w:eastAsia="zh-CN"/>
        </w:rPr>
        <w:t>全部来源于区财政。资金到位率100%，资金于20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  <w:lang w:eastAsia="zh-CN"/>
        </w:rPr>
        <w:t>年1月份全部到位。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2、截止报告期末，项目共支出经费</w:t>
      </w:r>
      <w:r>
        <w:rPr>
          <w:rFonts w:hint="eastAsia" w:eastAsia="仿宋_GB2312"/>
          <w:sz w:val="32"/>
          <w:szCs w:val="32"/>
          <w:lang w:val="en-US" w:eastAsia="zh-CN"/>
        </w:rPr>
        <w:t>10.8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万元。资金使用与项目内容吻合。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2023年本单位无政府性基金预算支出。</w:t>
      </w:r>
    </w:p>
    <w:p>
      <w:pPr>
        <w:pStyle w:val="7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4"/>
        <w:widowControl/>
        <w:wordWrap w:val="0"/>
        <w:spacing w:line="500" w:lineRule="atLeas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202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2"/>
          <w:sz w:val="32"/>
          <w:szCs w:val="32"/>
        </w:rPr>
        <w:t>年本单位无国有资本预算支出。</w:t>
      </w:r>
    </w:p>
    <w:p>
      <w:pPr>
        <w:pStyle w:val="7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2023年本单位无社会保险基金预算支出。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（一）部门整体支出的经济性分析。 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（1）部门整体支出的控制情况；主要为工资福利支出，一般商品和服务支出，对个人和家庭的补助支出，专项商品和服务支出，基础建设支出。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（2）部门整体支出的节约情况;部门整体支出过程中均按照厉行节约原则完成。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（二）部门整体支出的效率性分析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（1）部门整体支出的实施进度；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部门整体支出是按照工作的需求逐步进行。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（2）部门整体支出完成质量。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部门整体支出基本完成，并组织相关部门验收把关，保质保量完成各项任务。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（三）部门整体支出的有效性分析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部门整体支出实施加强了财政资金监管工作，确保了各项公益性建设项目顺利实施，保障了各项民生政策落到实处、重大基础设施建设项目顺利实施；加强了交通内部管理，提高了财政资金使用效率和运行质量预算执行进度；强化了基层财政监督职能，保障了各项强农惠农政策贯彻落实和各项资金有效使用，极大地保障了财政资金的安全高效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（四）项目的可持续性分析。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要获得道路管理的可持续性发展，需要人力财力物力的投入与相关支持。 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1、部门整体支出的精细度仍需要提高。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2、部门整体支出绩效目标的科学性和有效性仍有待提升。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1、进一步拓展前评价范围，扩大评价的覆盖面和影响力。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2、进一步提升评价类型，逐步从项目评价向政策与部门评价过渡。 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3、进一步加强评价质量管理，保障结果的客观性与有效性。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4、进一步探索多种方式，重视评价结果的应用。 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5、进一步加强信息系统建立，实现评价知识的共享。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59BAF"/>
    <w:multiLevelType w:val="singleLevel"/>
    <w:tmpl w:val="B2859BA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132AAD8"/>
    <w:multiLevelType w:val="singleLevel"/>
    <w:tmpl w:val="D132AA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DJkZDA3ZjA5N2M1Nzk1NDk2MTY4ZDEzZTliODQifQ=="/>
  </w:docVars>
  <w:rsids>
    <w:rsidRoot w:val="00000000"/>
    <w:rsid w:val="211B48CE"/>
    <w:rsid w:val="280F178E"/>
    <w:rsid w:val="43E81831"/>
    <w:rsid w:val="4A566B4A"/>
    <w:rsid w:val="728C2183"/>
    <w:rsid w:val="76B7149C"/>
    <w:rsid w:val="7E6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2"/>
    <w:autoRedefine/>
    <w:qFormat/>
    <w:uiPriority w:val="0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_Style 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1729</Words>
  <Characters>1809</Characters>
  <Lines>0</Lines>
  <Paragraphs>0</Paragraphs>
  <TotalTime>1</TotalTime>
  <ScaleCrop>false</ScaleCrop>
  <LinksUpToDate>false</LinksUpToDate>
  <CharactersWithSpaces>1838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2025-07-01T13:08:55Z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55DFE67ABCBB41119DBA5F785D273420</vt:lpwstr>
  </property>
</Properties>
</file>