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1760" w:firstLineChars="4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年度接履桥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街道</w:t>
      </w:r>
      <w:r>
        <w:rPr>
          <w:rFonts w:hint="eastAsia" w:ascii="方正小标宋简体" w:eastAsia="方正小标宋简体"/>
          <w:sz w:val="44"/>
          <w:szCs w:val="44"/>
        </w:rPr>
        <w:t>中学</w:t>
      </w:r>
    </w:p>
    <w:p>
      <w:pPr>
        <w:ind w:firstLine="1560" w:firstLineChars="3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52"/>
          <w:szCs w:val="52"/>
        </w:rPr>
        <w:t>整体支出绩效自评报</w:t>
      </w:r>
      <w:r>
        <w:rPr>
          <w:rFonts w:hint="eastAsia" w:ascii="方正小标宋简体" w:eastAsia="方正小标宋简体"/>
          <w:sz w:val="48"/>
          <w:szCs w:val="48"/>
        </w:rPr>
        <w:t>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>接履桥</w:t>
      </w:r>
      <w:r>
        <w:rPr>
          <w:rFonts w:hint="eastAsia" w:eastAsia="仿宋_GB2312"/>
          <w:sz w:val="32"/>
          <w:szCs w:val="32"/>
          <w:u w:val="single"/>
          <w:lang w:eastAsia="zh-CN"/>
        </w:rPr>
        <w:t>街道</w:t>
      </w:r>
      <w:r>
        <w:rPr>
          <w:rFonts w:hint="eastAsia" w:eastAsia="仿宋_GB2312"/>
          <w:sz w:val="32"/>
          <w:szCs w:val="32"/>
          <w:u w:val="single"/>
        </w:rPr>
        <w:t>中学</w:t>
      </w:r>
      <w:r>
        <w:rPr>
          <w:rFonts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1</w:t>
      </w:r>
      <w:r>
        <w:rPr>
          <w:rFonts w:hint="eastAsia" w:eastAsia="楷体_GB2312"/>
          <w:sz w:val="32"/>
          <w:szCs w:val="32"/>
        </w:rPr>
        <w:t>7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基本情况</w:t>
      </w:r>
    </w:p>
    <w:p>
      <w:pPr>
        <w:shd w:val="clear" w:color="auto" w:fill="FFFFFF"/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1．主要职能。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(1)、认真贯彻落实党的教育方针，坚持依法办学；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(2)、严格执行上级有关招生、收费等文件精神；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(3)、认真履行教育法、教师法等法律法规；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)、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圆满</w:t>
      </w:r>
      <w:r>
        <w:rPr>
          <w:rFonts w:hint="eastAsia" w:eastAsia="仿宋_GB2312"/>
          <w:color w:val="000000"/>
          <w:sz w:val="32"/>
          <w:szCs w:val="32"/>
        </w:rPr>
        <w:t>完成好各项教育教学任务。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2．机构情况，包括当年变动情况及原因。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我校是一所义务教育阶段的初级中学，属于财政全额拨款的事业单位，隶属于零陵区教育局。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年度内设职能部门5个：办公室、教务处、工会、总务处、团委。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3．人员情况，包括当年变动情况及原因。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依实际情况根据需要，接履桥镇中学教师人数做了相应调整，核定编制数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34</w:t>
      </w:r>
      <w:r>
        <w:rPr>
          <w:rFonts w:hint="eastAsia" w:eastAsia="仿宋_GB2312"/>
          <w:color w:val="000000"/>
          <w:sz w:val="32"/>
          <w:szCs w:val="32"/>
        </w:rPr>
        <w:t>名，全额拨款编制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34</w:t>
      </w:r>
      <w:r>
        <w:rPr>
          <w:rFonts w:hint="eastAsia" w:eastAsia="仿宋_GB2312"/>
          <w:color w:val="000000"/>
          <w:sz w:val="32"/>
          <w:szCs w:val="32"/>
        </w:rPr>
        <w:t>名，实有全额拨款编制人数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34</w:t>
      </w:r>
      <w:r>
        <w:rPr>
          <w:rFonts w:hint="eastAsia" w:eastAsia="仿宋_GB2312"/>
          <w:color w:val="000000"/>
          <w:sz w:val="32"/>
          <w:szCs w:val="32"/>
        </w:rPr>
        <w:t>名，在岗人员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34</w:t>
      </w:r>
      <w:r>
        <w:rPr>
          <w:rFonts w:hint="eastAsia" w:eastAsia="仿宋_GB2312"/>
          <w:color w:val="000000"/>
          <w:sz w:val="32"/>
          <w:szCs w:val="32"/>
        </w:rPr>
        <w:t>人，其中：在职在编人员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34</w:t>
      </w:r>
      <w:r>
        <w:rPr>
          <w:rFonts w:hint="eastAsia" w:eastAsia="仿宋_GB2312"/>
          <w:color w:val="000000"/>
          <w:sz w:val="32"/>
          <w:szCs w:val="32"/>
        </w:rPr>
        <w:t>人。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numPr>
          <w:ilvl w:val="0"/>
          <w:numId w:val="0"/>
        </w:num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2024 年部门整体支出年初预算数 792.57 万元，全年预算数 689.58万元，全年支出执行数 608.57 万元，执行率为 88.25%，全年绩效目标都按时按量完成。</w:t>
      </w:r>
    </w:p>
    <w:p>
      <w:pPr>
        <w:pStyle w:val="9"/>
        <w:spacing w:line="460" w:lineRule="exact"/>
        <w:ind w:left="0" w:leftChars="0" w:firstLine="960" w:firstLineChars="3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（一）基本支出情况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年度财政拨款基本支出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423.07</w:t>
      </w:r>
      <w:r>
        <w:rPr>
          <w:rFonts w:hint="eastAsia" w:eastAsia="仿宋_GB2312"/>
          <w:color w:val="000000"/>
          <w:sz w:val="32"/>
          <w:szCs w:val="32"/>
        </w:rPr>
        <w:t>万元，其中：人员经费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366.53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</w:rPr>
        <w:t>万元，主要包括：基本工资、津贴补贴、社会保险缴费、奖金、绩效工资、生活补助、其他对个人和家庭的补助支出；公用经费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56.54</w:t>
      </w:r>
      <w:r>
        <w:rPr>
          <w:rFonts w:hint="eastAsia" w:eastAsia="仿宋_GB2312"/>
          <w:color w:val="000000"/>
          <w:sz w:val="32"/>
          <w:szCs w:val="32"/>
        </w:rPr>
        <w:t>万元，主要包括：办公费、印刷费、水电费、差旅费、培训费、维修（护）费、工会经费、其他商品和服务支出等。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eastAsia="仿宋_GB2312"/>
          <w:color w:val="000000"/>
          <w:sz w:val="32"/>
          <w:szCs w:val="32"/>
        </w:rPr>
        <w:t>项目支出情况</w:t>
      </w:r>
    </w:p>
    <w:p>
      <w:pPr>
        <w:spacing w:line="460" w:lineRule="exact"/>
        <w:ind w:firstLine="1280" w:firstLineChars="4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无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本部门本年度项目支出绩效总体良好，各项目标达到了相应时期执行进度，使财政收支预算执行都得了良好的制度保障和实施效果。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1、产出指标完成情况分析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(1)数量指标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年转移支付已完成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608.57</w:t>
      </w:r>
      <w:r>
        <w:rPr>
          <w:rFonts w:hint="eastAsia" w:eastAsia="仿宋_GB2312"/>
          <w:color w:val="000000"/>
          <w:sz w:val="32"/>
          <w:szCs w:val="32"/>
        </w:rPr>
        <w:t>万元的拨付工作;部门预算基本支出已完成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608.57</w:t>
      </w:r>
      <w:r>
        <w:rPr>
          <w:rFonts w:hint="eastAsia" w:eastAsia="仿宋_GB2312"/>
          <w:color w:val="000000"/>
          <w:sz w:val="32"/>
          <w:szCs w:val="32"/>
        </w:rPr>
        <w:t>万元的拨付工作。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(2)质量指标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各基本支出和项目支出资金已通过财政拨款方式发放，用于维持正常教育教学生活，资金及时的拨付，保质保量的完成了学校日常公用开支和项目建设。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(3)时效指标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资金严格按照预算及实际情况时间节点发放至预算单位，预算支出实际完成时间与计划完成时间大致一致。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(4)成本指标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无成本节约指标。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2、效益指标完成情况分析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(1)经济效益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本部门支出绩效总体良好,圆满完成学校年度目标，保障了教师工资福利待遇。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(2)社会效益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通过合理使用学校资金，改善教育教学条件，使义务教育学校健康发展，教学质量得以保证。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(3)生态效益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无生态效益指标。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(4)可持续影响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学校基础设施建设、教学环境持续改善。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3、满意度指标完成情况分析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通过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年各项资金的合理使用，保障了学校正常运转、改善了学校教学环境、提高了广大师生满意度，满意度100%。</w:t>
      </w:r>
    </w:p>
    <w:p>
      <w:pPr>
        <w:pStyle w:val="9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本年度绩效目标未存在偏离，但在执行过程中还存在下列问题: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1.学校财务人员是兼职，专业知识水平低，对绩效目标部分概念模糊。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2.绩效目标的设定需要各个部门分解汇总，全员参与，相互协调，学校对绩效评价还未建立全员参的意识，部分绩效目标无法量化。</w:t>
      </w:r>
    </w:p>
    <w:p>
      <w:pPr>
        <w:spacing w:line="460" w:lineRule="exact"/>
        <w:ind w:firstLine="480" w:firstLineChars="15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1.注重提高财务人员自身业务能力水平，加强思想和业务培训。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2.进一步提高绩效目标评价意识和方法，细化财务管理。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3.严格按照上级要有关要求做好绩效评价工作。</w:t>
      </w:r>
    </w:p>
    <w:p>
      <w:pPr>
        <w:spacing w:line="4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4"/>
        <w:widowControl/>
        <w:shd w:val="clear" w:color="auto" w:fill="FFFFFF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年绩效自评结果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98</w:t>
      </w:r>
      <w:r>
        <w:rPr>
          <w:rFonts w:hint="eastAsia" w:eastAsia="仿宋_GB2312"/>
          <w:color w:val="000000"/>
          <w:sz w:val="32"/>
          <w:szCs w:val="32"/>
        </w:rPr>
        <w:t>分，绩效自评结果将用于下一年度预算编制及监控，并按要求在零陵区政府门户网站统一公开。</w:t>
      </w:r>
    </w:p>
    <w:p>
      <w:pPr>
        <w:spacing w:line="460" w:lineRule="exact"/>
        <w:ind w:firstLine="480" w:firstLineChars="1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3950B8"/>
    <w:multiLevelType w:val="singleLevel"/>
    <w:tmpl w:val="E23950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0DDB"/>
    <w:rsid w:val="00C00DDB"/>
    <w:rsid w:val="00DD43EB"/>
    <w:rsid w:val="0EAE441C"/>
    <w:rsid w:val="1FF227D4"/>
    <w:rsid w:val="25D86F35"/>
    <w:rsid w:val="25E6624E"/>
    <w:rsid w:val="2B5C274A"/>
    <w:rsid w:val="2EB77AF1"/>
    <w:rsid w:val="30EE6E97"/>
    <w:rsid w:val="34D4746F"/>
    <w:rsid w:val="3A8F3726"/>
    <w:rsid w:val="3ADE7BFF"/>
    <w:rsid w:val="3F1A06CB"/>
    <w:rsid w:val="40E924FC"/>
    <w:rsid w:val="4206576F"/>
    <w:rsid w:val="43EF7627"/>
    <w:rsid w:val="44B24F5B"/>
    <w:rsid w:val="46D16F92"/>
    <w:rsid w:val="488B6784"/>
    <w:rsid w:val="56E75AAC"/>
    <w:rsid w:val="5F393CFD"/>
    <w:rsid w:val="6543310F"/>
    <w:rsid w:val="681B62E9"/>
    <w:rsid w:val="68724487"/>
    <w:rsid w:val="6CE751EA"/>
    <w:rsid w:val="6D105F5A"/>
    <w:rsid w:val="6F9C321E"/>
    <w:rsid w:val="70990AD9"/>
    <w:rsid w:val="74C87421"/>
    <w:rsid w:val="7BA5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992</Characters>
  <Lines>8</Lines>
  <Paragraphs>2</Paragraphs>
  <TotalTime>22</TotalTime>
  <ScaleCrop>false</ScaleCrop>
  <LinksUpToDate>false</LinksUpToDate>
  <CharactersWithSpaces>1164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2024-05-10T01:05:00Z</dcterms:created>
  <dc:creator>2017.03.20</dc:creator>
  <cp:lastModifiedBy>Administrator</cp:lastModifiedBy>
  <dcterms:modified xsi:type="dcterms:W3CDTF">2025-07-19T02:49:42Z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