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附件1</w:t>
      </w: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jc w:val="center"/>
        <w:rPr>
          <w:rFonts w:hint="eastAsia" w:ascii="方正小标宋简体" w:eastAsia="方正小标宋简体"/>
          <w:sz w:val="52"/>
          <w:szCs w:val="52"/>
          <w:lang w:eastAsia="zh-CN"/>
        </w:rPr>
      </w:pPr>
      <w:bookmarkStart w:id="0" w:name="_GoBack"/>
      <w:r>
        <w:rPr>
          <w:rFonts w:hint="eastAsia" w:ascii="方正小标宋简体" w:eastAsia="方正小标宋简体"/>
          <w:sz w:val="52"/>
          <w:szCs w:val="52"/>
        </w:rPr>
        <w:t>2023年度</w:t>
      </w:r>
      <w:r>
        <w:rPr>
          <w:rFonts w:hint="eastAsia" w:ascii="方正小标宋简体" w:eastAsia="方正小标宋简体"/>
          <w:sz w:val="52"/>
          <w:szCs w:val="52"/>
          <w:lang w:eastAsia="zh-CN"/>
        </w:rPr>
        <w:t>零陵区工伤保险服务中心</w:t>
      </w:r>
    </w:p>
    <w:p>
      <w:pPr>
        <w:jc w:val="center"/>
        <w:rPr>
          <w:rFonts w:hint="eastAsia" w:ascii="方正小标宋简体" w:eastAsia="方正小标宋简体"/>
          <w:sz w:val="52"/>
          <w:szCs w:val="52"/>
        </w:rPr>
      </w:pPr>
      <w:r>
        <w:rPr>
          <w:rFonts w:hint="eastAsia" w:ascii="方正小标宋简体" w:eastAsia="方正小标宋简体"/>
          <w:sz w:val="52"/>
          <w:szCs w:val="52"/>
        </w:rPr>
        <w:t>部门（单位）整体支出</w:t>
      </w:r>
    </w:p>
    <w:p>
      <w:pPr>
        <w:jc w:val="center"/>
        <w:rPr>
          <w:rFonts w:hint="eastAsia" w:ascii="方正小标宋简体" w:eastAsia="方正小标宋简体"/>
          <w:sz w:val="52"/>
          <w:szCs w:val="52"/>
        </w:rPr>
      </w:pPr>
      <w:r>
        <w:rPr>
          <w:rFonts w:hint="eastAsia" w:ascii="方正小标宋简体" w:eastAsia="方正小标宋简体"/>
          <w:sz w:val="52"/>
          <w:szCs w:val="52"/>
        </w:rPr>
        <w:t>绩效自评报告</w:t>
      </w:r>
    </w:p>
    <w:bookmarkEnd w:id="0"/>
    <w:p>
      <w:pPr>
        <w:jc w:val="center"/>
        <w:rPr>
          <w:rFonts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spacing w:line="600" w:lineRule="exact"/>
        <w:jc w:val="center"/>
        <w:rPr>
          <w:rFonts w:eastAsia="仿宋_GB2312"/>
          <w:sz w:val="32"/>
          <w:szCs w:val="32"/>
          <w:u w:val="single"/>
        </w:rPr>
      </w:pPr>
      <w:r>
        <w:rPr>
          <w:rFonts w:eastAsia="仿宋_GB2312"/>
          <w:sz w:val="32"/>
          <w:szCs w:val="32"/>
        </w:rPr>
        <w:t>单位名称：</w:t>
      </w:r>
      <w:r>
        <w:rPr>
          <w:rFonts w:eastAsia="仿宋_GB2312"/>
          <w:sz w:val="32"/>
          <w:szCs w:val="32"/>
          <w:u w:val="single"/>
        </w:rPr>
        <w:t>（盖章）</w:t>
      </w:r>
    </w:p>
    <w:p>
      <w:pPr>
        <w:spacing w:line="600" w:lineRule="exact"/>
        <w:ind w:firstLine="3200" w:firstLineChars="1000"/>
        <w:rPr>
          <w:rFonts w:eastAsia="楷体_GB2312"/>
          <w:sz w:val="32"/>
          <w:szCs w:val="32"/>
        </w:rPr>
      </w:pPr>
      <w:r>
        <w:rPr>
          <w:rFonts w:eastAsia="楷体_GB2312"/>
          <w:sz w:val="32"/>
          <w:szCs w:val="32"/>
        </w:rPr>
        <w:t>年  月  日</w:t>
      </w:r>
    </w:p>
    <w:p>
      <w:pPr>
        <w:jc w:val="center"/>
        <w:rPr>
          <w:rFonts w:eastAsia="黑体"/>
          <w:sz w:val="32"/>
          <w:szCs w:val="32"/>
        </w:rPr>
      </w:pPr>
    </w:p>
    <w:p>
      <w:pPr>
        <w:jc w:val="center"/>
        <w:rPr>
          <w:rFonts w:eastAsia="仿宋_GB2312"/>
          <w:sz w:val="32"/>
          <w:szCs w:val="32"/>
        </w:rPr>
      </w:pPr>
      <w:r>
        <w:rPr>
          <w:rFonts w:eastAsia="仿宋_GB2312"/>
          <w:sz w:val="32"/>
          <w:szCs w:val="32"/>
        </w:rPr>
        <w:t>（此页为封面）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sz w:val="32"/>
          <w:szCs w:val="32"/>
        </w:rPr>
      </w:pPr>
      <w:r>
        <w:rPr>
          <w:rFonts w:eastAsia="仿宋_GB2312"/>
          <w:sz w:val="32"/>
          <w:szCs w:val="32"/>
        </w:rPr>
        <w:br w:type="page"/>
      </w:r>
      <w:r>
        <w:rPr>
          <w:rFonts w:hint="eastAsia" w:ascii="黑体" w:hAnsi="黑体" w:eastAsia="黑体" w:cs="黑体"/>
          <w:sz w:val="32"/>
          <w:szCs w:val="32"/>
        </w:rPr>
        <w:t>一、</w:t>
      </w:r>
      <w:r>
        <w:rPr>
          <w:rFonts w:eastAsia="黑体"/>
          <w:sz w:val="32"/>
          <w:szCs w:val="32"/>
        </w:rPr>
        <w:t>部门（单位）基本情况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承办全区工伤保险参保登记、转移接续、个人权益记录管理、参保单位费率管理工作。承办全区工伤伤残工亡待遇审核、长期待遇享受人员的待遇发放及生存认证、住院伙食补助费以及统筹地区以外就医的交通食宿费用结算。承办全区老工伤纳入统筹管理工作，推进补充工伤保险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(2).承办全区新增工伤医疗、康复、辅助器具协议机构确定，工伤医疗、康复、辅助器具配置费用结算，监督检查协议医院履行协议情况。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(3).负责全区工伤保险基金的财务管理、预决算、财务报表等工作。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(4).负责全区工伤保险基金风险防控管理和内部审计工作，制定工伤保险基金监督和内控制度并组织实施。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(5).承办全区工伤保险信息系统建设。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(6).承办零陵区人力资源和社会保障局交办的有关事项。</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2．机构情况，包括当年变动情况及原因。</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_GB2312" w:eastAsia="仿宋_GB2312" w:cs="仿宋_GB2312"/>
          <w:bCs/>
          <w:color w:val="auto"/>
          <w:sz w:val="32"/>
          <w:szCs w:val="32"/>
        </w:rPr>
        <w:t>我单位共有内设股室5个：办公室、参保登记股、待遇审核股、基金稽核股、财务股。</w:t>
      </w:r>
    </w:p>
    <w:p>
      <w:pPr>
        <w:snapToGrid w:val="0"/>
        <w:spacing w:line="520" w:lineRule="exact"/>
        <w:ind w:firstLine="640" w:firstLineChars="200"/>
        <w:rPr>
          <w:rFonts w:hint="eastAsia" w:ascii="仿宋_GB2312" w:hAnsi="仿宋" w:eastAsia="仿宋_GB2312"/>
          <w:color w:val="auto"/>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3．人员情况，包括当年变动情况及原因。</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_GB2312" w:eastAsia="仿宋_GB2312" w:cs="仿宋_GB2312"/>
          <w:color w:val="auto"/>
          <w:sz w:val="32"/>
          <w:szCs w:val="32"/>
        </w:rPr>
        <w:t>本单位核定编制数8名，全额编制8人，实有人数9名，其中4名是区人社局内部借调人员。</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color w:val="000000"/>
          <w:sz w:val="32"/>
          <w:szCs w:val="32"/>
        </w:rPr>
      </w:pPr>
      <w:r>
        <w:rPr>
          <w:rFonts w:hint="eastAsia" w:ascii="仿宋_GB2312" w:eastAsia="仿宋_GB2312"/>
          <w:sz w:val="32"/>
          <w:szCs w:val="32"/>
        </w:rPr>
        <w:t>部门（单位）整体支出规模</w:t>
      </w:r>
      <w:r>
        <w:rPr>
          <w:rFonts w:hint="eastAsia" w:ascii="仿宋_GB2312" w:hAnsi="仿宋_GB2312" w:eastAsia="仿宋_GB2312" w:cs="仿宋_GB2312"/>
          <w:sz w:val="32"/>
          <w:szCs w:val="32"/>
        </w:rPr>
        <w:t>，</w:t>
      </w:r>
      <w:r>
        <w:rPr>
          <w:rFonts w:hint="eastAsia" w:eastAsia="仿宋_GB2312"/>
          <w:color w:val="000000"/>
          <w:sz w:val="32"/>
          <w:szCs w:val="32"/>
        </w:rPr>
        <w:t>包括但不限于部门整体支出情况、部门预算收支决算情况及“三公经费”支出使用和管理情况。</w:t>
      </w:r>
    </w:p>
    <w:p>
      <w:pPr>
        <w:snapToGrid w:val="0"/>
        <w:spacing w:line="520" w:lineRule="exact"/>
        <w:ind w:firstLine="640" w:firstLineChars="200"/>
        <w:rPr>
          <w:rFonts w:ascii="仿宋_GB2312" w:hAnsi="仿宋" w:eastAsia="仿宋_GB2312"/>
          <w:sz w:val="32"/>
          <w:szCs w:val="32"/>
        </w:rPr>
      </w:pPr>
      <w:r>
        <w:rPr>
          <w:rFonts w:hint="eastAsia" w:ascii="仿宋_GB2312" w:hAnsi="仿宋_GB2312" w:eastAsia="仿宋_GB2312" w:cs="仿宋_GB2312"/>
          <w:bCs/>
          <w:color w:val="auto"/>
          <w:sz w:val="32"/>
          <w:szCs w:val="32"/>
        </w:rPr>
        <w:t>2022年初预算总收入90万元，2023年初预算总收入89.8万元，2023年年初预算相较上年相比减少了0.2万元，减少了0.2%，主要原因是压缩开支。2022年决算总支出为90.43万元，2023年决算支出为86.9万元，2023年相较上年减少3.53万元，减少了3%，</w:t>
      </w:r>
      <w:r>
        <w:rPr>
          <w:rFonts w:hint="eastAsia" w:ascii="仿宋_GB2312" w:hAnsi="仿宋" w:eastAsia="仿宋_GB2312"/>
          <w:color w:val="auto"/>
          <w:sz w:val="32"/>
          <w:szCs w:val="32"/>
        </w:rPr>
        <w:t>主要原因是</w:t>
      </w:r>
      <w:r>
        <w:rPr>
          <w:rFonts w:hint="eastAsia" w:ascii="仿宋_GB2312" w:hAnsi="仿宋_GB2312" w:eastAsia="仿宋_GB2312" w:cs="仿宋_GB2312"/>
          <w:bCs/>
          <w:color w:val="auto"/>
          <w:sz w:val="32"/>
          <w:szCs w:val="32"/>
        </w:rPr>
        <w:t>压</w:t>
      </w:r>
      <w:r>
        <w:rPr>
          <w:rFonts w:hint="eastAsia" w:ascii="仿宋_GB2312" w:hAnsi="仿宋_GB2312" w:eastAsia="仿宋_GB2312" w:cs="仿宋_GB2312"/>
          <w:bCs/>
          <w:sz w:val="32"/>
          <w:szCs w:val="32"/>
        </w:rPr>
        <w:t>缩开支。</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（1）“三公”经费支出情况：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3</w:t>
      </w:r>
      <w:r>
        <w:rPr>
          <w:rFonts w:hint="eastAsia" w:ascii="仿宋_GB2312" w:hAnsi="仿宋" w:eastAsia="仿宋_GB2312"/>
          <w:sz w:val="32"/>
          <w:szCs w:val="32"/>
        </w:rPr>
        <w:t>年本单位“三公”经费支出为0.</w:t>
      </w:r>
      <w:r>
        <w:rPr>
          <w:rFonts w:ascii="仿宋_GB2312" w:hAnsi="仿宋" w:eastAsia="仿宋_GB2312"/>
          <w:sz w:val="32"/>
          <w:szCs w:val="32"/>
        </w:rPr>
        <w:t>21</w:t>
      </w:r>
      <w:r>
        <w:rPr>
          <w:rFonts w:hint="eastAsia" w:ascii="仿宋_GB2312" w:hAnsi="仿宋" w:eastAsia="仿宋_GB2312"/>
          <w:sz w:val="32"/>
          <w:szCs w:val="32"/>
        </w:rPr>
        <w:t>万元，202</w:t>
      </w:r>
      <w:r>
        <w:rPr>
          <w:rFonts w:ascii="仿宋_GB2312" w:hAnsi="仿宋" w:eastAsia="仿宋_GB2312"/>
          <w:sz w:val="32"/>
          <w:szCs w:val="32"/>
        </w:rPr>
        <w:t>2</w:t>
      </w:r>
      <w:r>
        <w:rPr>
          <w:rFonts w:hint="eastAsia" w:ascii="仿宋_GB2312" w:hAnsi="仿宋" w:eastAsia="仿宋_GB2312"/>
          <w:sz w:val="32"/>
          <w:szCs w:val="32"/>
        </w:rPr>
        <w:t>年本单位“三公”经费支出为0.</w:t>
      </w:r>
      <w:r>
        <w:rPr>
          <w:rFonts w:ascii="仿宋_GB2312" w:hAnsi="仿宋" w:eastAsia="仿宋_GB2312"/>
          <w:sz w:val="32"/>
          <w:szCs w:val="32"/>
        </w:rPr>
        <w:t>06</w:t>
      </w:r>
      <w:r>
        <w:rPr>
          <w:rFonts w:hint="eastAsia" w:ascii="仿宋_GB2312" w:hAnsi="仿宋" w:eastAsia="仿宋_GB2312"/>
          <w:sz w:val="32"/>
          <w:szCs w:val="32"/>
        </w:rPr>
        <w:t>万元,与上年相比较增加0.</w:t>
      </w:r>
      <w:r>
        <w:rPr>
          <w:rFonts w:ascii="仿宋_GB2312" w:hAnsi="仿宋" w:eastAsia="仿宋_GB2312"/>
          <w:sz w:val="32"/>
          <w:szCs w:val="32"/>
        </w:rPr>
        <w:t>15</w:t>
      </w:r>
      <w:r>
        <w:rPr>
          <w:rFonts w:hint="eastAsia" w:ascii="仿宋_GB2312" w:hAnsi="仿宋" w:eastAsia="仿宋_GB2312"/>
          <w:sz w:val="32"/>
          <w:szCs w:val="32"/>
        </w:rPr>
        <w:t>万元，主要用于公务接待。</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（2）会议费支出情况：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无</w:t>
      </w:r>
    </w:p>
    <w:p>
      <w:pPr>
        <w:numPr>
          <w:ilvl w:val="0"/>
          <w:numId w:val="2"/>
        </w:numPr>
        <w:snapToGrid w:val="0"/>
        <w:spacing w:line="520" w:lineRule="exact"/>
        <w:ind w:firstLine="640"/>
        <w:rPr>
          <w:rFonts w:hint="eastAsia" w:ascii="仿宋_GB2312" w:hAnsi="仿宋" w:eastAsia="仿宋_GB2312"/>
          <w:sz w:val="32"/>
          <w:szCs w:val="32"/>
        </w:rPr>
      </w:pPr>
      <w:r>
        <w:rPr>
          <w:rFonts w:hint="eastAsia" w:ascii="仿宋_GB2312" w:hAnsi="仿宋" w:eastAsia="仿宋_GB2312"/>
          <w:sz w:val="32"/>
          <w:szCs w:val="32"/>
        </w:rPr>
        <w:t>培训费支出情况：</w:t>
      </w:r>
    </w:p>
    <w:p>
      <w:pPr>
        <w:snapToGrid w:val="0"/>
        <w:spacing w:line="520" w:lineRule="exact"/>
        <w:ind w:firstLine="960" w:firstLineChars="300"/>
        <w:rPr>
          <w:rFonts w:ascii="仿宋_GB2312" w:hAnsi="仿宋" w:eastAsia="仿宋_GB2312"/>
          <w:sz w:val="32"/>
          <w:szCs w:val="32"/>
        </w:rPr>
      </w:pPr>
      <w:r>
        <w:rPr>
          <w:rFonts w:hint="eastAsia" w:ascii="仿宋_GB2312" w:hAnsi="仿宋" w:eastAsia="仿宋_GB2312"/>
          <w:sz w:val="32"/>
          <w:szCs w:val="32"/>
        </w:rPr>
        <w:t>2023年培训费用支出600元，与上年度相比增加600元，主要用于参加培训。</w:t>
      </w:r>
    </w:p>
    <w:p>
      <w:pPr>
        <w:numPr>
          <w:ilvl w:val="0"/>
          <w:numId w:val="2"/>
        </w:numPr>
        <w:snapToGrid w:val="0"/>
        <w:spacing w:line="520" w:lineRule="exact"/>
        <w:ind w:firstLine="640"/>
        <w:rPr>
          <w:rFonts w:hint="eastAsia" w:ascii="仿宋_GB2312" w:hAnsi="仿宋" w:eastAsia="仿宋_GB2312"/>
          <w:sz w:val="32"/>
          <w:szCs w:val="32"/>
        </w:rPr>
      </w:pPr>
      <w:r>
        <w:rPr>
          <w:rFonts w:hint="eastAsia" w:ascii="仿宋_GB2312" w:hAnsi="仿宋" w:eastAsia="仿宋_GB2312"/>
          <w:sz w:val="32"/>
          <w:szCs w:val="32"/>
        </w:rPr>
        <w:t>其他对单位影响较大的支出情况。</w:t>
      </w:r>
    </w:p>
    <w:p>
      <w:pPr>
        <w:snapToGrid w:val="0"/>
        <w:spacing w:line="520" w:lineRule="exact"/>
        <w:ind w:left="420" w:leftChars="200" w:firstLine="640" w:firstLineChars="200"/>
        <w:rPr>
          <w:rFonts w:hint="eastAsia" w:ascii="仿宋_GB2312" w:hAnsi="仿宋" w:eastAsia="仿宋_GB2312"/>
          <w:sz w:val="32"/>
          <w:szCs w:val="32"/>
        </w:rPr>
      </w:pPr>
      <w:r>
        <w:rPr>
          <w:rFonts w:hint="eastAsia" w:ascii="仿宋_GB2312" w:hAnsi="仿宋" w:eastAsia="仿宋_GB2312"/>
          <w:sz w:val="32"/>
          <w:szCs w:val="32"/>
        </w:rPr>
        <w:t>无</w:t>
      </w:r>
    </w:p>
    <w:p>
      <w:pPr>
        <w:numPr>
          <w:ilvl w:val="0"/>
          <w:numId w:val="2"/>
        </w:numPr>
        <w:snapToGrid w:val="0"/>
        <w:spacing w:line="520" w:lineRule="exact"/>
        <w:ind w:firstLine="640"/>
        <w:rPr>
          <w:rFonts w:hint="eastAsia" w:ascii="仿宋_GB2312" w:hAnsi="仿宋" w:eastAsia="仿宋_GB2312"/>
          <w:sz w:val="32"/>
          <w:szCs w:val="32"/>
        </w:rPr>
      </w:pPr>
      <w:r>
        <w:rPr>
          <w:rFonts w:hint="eastAsia" w:ascii="仿宋_GB2312" w:hAnsi="仿宋" w:eastAsia="仿宋_GB2312"/>
          <w:sz w:val="32"/>
          <w:szCs w:val="32"/>
        </w:rPr>
        <w:t>重点经济分类支出中存在的问题及改进措施。</w:t>
      </w:r>
    </w:p>
    <w:p>
      <w:pPr>
        <w:snapToGrid w:val="0"/>
        <w:spacing w:line="520" w:lineRule="exact"/>
        <w:ind w:left="420" w:leftChars="200" w:firstLine="640" w:firstLineChars="200"/>
        <w:rPr>
          <w:rFonts w:hint="eastAsia" w:eastAsia="仿宋_GB2312"/>
          <w:color w:val="000000"/>
          <w:sz w:val="32"/>
          <w:szCs w:val="32"/>
        </w:rPr>
      </w:pPr>
      <w:r>
        <w:rPr>
          <w:rFonts w:hint="eastAsia" w:ascii="仿宋_GB2312" w:hAnsi="仿宋" w:eastAsia="仿宋_GB2312"/>
          <w:sz w:val="32"/>
          <w:szCs w:val="32"/>
        </w:rPr>
        <w:t>无</w:t>
      </w:r>
    </w:p>
    <w:p>
      <w:pPr>
        <w:pStyle w:val="4"/>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pPr>
        <w:pStyle w:val="4"/>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（一）基本支出情况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基本支出</w:t>
      </w:r>
      <w:r>
        <w:rPr>
          <w:rFonts w:hint="eastAsia" w:ascii="仿宋_GB2312" w:hAnsi="仿宋" w:eastAsia="仿宋_GB2312" w:cs="Times New Roman"/>
          <w:sz w:val="32"/>
          <w:szCs w:val="32"/>
        </w:rPr>
        <w:t>为</w:t>
      </w:r>
      <w:r>
        <w:rPr>
          <w:rFonts w:hint="eastAsia" w:ascii="仿宋_GB2312" w:hAnsi="仿宋" w:eastAsia="仿宋_GB2312" w:cs="Times New Roman"/>
          <w:sz w:val="32"/>
          <w:szCs w:val="32"/>
          <w:lang w:val="en-US" w:eastAsia="zh-CN"/>
        </w:rPr>
        <w:t>89.6万</w:t>
      </w:r>
      <w:r>
        <w:rPr>
          <w:rFonts w:hint="eastAsia" w:ascii="仿宋_GB2312" w:hAnsi="仿宋" w:eastAsia="仿宋_GB2312" w:cs="Times New Roman"/>
          <w:sz w:val="32"/>
          <w:szCs w:val="32"/>
        </w:rPr>
        <w:t>元，是指为保障单位机构正常运转、完成日常工作任务而发生的各项支出</w:t>
      </w:r>
      <w:r>
        <w:rPr>
          <w:rFonts w:hint="eastAsia" w:ascii="宋体" w:hAnsi="宋体" w:eastAsia="宋体" w:cs="宋体"/>
          <w:color w:val="000000"/>
          <w:kern w:val="0"/>
          <w:sz w:val="30"/>
          <w:szCs w:val="30"/>
          <w:lang w:eastAsia="zh-CN"/>
        </w:rPr>
        <w:t>，</w:t>
      </w:r>
      <w:r>
        <w:rPr>
          <w:rFonts w:hint="eastAsia" w:ascii="仿宋_GB2312" w:hAnsi="仿宋" w:eastAsia="仿宋_GB2312"/>
          <w:sz w:val="32"/>
          <w:szCs w:val="32"/>
        </w:rPr>
        <w:t>其中人员经费为74.13万元，公用经费为12.76万元。</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项目支出情况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2023年项目支出9万元用于工伤政策宣传和工伤保险参保扩面工作</w:t>
      </w:r>
    </w:p>
    <w:p>
      <w:pPr>
        <w:pStyle w:val="4"/>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rPr>
          <w:rFonts w:hint="eastAsia" w:ascii="Times New Roman" w:hAnsi="Times New Roman" w:eastAsia="黑体"/>
          <w:sz w:val="32"/>
          <w:szCs w:val="32"/>
        </w:rPr>
      </w:pPr>
      <w:r>
        <w:rPr>
          <w:rFonts w:ascii="Times New Roman" w:hAnsi="Times New Roman" w:eastAsia="黑体"/>
          <w:sz w:val="32"/>
          <w:szCs w:val="32"/>
        </w:rPr>
        <w:t>三、政府性基金预算支出情况</w:t>
      </w:r>
      <w:r>
        <w:rPr>
          <w:rFonts w:hint="eastAsia" w:ascii="Times New Roman" w:hAnsi="Times New Roman" w:eastAsia="黑体"/>
          <w:sz w:val="32"/>
          <w:szCs w:val="32"/>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我单位无政府性基金预算支出情况</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640"/>
        <w:jc w:val="both"/>
        <w:textAlignment w:val="auto"/>
        <w:rPr>
          <w:rFonts w:hint="eastAsia" w:ascii="Times New Roman" w:hAnsi="Times New Roman" w:eastAsia="黑体"/>
          <w:sz w:val="32"/>
          <w:szCs w:val="32"/>
        </w:rPr>
      </w:pPr>
      <w:r>
        <w:rPr>
          <w:rFonts w:ascii="Times New Roman" w:hAnsi="Times New Roman" w:eastAsia="黑体"/>
          <w:sz w:val="32"/>
          <w:szCs w:val="32"/>
        </w:rPr>
        <w:t>国有资本经营预算支出情况</w:t>
      </w:r>
      <w:r>
        <w:rPr>
          <w:rFonts w:hint="eastAsia" w:ascii="Times New Roman" w:hAnsi="Times New Roman" w:eastAsia="黑体"/>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Times New Roman" w:hAnsi="Times New Roman" w:eastAsia="黑体"/>
          <w:sz w:val="32"/>
          <w:szCs w:val="32"/>
        </w:rPr>
      </w:pPr>
      <w:r>
        <w:rPr>
          <w:rFonts w:hint="eastAsia" w:ascii="Times New Roman" w:hAnsi="Times New Roman" w:eastAsia="仿宋_GB2312"/>
          <w:color w:val="000000"/>
          <w:sz w:val="32"/>
          <w:szCs w:val="32"/>
        </w:rPr>
        <w:t>我单位无国有资本经营预算支出情况</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黑体"/>
          <w:sz w:val="32"/>
          <w:szCs w:val="32"/>
        </w:rPr>
      </w:pPr>
      <w:r>
        <w:rPr>
          <w:rFonts w:ascii="Times New Roman" w:hAnsi="Times New Roman" w:eastAsia="黑体"/>
          <w:sz w:val="32"/>
          <w:szCs w:val="32"/>
        </w:rPr>
        <w:t>社会保险基金预算支出情况</w:t>
      </w:r>
      <w:r>
        <w:rPr>
          <w:rFonts w:hint="eastAsia" w:ascii="Times New Roman" w:hAnsi="Times New Roman" w:eastAsia="黑体"/>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both"/>
        <w:textAlignment w:val="auto"/>
        <w:rPr>
          <w:rFonts w:hint="eastAsia" w:ascii="Times New Roman" w:hAnsi="Times New Roman" w:eastAsia="黑体"/>
          <w:sz w:val="32"/>
          <w:szCs w:val="32"/>
        </w:rPr>
      </w:pPr>
      <w:r>
        <w:rPr>
          <w:rFonts w:hint="eastAsia" w:ascii="Times New Roman" w:hAnsi="Times New Roman" w:eastAsia="仿宋_GB2312"/>
          <w:color w:val="000000"/>
          <w:sz w:val="32"/>
          <w:szCs w:val="32"/>
        </w:rPr>
        <w:t>我单位无社会保险基金预算支出情况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eastAsia="黑体"/>
          <w:sz w:val="32"/>
          <w:szCs w:val="32"/>
        </w:rPr>
      </w:pPr>
      <w:r>
        <w:rPr>
          <w:rFonts w:eastAsia="黑体"/>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eastAsia="仿宋_GB2312"/>
          <w:color w:val="000000"/>
          <w:sz w:val="32"/>
          <w:szCs w:val="32"/>
        </w:rPr>
      </w:pPr>
      <w:r>
        <w:rPr>
          <w:rFonts w:eastAsia="仿宋_GB2312"/>
          <w:color w:val="000000"/>
          <w:sz w:val="32"/>
          <w:szCs w:val="32"/>
        </w:rPr>
        <w:t>总结归纳本部门（单位）“四本预算”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4"/>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年度我中心整体支出预算取得了一定的成效，同时也存在一定的问题:一是在资产管理上,制度和规定建立还不够健全和规范，对于资产的登记、入档、核销等工作不够及时。二是从绩效管理上看对整体支出绩效设定的目标和各项指标理解认识不够，细化量化不够，体现充分的服务效果不够。三是财务管理方面看，对财务专业人员的专业</w:t>
      </w:r>
      <w:r>
        <w:rPr>
          <w:rFonts w:hint="eastAsia" w:ascii="Times New Roman" w:hAnsi="Times New Roman" w:eastAsia="仿宋_GB2312" w:cs="Times New Roman"/>
          <w:color w:val="000000"/>
          <w:sz w:val="32"/>
          <w:szCs w:val="32"/>
          <w:lang w:val="en-US" w:eastAsia="zh-CN"/>
        </w:rPr>
        <w:t>能力培养</w:t>
      </w:r>
      <w:r>
        <w:rPr>
          <w:rFonts w:hint="eastAsia" w:ascii="Times New Roman" w:hAnsi="Times New Roman" w:eastAsia="仿宋_GB2312" w:cs="Times New Roman"/>
          <w:color w:val="000000"/>
          <w:sz w:val="32"/>
          <w:szCs w:val="32"/>
        </w:rPr>
        <w:t>不够，难以适应新形势财务管理不断深化发展的需要。</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640" w:firstLineChars="200"/>
        <w:jc w:val="both"/>
        <w:textAlignment w:val="auto"/>
        <w:rPr>
          <w:rFonts w:eastAsia="黑体"/>
          <w:sz w:val="32"/>
          <w:szCs w:val="32"/>
        </w:rPr>
      </w:pPr>
      <w:r>
        <w:rPr>
          <w:rFonts w:eastAsia="黑体"/>
          <w:sz w:val="32"/>
          <w:szCs w:val="32"/>
        </w:rPr>
        <w:t>下一步改进措施</w:t>
      </w:r>
    </w:p>
    <w:p>
      <w:pPr>
        <w:spacing w:line="600" w:lineRule="exact"/>
        <w:ind w:firstLine="640" w:firstLineChars="200"/>
        <w:rPr>
          <w:rFonts w:eastAsia="黑体"/>
          <w:sz w:val="32"/>
          <w:szCs w:val="32"/>
        </w:rPr>
      </w:pPr>
      <w:r>
        <w:rPr>
          <w:rFonts w:hint="eastAsia" w:eastAsia="黑体"/>
          <w:sz w:val="32"/>
          <w:szCs w:val="32"/>
          <w:lang w:val="en-US" w:eastAsia="zh-CN"/>
        </w:rPr>
        <w:t xml:space="preserve"> </w:t>
      </w:r>
      <w:r>
        <w:rPr>
          <w:rFonts w:hint="eastAsia" w:ascii="Times New Roman" w:hAnsi="Times New Roman" w:eastAsia="仿宋_GB2312" w:cs="Times New Roman"/>
          <w:color w:val="000000"/>
          <w:sz w:val="32"/>
          <w:szCs w:val="32"/>
        </w:rPr>
        <w:t>科学合理编制预算，严格执行预算 。加强预算编制的前瞻性，按照《预算法》及其实施条例的相关规定，结合上一年度预算执行情况和本年度预算收支变化因素，科学、合理地编制本年预算，执行中确需调整预算的，按规定程序报经批准。</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640" w:firstLineChars="200"/>
        <w:jc w:val="both"/>
        <w:textAlignment w:val="auto"/>
        <w:rPr>
          <w:rFonts w:eastAsia="黑体"/>
          <w:sz w:val="32"/>
          <w:szCs w:val="32"/>
        </w:rPr>
      </w:pPr>
      <w:r>
        <w:rPr>
          <w:rFonts w:eastAsia="黑体"/>
          <w:sz w:val="32"/>
          <w:szCs w:val="32"/>
        </w:rPr>
        <w:t>部门整体支出绩效自评结果拟应用和公开情况</w:t>
      </w:r>
    </w:p>
    <w:p>
      <w:pPr>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我单位202</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年度绩效评价得分为</w:t>
      </w:r>
      <w:r>
        <w:rPr>
          <w:rFonts w:hint="eastAsia" w:ascii="Times New Roman" w:hAnsi="Times New Roman" w:eastAsia="仿宋_GB2312" w:cs="Times New Roman"/>
          <w:color w:val="000000"/>
          <w:sz w:val="32"/>
          <w:szCs w:val="32"/>
          <w:lang w:val="en-US" w:eastAsia="zh-CN"/>
        </w:rPr>
        <w:t>100</w:t>
      </w:r>
      <w:r>
        <w:rPr>
          <w:rFonts w:hint="eastAsia"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lang w:val="en-US" w:eastAsia="zh-CN"/>
        </w:rPr>
        <w:t>并</w:t>
      </w:r>
      <w:r>
        <w:rPr>
          <w:rFonts w:hint="eastAsia" w:ascii="Times New Roman" w:hAnsi="Times New Roman" w:eastAsia="仿宋_GB2312" w:cs="Times New Roman"/>
          <w:color w:val="000000"/>
          <w:sz w:val="32"/>
          <w:szCs w:val="32"/>
        </w:rPr>
        <w:t>按要求及时在零陵区</w:t>
      </w:r>
      <w:r>
        <w:rPr>
          <w:rFonts w:hint="eastAsia" w:ascii="Times New Roman" w:hAnsi="Times New Roman" w:eastAsia="仿宋_GB2312" w:cs="Times New Roman"/>
          <w:color w:val="000000"/>
          <w:sz w:val="32"/>
          <w:szCs w:val="32"/>
          <w:lang w:val="en-US" w:eastAsia="zh-CN"/>
        </w:rPr>
        <w:t>人社局</w:t>
      </w:r>
      <w:r>
        <w:rPr>
          <w:rFonts w:hint="eastAsia" w:ascii="Times New Roman" w:hAnsi="Times New Roman" w:eastAsia="仿宋_GB2312" w:cs="Times New Roman"/>
          <w:color w:val="000000"/>
          <w:sz w:val="32"/>
          <w:szCs w:val="32"/>
        </w:rPr>
        <w:t>门户网站进行了公开。</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640" w:firstLineChars="200"/>
        <w:jc w:val="both"/>
        <w:textAlignment w:val="auto"/>
        <w:rPr>
          <w:rFonts w:eastAsia="黑体"/>
          <w:sz w:val="32"/>
          <w:szCs w:val="32"/>
        </w:rPr>
      </w:pPr>
      <w:r>
        <w:rPr>
          <w:rFonts w:eastAsia="黑体"/>
          <w:sz w:val="32"/>
          <w:szCs w:val="32"/>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60" w:firstLineChars="300"/>
        <w:jc w:val="both"/>
        <w:textAlignment w:val="auto"/>
        <w:rPr>
          <w:rFonts w:eastAsia="黑体"/>
          <w:sz w:val="32"/>
          <w:szCs w:val="32"/>
        </w:rPr>
      </w:pPr>
      <w:r>
        <w:rPr>
          <w:rFonts w:hint="eastAsia" w:ascii="宋体" w:hAnsi="宋体" w:eastAsia="宋体" w:cs="宋体"/>
          <w:color w:val="000000"/>
          <w:sz w:val="32"/>
          <w:szCs w:val="32"/>
          <w:shd w:val="clear" w:color="auto" w:fill="FFFFFF"/>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18A5A"/>
    <w:multiLevelType w:val="singleLevel"/>
    <w:tmpl w:val="94218A5A"/>
    <w:lvl w:ilvl="0" w:tentative="0">
      <w:start w:val="2"/>
      <w:numFmt w:val="chineseCounting"/>
      <w:suff w:val="nothing"/>
      <w:lvlText w:val="（%1）"/>
      <w:lvlJc w:val="left"/>
      <w:rPr>
        <w:rFonts w:hint="eastAsia"/>
      </w:rPr>
    </w:lvl>
  </w:abstractNum>
  <w:abstractNum w:abstractNumId="1">
    <w:nsid w:val="F22905B2"/>
    <w:multiLevelType w:val="singleLevel"/>
    <w:tmpl w:val="F22905B2"/>
    <w:lvl w:ilvl="0" w:tentative="0">
      <w:start w:val="4"/>
      <w:numFmt w:val="chineseCounting"/>
      <w:suff w:val="nothing"/>
      <w:lvlText w:val="%1、"/>
      <w:lvlJc w:val="left"/>
      <w:rPr>
        <w:rFonts w:hint="eastAsia"/>
      </w:rPr>
    </w:lvl>
  </w:abstractNum>
  <w:abstractNum w:abstractNumId="2">
    <w:nsid w:val="0461CD26"/>
    <w:multiLevelType w:val="singleLevel"/>
    <w:tmpl w:val="0461CD26"/>
    <w:lvl w:ilvl="0" w:tentative="0">
      <w:start w:val="8"/>
      <w:numFmt w:val="chineseCounting"/>
      <w:suff w:val="nothing"/>
      <w:lvlText w:val="%1、"/>
      <w:lvlJc w:val="left"/>
      <w:rPr>
        <w:rFonts w:hint="eastAsia"/>
      </w:rPr>
    </w:lvl>
  </w:abstractNum>
  <w:abstractNum w:abstractNumId="3">
    <w:nsid w:val="153D4F5D"/>
    <w:multiLevelType w:val="singleLevel"/>
    <w:tmpl w:val="153D4F5D"/>
    <w:lvl w:ilvl="0" w:tentative="0">
      <w:start w:val="3"/>
      <w:numFmt w:val="decimal"/>
      <w:suff w:val="nothing"/>
      <w:lvlText w:val="（%1）"/>
      <w:lvlJc w:val="left"/>
      <w:pPr>
        <w:ind w:left="-1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MTU0ZGU0Mzk1M2Q1ZmZjN2JiODAzMzQ5MTA1NTYifQ=="/>
  </w:docVars>
  <w:rsids>
    <w:rsidRoot w:val="3C3B785C"/>
    <w:rsid w:val="3C3B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kern w:val="0"/>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2024-05-09T00:30:00Z</dcterms:created>
  <dc:creator>Administrator</dc:creator>
  <cp:lastModifiedBy>Administrator</cp:lastModifiedBy>
  <dcterms:modified xsi:type="dcterms:W3CDTF">2024-05-09T00:31:36Z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1977B3BC807245AE89B5B14731FBC33E_11</vt:lpwstr>
  </property>
</Properties>
</file>