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4E6EF">
      <w:pPr>
        <w:spacing w:beforeLines="0" w:afterLines="0"/>
        <w:rPr>
          <w:rFonts w:hint="default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 w14:paraId="5DAE1826">
      <w:pPr>
        <w:spacing w:beforeLines="0" w:afterLines="0" w:line="600" w:lineRule="exact"/>
        <w:rPr>
          <w:rFonts w:hint="default" w:eastAsia="黑体"/>
          <w:sz w:val="32"/>
          <w:szCs w:val="32"/>
        </w:rPr>
      </w:pPr>
    </w:p>
    <w:p w14:paraId="7C5D3760">
      <w:pPr>
        <w:spacing w:beforeLines="0" w:afterLines="0" w:line="600" w:lineRule="exact"/>
        <w:rPr>
          <w:rFonts w:hint="default" w:eastAsia="黑体"/>
          <w:sz w:val="32"/>
          <w:szCs w:val="32"/>
        </w:rPr>
      </w:pPr>
    </w:p>
    <w:p w14:paraId="151C3139">
      <w:pPr>
        <w:spacing w:beforeLines="0" w:afterLines="0" w:line="600" w:lineRule="exact"/>
        <w:rPr>
          <w:rFonts w:hint="default" w:eastAsia="黑体"/>
          <w:sz w:val="32"/>
          <w:szCs w:val="32"/>
        </w:rPr>
      </w:pPr>
    </w:p>
    <w:p w14:paraId="6EA59375">
      <w:pPr>
        <w:spacing w:beforeLines="0" w:afterLines="0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2023年度永州市零陵区市场服务中心部门（单位）整体支出</w:t>
      </w:r>
    </w:p>
    <w:p w14:paraId="2BA8044D">
      <w:pPr>
        <w:spacing w:beforeLines="0" w:afterLines="0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绩效自评报告</w:t>
      </w:r>
    </w:p>
    <w:p w14:paraId="42D2CEBD">
      <w:pPr>
        <w:spacing w:beforeLines="0" w:afterLines="0"/>
        <w:jc w:val="center"/>
        <w:rPr>
          <w:rFonts w:hint="default" w:eastAsia="方正小标宋_GBK"/>
          <w:b/>
          <w:sz w:val="52"/>
          <w:szCs w:val="52"/>
        </w:rPr>
      </w:pPr>
    </w:p>
    <w:p w14:paraId="665CE46B">
      <w:pPr>
        <w:spacing w:beforeLines="0" w:afterLines="0"/>
        <w:jc w:val="center"/>
        <w:rPr>
          <w:rFonts w:hint="default" w:eastAsia="楷体_GB2312"/>
          <w:b/>
          <w:sz w:val="32"/>
          <w:szCs w:val="32"/>
        </w:rPr>
      </w:pPr>
    </w:p>
    <w:p w14:paraId="6FDBD1DF">
      <w:pPr>
        <w:spacing w:beforeLines="0" w:afterLines="0"/>
        <w:jc w:val="center"/>
        <w:rPr>
          <w:rFonts w:hint="default" w:eastAsia="楷体_GB2312"/>
          <w:b/>
          <w:sz w:val="32"/>
          <w:szCs w:val="32"/>
        </w:rPr>
      </w:pPr>
    </w:p>
    <w:p w14:paraId="6E2893BC">
      <w:pPr>
        <w:spacing w:beforeLines="0" w:afterLines="0"/>
        <w:jc w:val="center"/>
        <w:rPr>
          <w:rFonts w:hint="default" w:eastAsia="楷体_GB2312"/>
          <w:b/>
          <w:sz w:val="32"/>
          <w:szCs w:val="32"/>
        </w:rPr>
      </w:pPr>
    </w:p>
    <w:p w14:paraId="269A1757">
      <w:pPr>
        <w:spacing w:beforeLines="0" w:afterLines="0"/>
        <w:jc w:val="center"/>
        <w:rPr>
          <w:rFonts w:hint="default" w:eastAsia="楷体_GB2312"/>
          <w:b/>
          <w:sz w:val="32"/>
          <w:szCs w:val="32"/>
        </w:rPr>
      </w:pPr>
    </w:p>
    <w:p w14:paraId="08D26A90">
      <w:pPr>
        <w:spacing w:beforeLines="0" w:afterLines="0"/>
        <w:jc w:val="center"/>
        <w:rPr>
          <w:rFonts w:hint="default" w:eastAsia="楷体_GB2312"/>
          <w:b/>
          <w:sz w:val="32"/>
          <w:szCs w:val="32"/>
        </w:rPr>
      </w:pPr>
    </w:p>
    <w:p w14:paraId="74C5E49F">
      <w:pPr>
        <w:spacing w:beforeLines="0" w:afterLines="0"/>
        <w:jc w:val="center"/>
        <w:rPr>
          <w:rFonts w:hint="default" w:eastAsia="楷体_GB2312"/>
          <w:b/>
          <w:sz w:val="32"/>
          <w:szCs w:val="32"/>
        </w:rPr>
      </w:pPr>
    </w:p>
    <w:p w14:paraId="7BD19846">
      <w:pPr>
        <w:spacing w:beforeLines="0" w:afterLines="0"/>
        <w:jc w:val="center"/>
        <w:rPr>
          <w:rFonts w:hint="default" w:eastAsia="黑体"/>
          <w:sz w:val="32"/>
          <w:szCs w:val="32"/>
        </w:rPr>
      </w:pPr>
    </w:p>
    <w:p w14:paraId="48D37165">
      <w:pPr>
        <w:spacing w:beforeLines="0" w:afterLines="0"/>
        <w:jc w:val="center"/>
        <w:rPr>
          <w:rFonts w:hint="default" w:eastAsia="黑体"/>
          <w:sz w:val="32"/>
          <w:szCs w:val="32"/>
        </w:rPr>
      </w:pPr>
    </w:p>
    <w:p w14:paraId="341D8E6A">
      <w:pPr>
        <w:spacing w:beforeLines="0" w:afterLines="0" w:line="600" w:lineRule="exact"/>
        <w:jc w:val="center"/>
        <w:rPr>
          <w:rFonts w:hint="default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单位名称：</w:t>
      </w:r>
      <w:r>
        <w:rPr>
          <w:rFonts w:hint="eastAsia" w:eastAsia="仿宋_GB2312"/>
          <w:sz w:val="32"/>
          <w:szCs w:val="32"/>
          <w:u w:val="single"/>
        </w:rPr>
        <w:t>（盖章）</w:t>
      </w:r>
    </w:p>
    <w:p w14:paraId="0A153DAD"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2024年9月25日</w:t>
      </w:r>
    </w:p>
    <w:p w14:paraId="6103BD13">
      <w:pPr>
        <w:spacing w:beforeLines="0" w:afterLines="0"/>
        <w:jc w:val="center"/>
        <w:rPr>
          <w:rFonts w:hint="default" w:eastAsia="黑体"/>
          <w:sz w:val="32"/>
          <w:szCs w:val="32"/>
        </w:rPr>
      </w:pPr>
    </w:p>
    <w:p w14:paraId="16230BD1">
      <w:pPr>
        <w:spacing w:beforeLines="0" w:afterLines="0"/>
        <w:jc w:val="center"/>
        <w:rPr>
          <w:rFonts w:hint="default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（此页为封面）</w:t>
      </w:r>
    </w:p>
    <w:p w14:paraId="4375FFA1">
      <w:pPr>
        <w:numPr>
          <w:ilvl w:val="0"/>
          <w:numId w:val="0"/>
        </w:numPr>
        <w:spacing w:beforeLines="0" w:afterLines="0" w:line="4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default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部门（单位）基本情况</w:t>
      </w:r>
    </w:p>
    <w:p w14:paraId="139661F0">
      <w:pPr>
        <w:shd w:val="clear" w:color="auto" w:fill="FFFFFF"/>
        <w:spacing w:beforeLines="0" w:afterLines="0"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（一）部门（单位）职能职责、机构编制、人员构成等。</w:t>
      </w:r>
    </w:p>
    <w:p w14:paraId="5F32411A">
      <w:pPr>
        <w:spacing w:beforeLines="0" w:afterLines="0" w:line="4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（二）部门（单位）整体支出规模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包括但不限于部门整体支出情况、部门预算收支决算情况及“三公经费”支出使用和管理情况。</w:t>
      </w:r>
    </w:p>
    <w:p w14:paraId="7AAC8126">
      <w:pPr>
        <w:pStyle w:val="4"/>
        <w:spacing w:beforeLines="0" w:afterLines="0" w:line="460" w:lineRule="exact"/>
        <w:ind w:firstLine="64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二、一般公共预算支出情况</w:t>
      </w:r>
    </w:p>
    <w:p w14:paraId="0E083791">
      <w:pPr>
        <w:pStyle w:val="4"/>
        <w:spacing w:beforeLines="0" w:afterLines="0" w:line="4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（一）基本支出情况</w:t>
      </w:r>
    </w:p>
    <w:p w14:paraId="18DAE2E5">
      <w:pPr>
        <w:pStyle w:val="4"/>
        <w:spacing w:beforeLines="0" w:afterLines="0" w:line="4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（二）项目支出情况</w:t>
      </w:r>
    </w:p>
    <w:p w14:paraId="0BBCD68B">
      <w:pPr>
        <w:pStyle w:val="4"/>
        <w:spacing w:beforeLines="0" w:afterLines="0" w:line="46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三、政府性基金预算支出情况。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若无，请注明“我单位无政府性基金预算支出情况”</w:t>
      </w:r>
    </w:p>
    <w:p w14:paraId="0BDF769D">
      <w:pPr>
        <w:pStyle w:val="4"/>
        <w:spacing w:beforeLines="0" w:afterLines="0" w:line="46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四、国有资本经营预算支出情况。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若无，请注明“我单位无国有资本经营预算支出情况”</w:t>
      </w:r>
    </w:p>
    <w:p w14:paraId="3B502DB0">
      <w:pPr>
        <w:pStyle w:val="4"/>
        <w:spacing w:beforeLines="0" w:afterLines="0" w:line="460" w:lineRule="exact"/>
        <w:ind w:firstLine="64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五、社会保险基金预算支出情况。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若无，请注明“我单位无社会保险基金预算支出情况”</w:t>
      </w:r>
    </w:p>
    <w:p w14:paraId="5F7D6170">
      <w:pPr>
        <w:spacing w:beforeLines="0" w:afterLines="0" w:line="4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六、部门整体支出绩效情况</w:t>
      </w:r>
    </w:p>
    <w:p w14:paraId="56FBD0CE">
      <w:pPr>
        <w:spacing w:beforeLines="0" w:afterLines="0" w:line="460" w:lineRule="exact"/>
        <w:ind w:firstLine="640" w:firstLineChars="200"/>
        <w:rPr>
          <w:rFonts w:hint="default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总结归纳本部门（单位）“四本预算”支出的绩效目标完成情况，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14:paraId="620F3289">
      <w:pPr>
        <w:pStyle w:val="4"/>
        <w:spacing w:beforeLines="0" w:afterLines="0" w:line="460" w:lineRule="exact"/>
        <w:ind w:firstLine="640"/>
        <w:rPr>
          <w:rFonts w:hint="default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七、存在的问题及原因分析</w:t>
      </w:r>
    </w:p>
    <w:p w14:paraId="356E961D">
      <w:pPr>
        <w:spacing w:beforeLines="0" w:afterLines="0" w:line="46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可以从预算和预算绩效管理，部门履职效能，资金分配、使用和管理，资产和财务管理、政府采购等方面归纳存在的问题；反映各种</w:t>
      </w:r>
      <w:r>
        <w:rPr>
          <w:rFonts w:hint="eastAsia" w:eastAsia="仿宋_GB2312"/>
          <w:color w:val="000000"/>
          <w:sz w:val="32"/>
          <w:szCs w:val="32"/>
        </w:rPr>
        <w:t>预算支出执行偏离绩效目标的情况，</w:t>
      </w:r>
      <w:r>
        <w:rPr>
          <w:rFonts w:hint="eastAsia" w:eastAsia="仿宋_GB2312"/>
          <w:sz w:val="32"/>
          <w:szCs w:val="32"/>
        </w:rPr>
        <w:t>并分析其原因。</w:t>
      </w:r>
    </w:p>
    <w:p w14:paraId="6E29FB07">
      <w:pPr>
        <w:spacing w:beforeLines="0" w:afterLines="0" w:line="4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八、下一步改进措施</w:t>
      </w:r>
    </w:p>
    <w:p w14:paraId="4E7242E8">
      <w:pPr>
        <w:spacing w:beforeLines="0" w:afterLines="0" w:line="4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九、部门整体支出绩效自评结果拟应用和公开情况</w:t>
      </w:r>
    </w:p>
    <w:p w14:paraId="29E57D38">
      <w:pPr>
        <w:spacing w:beforeLines="0" w:afterLines="0" w:line="460" w:lineRule="exact"/>
        <w:ind w:firstLine="640" w:firstLineChars="200"/>
        <w:rPr>
          <w:rFonts w:hint="default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十、其他需要说明的情况</w:t>
      </w:r>
    </w:p>
    <w:p w14:paraId="27FA1983">
      <w:pPr>
        <w:spacing w:beforeLines="0" w:afterLines="0"/>
        <w:rPr>
          <w:rFonts w:hint="default"/>
          <w:sz w:val="21"/>
          <w:szCs w:val="24"/>
        </w:rPr>
      </w:pPr>
    </w:p>
    <w:p w14:paraId="4394A1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GNlMWRhOGM0NTIxYTRjMjdmMDE5MmExNzQ5YjEifQ=="/>
  </w:docVars>
  <w:rsids>
    <w:rsidRoot w:val="00000000"/>
    <w:rsid w:val="73C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kern w:val="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2024-09-27T08:18:01Z</dcterms:created>
  <dc:creator>Administrator</dc:creator>
  <cp:lastModifiedBy>Administrator</cp:lastModifiedBy>
  <dcterms:modified xsi:type="dcterms:W3CDTF">2024-09-27T08:18:17Z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EAB68321621349AD8DA5F28D62D0AE24_12</vt:lpwstr>
  </property>
</Properties>
</file>