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C33F0A">
      <w:pPr>
        <w:spacing w:line="540" w:lineRule="exact"/>
        <w:jc w:val="both"/>
        <w:rPr>
          <w:rFonts w:hint="eastAsia" w:ascii="方正小标宋简体" w:hAnsi="方正小标宋简体" w:eastAsia="方正小标宋简体" w:cs="方正小标宋简体"/>
          <w:b/>
          <w:bCs/>
          <w:sz w:val="36"/>
          <w:szCs w:val="36"/>
          <w:lang w:val="en-US" w:eastAsia="zh-CN"/>
        </w:rPr>
      </w:pPr>
      <w:r>
        <w:rPr>
          <w:rFonts w:hint="eastAsia" w:ascii="方正小标宋简体" w:hAnsi="方正小标宋简体" w:eastAsia="方正小标宋简体" w:cs="方正小标宋简体"/>
          <w:b/>
          <w:bCs/>
          <w:sz w:val="36"/>
          <w:szCs w:val="36"/>
          <w:lang w:val="en-US" w:eastAsia="zh-CN"/>
        </w:rPr>
        <w:t>附件 1</w:t>
      </w:r>
    </w:p>
    <w:p w14:paraId="7E758E24">
      <w:pPr>
        <w:spacing w:line="540" w:lineRule="exact"/>
        <w:jc w:val="both"/>
        <w:rPr>
          <w:rFonts w:hint="default" w:ascii="方正小标宋简体" w:hAnsi="方正小标宋简体" w:eastAsia="方正小标宋简体" w:cs="方正小标宋简体"/>
          <w:b/>
          <w:bCs/>
          <w:sz w:val="36"/>
          <w:szCs w:val="36"/>
          <w:lang w:val="en-US" w:eastAsia="zh-CN"/>
        </w:rPr>
      </w:pPr>
    </w:p>
    <w:p w14:paraId="29EE344F">
      <w:pPr>
        <w:spacing w:line="540" w:lineRule="exact"/>
        <w:ind w:left="622"/>
        <w:jc w:val="center"/>
        <w:rPr>
          <w:rFonts w:hint="eastAsia" w:ascii="方正小标宋简体" w:hAnsi="方正小标宋简体" w:eastAsia="方正小标宋简体" w:cs="方正小标宋简体"/>
          <w:b/>
          <w:bCs/>
          <w:sz w:val="44"/>
          <w:szCs w:val="44"/>
        </w:rPr>
      </w:pPr>
    </w:p>
    <w:p w14:paraId="494313BE">
      <w:pPr>
        <w:spacing w:line="240" w:lineRule="auto"/>
        <w:ind w:left="0"/>
        <w:jc w:val="center"/>
        <w:rPr>
          <w:rFonts w:hint="eastAsia" w:asciiTheme="majorEastAsia" w:hAnsiTheme="majorEastAsia" w:eastAsiaTheme="majorEastAsia" w:cstheme="majorEastAsia"/>
          <w:b/>
          <w:bCs/>
          <w:sz w:val="72"/>
          <w:szCs w:val="72"/>
        </w:rPr>
      </w:pPr>
      <w:r>
        <w:rPr>
          <w:rFonts w:hint="eastAsia" w:asciiTheme="majorEastAsia" w:hAnsiTheme="majorEastAsia" w:eastAsiaTheme="majorEastAsia" w:cstheme="majorEastAsia"/>
          <w:b/>
          <w:bCs/>
          <w:sz w:val="72"/>
          <w:szCs w:val="72"/>
        </w:rPr>
        <w:t>202</w:t>
      </w:r>
      <w:r>
        <w:rPr>
          <w:rFonts w:hint="eastAsia" w:asciiTheme="majorEastAsia" w:hAnsiTheme="majorEastAsia" w:eastAsiaTheme="majorEastAsia" w:cstheme="majorEastAsia"/>
          <w:b/>
          <w:bCs/>
          <w:sz w:val="72"/>
          <w:szCs w:val="72"/>
          <w:lang w:val="en-US" w:eastAsia="zh-CN"/>
        </w:rPr>
        <w:t>3</w:t>
      </w:r>
      <w:r>
        <w:rPr>
          <w:rFonts w:hint="eastAsia" w:asciiTheme="majorEastAsia" w:hAnsiTheme="majorEastAsia" w:eastAsiaTheme="majorEastAsia" w:cstheme="majorEastAsia"/>
          <w:b/>
          <w:bCs/>
          <w:sz w:val="72"/>
          <w:szCs w:val="72"/>
        </w:rPr>
        <w:t>年度</w:t>
      </w:r>
      <w:r>
        <w:rPr>
          <w:rFonts w:hint="eastAsia" w:asciiTheme="majorEastAsia" w:hAnsiTheme="majorEastAsia" w:eastAsiaTheme="majorEastAsia" w:cstheme="majorEastAsia"/>
          <w:b/>
          <w:bCs/>
          <w:sz w:val="72"/>
          <w:szCs w:val="72"/>
          <w:lang w:val="en-US" w:eastAsia="zh-CN"/>
        </w:rPr>
        <w:t>永州市</w:t>
      </w:r>
      <w:r>
        <w:rPr>
          <w:rFonts w:hint="eastAsia" w:asciiTheme="majorEastAsia" w:hAnsiTheme="majorEastAsia" w:eastAsiaTheme="majorEastAsia" w:cstheme="majorEastAsia"/>
          <w:b/>
          <w:bCs/>
          <w:sz w:val="72"/>
          <w:szCs w:val="72"/>
        </w:rPr>
        <w:t>零陵区老干部服务中心</w:t>
      </w:r>
      <w:r>
        <w:rPr>
          <w:rFonts w:hint="eastAsia" w:asciiTheme="majorEastAsia" w:hAnsiTheme="majorEastAsia" w:eastAsiaTheme="majorEastAsia" w:cstheme="majorEastAsia"/>
          <w:b/>
          <w:bCs/>
          <w:sz w:val="72"/>
          <w:szCs w:val="72"/>
          <w:lang w:val="en-US" w:eastAsia="zh-CN"/>
        </w:rPr>
        <w:t>部门</w:t>
      </w:r>
      <w:r>
        <w:rPr>
          <w:rFonts w:hint="eastAsia" w:asciiTheme="majorEastAsia" w:hAnsiTheme="majorEastAsia" w:eastAsiaTheme="majorEastAsia" w:cstheme="majorEastAsia"/>
          <w:b/>
          <w:bCs/>
          <w:sz w:val="72"/>
          <w:szCs w:val="72"/>
        </w:rPr>
        <w:t>整体支出绩效自评报告</w:t>
      </w:r>
    </w:p>
    <w:p w14:paraId="78406426"/>
    <w:p w14:paraId="366FEB31"/>
    <w:p w14:paraId="521DADC8"/>
    <w:p w14:paraId="73E0DCD6"/>
    <w:p w14:paraId="3C447EDD"/>
    <w:p w14:paraId="4082A6C5"/>
    <w:p w14:paraId="0BD72E9C"/>
    <w:p w14:paraId="7A0E701F"/>
    <w:p w14:paraId="10F8ECD2"/>
    <w:p w14:paraId="35F66E2B"/>
    <w:p w14:paraId="3757A1AF"/>
    <w:p w14:paraId="20CB10CE"/>
    <w:p w14:paraId="11BE2A82"/>
    <w:p w14:paraId="702FAADC"/>
    <w:p w14:paraId="527C2B44"/>
    <w:p w14:paraId="66A129BE"/>
    <w:p w14:paraId="53F2E7BF"/>
    <w:p w14:paraId="3E77A599"/>
    <w:p w14:paraId="4BFB63B7"/>
    <w:p w14:paraId="733FDD11"/>
    <w:p w14:paraId="2AD2D24B"/>
    <w:p w14:paraId="5602131B"/>
    <w:p w14:paraId="30DD6CBB"/>
    <w:p w14:paraId="4C4E187F"/>
    <w:p w14:paraId="2C6BE1B4"/>
    <w:p w14:paraId="351DC8FD"/>
    <w:p w14:paraId="5CD12C62">
      <w:pPr>
        <w:jc w:val="center"/>
        <w:rPr>
          <w:rFonts w:hint="default"/>
          <w:sz w:val="36"/>
          <w:szCs w:val="36"/>
          <w:lang w:val="en-US" w:eastAsia="zh-CN"/>
        </w:rPr>
      </w:pPr>
      <w:r>
        <w:rPr>
          <w:rFonts w:hint="eastAsia"/>
          <w:sz w:val="36"/>
          <w:szCs w:val="36"/>
          <w:lang w:val="en-US" w:eastAsia="zh-CN"/>
        </w:rPr>
        <w:t>单位名称：永州市零陵区老干部服务中心</w:t>
      </w:r>
    </w:p>
    <w:p w14:paraId="0B1F4005">
      <w:pPr>
        <w:jc w:val="center"/>
        <w:rPr>
          <w:rFonts w:hint="default"/>
          <w:sz w:val="36"/>
          <w:szCs w:val="36"/>
          <w:lang w:val="en-US" w:eastAsia="zh-CN"/>
        </w:rPr>
      </w:pPr>
      <w:r>
        <w:rPr>
          <w:rFonts w:hint="eastAsia"/>
          <w:sz w:val="36"/>
          <w:szCs w:val="36"/>
          <w:lang w:val="en-US" w:eastAsia="zh-CN"/>
        </w:rPr>
        <w:t>2024年4月24日</w:t>
      </w:r>
    </w:p>
    <w:p w14:paraId="160E7B5B">
      <w:pPr>
        <w:spacing w:before="312" w:beforeLines="100" w:line="360" w:lineRule="auto"/>
        <w:ind w:firstLine="640" w:firstLineChars="200"/>
        <w:rPr>
          <w:rFonts w:hint="default" w:ascii="黑体" w:hAnsi="黑体" w:eastAsia="黑体" w:cs="黑体"/>
          <w:bCs/>
          <w:sz w:val="32"/>
          <w:szCs w:val="32"/>
          <w:lang w:val="en-US" w:eastAsia="zh-CN"/>
        </w:rPr>
      </w:pPr>
      <w:r>
        <w:rPr>
          <w:rFonts w:hint="eastAsia" w:ascii="黑体" w:hAnsi="黑体" w:eastAsia="黑体" w:cs="黑体"/>
          <w:bCs/>
          <w:sz w:val="32"/>
          <w:szCs w:val="32"/>
        </w:rPr>
        <w:t>一、</w:t>
      </w:r>
      <w:r>
        <w:rPr>
          <w:rFonts w:hint="eastAsia" w:ascii="黑体" w:hAnsi="黑体" w:eastAsia="黑体" w:cs="黑体"/>
          <w:bCs/>
          <w:sz w:val="32"/>
          <w:szCs w:val="32"/>
          <w:lang w:val="en-US" w:eastAsia="zh-CN"/>
        </w:rPr>
        <w:t>基本情况</w:t>
      </w:r>
    </w:p>
    <w:p w14:paraId="48FA043F">
      <w:pPr>
        <w:pStyle w:val="4"/>
        <w:keepNext w:val="0"/>
        <w:keepLines w:val="0"/>
        <w:pageBreakBefore w:val="0"/>
        <w:widowControl w:val="0"/>
        <w:kinsoku/>
        <w:wordWrap/>
        <w:overflowPunct/>
        <w:topLinePunct w:val="0"/>
        <w:autoSpaceDE/>
        <w:autoSpaceDN/>
        <w:bidi w:val="0"/>
        <w:adjustRightInd/>
        <w:snapToGrid/>
        <w:spacing w:line="360" w:lineRule="auto"/>
        <w:ind w:left="10" w:firstLine="707" w:firstLineChars="221"/>
        <w:textAlignment w:val="auto"/>
        <w:rPr>
          <w:rFonts w:hint="eastAsia" w:ascii="仿宋_GB2312" w:hAnsi="仿宋_GB2312" w:eastAsia="仿宋_GB2312" w:cs="仿宋_GB2312"/>
          <w:bCs/>
          <w:kern w:val="2"/>
          <w:sz w:val="32"/>
          <w:szCs w:val="32"/>
          <w:lang w:val="en-US" w:eastAsia="zh-CN" w:bidi="ar-SA"/>
        </w:rPr>
      </w:pPr>
      <w:r>
        <w:rPr>
          <w:rFonts w:hint="eastAsia" w:ascii="仿宋_GB2312" w:hAnsi="仿宋_GB2312" w:cs="仿宋_GB2312"/>
          <w:bCs/>
          <w:kern w:val="2"/>
          <w:sz w:val="32"/>
          <w:szCs w:val="32"/>
          <w:lang w:val="en-US" w:eastAsia="zh-CN" w:bidi="ar-SA"/>
        </w:rPr>
        <w:t>永州市零陵区老干部服务中心是中共永州市零陵区区委组织部下属机构，</w:t>
      </w:r>
      <w:r>
        <w:rPr>
          <w:rFonts w:hint="eastAsia" w:ascii="仿宋_GB2312" w:hAnsi="仿宋_GB2312" w:eastAsia="仿宋_GB2312" w:cs="仿宋_GB2312"/>
          <w:bCs/>
          <w:kern w:val="2"/>
          <w:sz w:val="32"/>
          <w:szCs w:val="32"/>
          <w:lang w:val="en-US" w:eastAsia="zh-CN" w:bidi="ar-SA"/>
        </w:rPr>
        <w:t>行政上隶属永州市</w:t>
      </w:r>
      <w:r>
        <w:rPr>
          <w:rFonts w:hint="eastAsia" w:ascii="仿宋_GB2312" w:hAnsi="仿宋_GB2312" w:cs="仿宋_GB2312"/>
          <w:bCs/>
          <w:kern w:val="2"/>
          <w:sz w:val="32"/>
          <w:szCs w:val="32"/>
          <w:lang w:val="en-US" w:eastAsia="zh-CN" w:bidi="ar-SA"/>
        </w:rPr>
        <w:t>零陵区区委组织部</w:t>
      </w:r>
      <w:r>
        <w:rPr>
          <w:rFonts w:hint="eastAsia" w:ascii="仿宋_GB2312" w:hAnsi="仿宋_GB2312" w:eastAsia="仿宋_GB2312" w:cs="仿宋_GB2312"/>
          <w:bCs/>
          <w:kern w:val="2"/>
          <w:sz w:val="32"/>
          <w:szCs w:val="32"/>
          <w:lang w:val="en-US" w:eastAsia="zh-CN" w:bidi="ar-SA"/>
        </w:rPr>
        <w:t xml:space="preserve">管理。 </w:t>
      </w:r>
    </w:p>
    <w:p w14:paraId="1B4CF1C3">
      <w:pPr>
        <w:pStyle w:val="4"/>
        <w:keepNext w:val="0"/>
        <w:keepLines w:val="0"/>
        <w:pageBreakBefore w:val="0"/>
        <w:widowControl w:val="0"/>
        <w:kinsoku/>
        <w:wordWrap/>
        <w:overflowPunct/>
        <w:topLinePunct w:val="0"/>
        <w:autoSpaceDE/>
        <w:autoSpaceDN/>
        <w:bidi w:val="0"/>
        <w:adjustRightInd/>
        <w:snapToGrid/>
        <w:spacing w:line="360" w:lineRule="auto"/>
        <w:ind w:left="10" w:firstLine="707" w:firstLineChars="221"/>
        <w:textAlignment w:val="auto"/>
        <w:rPr>
          <w:rFonts w:hint="eastAsia" w:ascii="仿宋_GB2312" w:hAnsi="仿宋_GB2312" w:eastAsia="仿宋_GB2312" w:cs="仿宋_GB2312"/>
          <w:bCs/>
          <w:kern w:val="2"/>
          <w:sz w:val="32"/>
          <w:szCs w:val="32"/>
          <w:lang w:val="en-US" w:eastAsia="zh-CN" w:bidi="ar-SA"/>
        </w:rPr>
      </w:pPr>
      <w:r>
        <w:rPr>
          <w:rFonts w:hint="eastAsia" w:ascii="仿宋_GB2312" w:hAnsi="仿宋_GB2312" w:cs="仿宋_GB2312"/>
          <w:bCs/>
          <w:kern w:val="2"/>
          <w:sz w:val="32"/>
          <w:szCs w:val="32"/>
          <w:lang w:val="en-US" w:eastAsia="zh-CN" w:bidi="ar-SA"/>
        </w:rPr>
        <w:t>单位</w:t>
      </w:r>
      <w:r>
        <w:rPr>
          <w:rFonts w:hint="eastAsia" w:ascii="仿宋_GB2312" w:hAnsi="仿宋_GB2312" w:eastAsia="仿宋_GB2312" w:cs="仿宋_GB2312"/>
          <w:bCs/>
          <w:kern w:val="2"/>
          <w:sz w:val="32"/>
          <w:szCs w:val="32"/>
          <w:lang w:val="en-US" w:eastAsia="zh-CN" w:bidi="ar-SA"/>
        </w:rPr>
        <w:t>位于湖南省永州市零陵区</w:t>
      </w:r>
      <w:r>
        <w:rPr>
          <w:rFonts w:hint="eastAsia" w:ascii="仿宋_GB2312" w:hAnsi="仿宋_GB2312" w:cs="仿宋_GB2312"/>
          <w:bCs/>
          <w:kern w:val="2"/>
          <w:sz w:val="32"/>
          <w:szCs w:val="32"/>
          <w:lang w:val="en-US" w:eastAsia="zh-CN" w:bidi="ar-SA"/>
        </w:rPr>
        <w:t>南津中路121</w:t>
      </w:r>
      <w:r>
        <w:rPr>
          <w:rFonts w:hint="eastAsia" w:ascii="仿宋_GB2312" w:hAnsi="仿宋_GB2312" w:eastAsia="仿宋_GB2312" w:cs="仿宋_GB2312"/>
          <w:bCs/>
          <w:kern w:val="2"/>
          <w:sz w:val="32"/>
          <w:szCs w:val="32"/>
          <w:lang w:val="en-US" w:eastAsia="zh-CN" w:bidi="ar-SA"/>
        </w:rPr>
        <w:t>号。主要是</w:t>
      </w:r>
      <w:r>
        <w:rPr>
          <w:rFonts w:hint="eastAsia" w:ascii="仿宋_GB2312" w:hAnsi="仿宋" w:eastAsia="仿宋_GB2312" w:cs="Times New Roman"/>
          <w:sz w:val="32"/>
          <w:szCs w:val="32"/>
        </w:rPr>
        <w:t>为离退休老干部提供优质服务</w:t>
      </w:r>
      <w:r>
        <w:rPr>
          <w:rFonts w:hint="eastAsia" w:ascii="仿宋_GB2312" w:hAnsi="仿宋" w:cs="Times New Roman"/>
          <w:sz w:val="32"/>
          <w:szCs w:val="32"/>
          <w:lang w:eastAsia="zh-CN"/>
        </w:rPr>
        <w:t>，</w:t>
      </w:r>
      <w:r>
        <w:rPr>
          <w:rFonts w:hint="eastAsia" w:ascii="仿宋_GB2312" w:hAnsi="仿宋" w:eastAsia="仿宋_GB2312" w:cs="Times New Roman"/>
          <w:sz w:val="32"/>
          <w:szCs w:val="32"/>
        </w:rPr>
        <w:t>接待外来老干部</w:t>
      </w:r>
      <w:r>
        <w:rPr>
          <w:rFonts w:hint="eastAsia" w:ascii="仿宋_GB2312" w:hAnsi="仿宋" w:cs="Times New Roman"/>
          <w:sz w:val="32"/>
          <w:szCs w:val="32"/>
          <w:lang w:eastAsia="zh-CN"/>
        </w:rPr>
        <w:t>，</w:t>
      </w:r>
      <w:r>
        <w:rPr>
          <w:rFonts w:hint="eastAsia" w:ascii="仿宋_GB2312" w:hAnsi="仿宋" w:eastAsia="仿宋_GB2312" w:cs="Times New Roman"/>
          <w:sz w:val="32"/>
          <w:szCs w:val="32"/>
        </w:rPr>
        <w:t>负责组织安排离退休老干部政治娱乐、健身等服务活动。</w:t>
      </w:r>
    </w:p>
    <w:p w14:paraId="6F3E2904">
      <w:pPr>
        <w:pStyle w:val="4"/>
        <w:keepNext w:val="0"/>
        <w:keepLines w:val="0"/>
        <w:pageBreakBefore w:val="0"/>
        <w:widowControl w:val="0"/>
        <w:kinsoku/>
        <w:wordWrap/>
        <w:overflowPunct/>
        <w:topLinePunct w:val="0"/>
        <w:autoSpaceDE/>
        <w:autoSpaceDN/>
        <w:bidi w:val="0"/>
        <w:adjustRightInd/>
        <w:snapToGrid/>
        <w:spacing w:line="360" w:lineRule="auto"/>
        <w:ind w:left="10" w:firstLine="707" w:firstLineChars="221"/>
        <w:textAlignment w:val="auto"/>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机构编制管理部门核定人员编制数</w:t>
      </w:r>
      <w:r>
        <w:rPr>
          <w:rFonts w:hint="eastAsia" w:ascii="仿宋_GB2312" w:hAnsi="仿宋_GB2312" w:cs="仿宋_GB2312"/>
          <w:bCs/>
          <w:kern w:val="2"/>
          <w:sz w:val="32"/>
          <w:szCs w:val="32"/>
          <w:lang w:val="en-US" w:eastAsia="zh-CN" w:bidi="ar-SA"/>
        </w:rPr>
        <w:t>0</w:t>
      </w:r>
      <w:r>
        <w:rPr>
          <w:rFonts w:hint="eastAsia" w:ascii="仿宋_GB2312" w:hAnsi="仿宋_GB2312" w:eastAsia="仿宋_GB2312" w:cs="仿宋_GB2312"/>
          <w:bCs/>
          <w:kern w:val="2"/>
          <w:sz w:val="32"/>
          <w:szCs w:val="32"/>
          <w:lang w:val="en-US" w:eastAsia="zh-CN" w:bidi="ar-SA"/>
        </w:rPr>
        <w:t>个，截止2023年12月31日职工人数</w:t>
      </w:r>
      <w:r>
        <w:rPr>
          <w:rFonts w:hint="eastAsia" w:ascii="仿宋_GB2312" w:hAnsi="仿宋_GB2312" w:cs="仿宋_GB2312"/>
          <w:bCs/>
          <w:kern w:val="2"/>
          <w:sz w:val="32"/>
          <w:szCs w:val="32"/>
          <w:lang w:val="en-US" w:eastAsia="zh-CN" w:bidi="ar-SA"/>
        </w:rPr>
        <w:t>8</w:t>
      </w:r>
      <w:r>
        <w:rPr>
          <w:rFonts w:hint="eastAsia" w:ascii="仿宋_GB2312" w:hAnsi="仿宋_GB2312" w:eastAsia="仿宋_GB2312" w:cs="仿宋_GB2312"/>
          <w:bCs/>
          <w:kern w:val="2"/>
          <w:sz w:val="32"/>
          <w:szCs w:val="32"/>
          <w:lang w:val="en-US" w:eastAsia="zh-CN" w:bidi="ar-SA"/>
        </w:rPr>
        <w:t>人，其中属于行政正式编制人员0人，事业在编人员</w:t>
      </w:r>
      <w:r>
        <w:rPr>
          <w:rFonts w:hint="eastAsia" w:ascii="仿宋_GB2312" w:hAnsi="仿宋_GB2312" w:cs="仿宋_GB2312"/>
          <w:bCs/>
          <w:kern w:val="2"/>
          <w:sz w:val="32"/>
          <w:szCs w:val="32"/>
          <w:lang w:val="en-US" w:eastAsia="zh-CN" w:bidi="ar-SA"/>
        </w:rPr>
        <w:t>0</w:t>
      </w:r>
      <w:r>
        <w:rPr>
          <w:rFonts w:hint="eastAsia" w:ascii="仿宋_GB2312" w:hAnsi="仿宋_GB2312" w:eastAsia="仿宋_GB2312" w:cs="仿宋_GB2312"/>
          <w:bCs/>
          <w:kern w:val="2"/>
          <w:sz w:val="32"/>
          <w:szCs w:val="32"/>
          <w:lang w:val="en-US" w:eastAsia="zh-CN" w:bidi="ar-SA"/>
        </w:rPr>
        <w:t>人，聘请人员</w:t>
      </w:r>
      <w:r>
        <w:rPr>
          <w:rFonts w:hint="eastAsia" w:ascii="仿宋_GB2312" w:hAnsi="仿宋_GB2312" w:cs="仿宋_GB2312"/>
          <w:bCs/>
          <w:kern w:val="2"/>
          <w:sz w:val="32"/>
          <w:szCs w:val="32"/>
          <w:lang w:val="en-US" w:eastAsia="zh-CN" w:bidi="ar-SA"/>
        </w:rPr>
        <w:t>8</w:t>
      </w:r>
      <w:r>
        <w:rPr>
          <w:rFonts w:hint="eastAsia" w:ascii="仿宋_GB2312" w:hAnsi="仿宋_GB2312" w:eastAsia="仿宋_GB2312" w:cs="仿宋_GB2312"/>
          <w:bCs/>
          <w:kern w:val="2"/>
          <w:sz w:val="32"/>
          <w:szCs w:val="32"/>
          <w:lang w:val="en-US" w:eastAsia="zh-CN" w:bidi="ar-SA"/>
        </w:rPr>
        <w:t>人。</w:t>
      </w:r>
    </w:p>
    <w:p w14:paraId="1B7DC300">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永州市零陵区老干部服务中心执行《政府会计制度》。 </w:t>
      </w:r>
    </w:p>
    <w:p w14:paraId="3FE8D0D8">
      <w:pPr>
        <w:spacing w:before="312" w:beforeLines="100" w:line="360" w:lineRule="auto"/>
        <w:ind w:firstLine="640" w:firstLineChars="200"/>
        <w:rPr>
          <w:rFonts w:hint="default" w:ascii="仿宋" w:hAnsi="仿宋" w:eastAsia="仿宋" w:cs="仿宋"/>
          <w:b/>
          <w:sz w:val="32"/>
          <w:szCs w:val="32"/>
          <w:lang w:val="en-US" w:eastAsia="zh-CN"/>
        </w:rPr>
      </w:pPr>
      <w:r>
        <w:rPr>
          <w:rFonts w:hint="eastAsia" w:ascii="黑体" w:hAnsi="黑体" w:eastAsia="黑体" w:cs="黑体"/>
          <w:bCs/>
          <w:sz w:val="32"/>
          <w:szCs w:val="32"/>
          <w:lang w:val="en-US" w:eastAsia="zh-CN"/>
        </w:rPr>
        <w:t>二、一般公共预算支出情况</w:t>
      </w:r>
    </w:p>
    <w:p w14:paraId="3EC0710A">
      <w:pPr>
        <w:numPr>
          <w:ilvl w:val="0"/>
          <w:numId w:val="0"/>
        </w:numPr>
        <w:spacing w:line="360" w:lineRule="auto"/>
        <w:rPr>
          <w:rFonts w:hint="default" w:ascii="仿宋" w:hAnsi="仿宋" w:eastAsia="仿宋" w:cs="仿宋"/>
          <w:b/>
          <w:sz w:val="32"/>
          <w:szCs w:val="32"/>
          <w:lang w:val="en-US" w:eastAsia="zh-CN"/>
        </w:rPr>
      </w:pPr>
      <w:r>
        <w:rPr>
          <w:rFonts w:hint="eastAsia" w:ascii="仿宋" w:hAnsi="仿宋" w:eastAsia="仿宋" w:cs="仿宋"/>
          <w:b/>
          <w:sz w:val="32"/>
          <w:szCs w:val="32"/>
          <w:lang w:val="en-US" w:eastAsia="zh-CN"/>
        </w:rPr>
        <w:t xml:space="preserve">    （一）基本支出情况</w:t>
      </w:r>
    </w:p>
    <w:p w14:paraId="2A79D4B8">
      <w:pPr>
        <w:spacing w:line="360" w:lineRule="auto"/>
        <w:ind w:firstLine="640" w:firstLineChars="200"/>
        <w:rPr>
          <w:rFonts w:hint="default" w:ascii="仿宋_GB2312" w:hAnsi="仿宋_GB2312" w:eastAsia="仿宋_GB2312" w:cs="仿宋_GB2312"/>
          <w:bCs/>
          <w:sz w:val="32"/>
          <w:szCs w:val="32"/>
          <w:highlight w:val="yellow"/>
          <w:lang w:val="en-US" w:eastAsia="zh-CN"/>
        </w:rPr>
      </w:pPr>
      <w:r>
        <w:rPr>
          <w:rFonts w:hint="eastAsia" w:ascii="仿宋_GB2312" w:hAnsi="仿宋_GB2312" w:eastAsia="仿宋_GB2312" w:cs="仿宋_GB2312"/>
          <w:b w:val="0"/>
          <w:bCs/>
          <w:sz w:val="32"/>
          <w:szCs w:val="32"/>
          <w:lang w:val="en-US" w:eastAsia="zh-CN"/>
        </w:rPr>
        <w:t>2023年本单位无基本支出。</w:t>
      </w:r>
    </w:p>
    <w:p w14:paraId="4AF563DB">
      <w:pPr>
        <w:numPr>
          <w:ilvl w:val="0"/>
          <w:numId w:val="1"/>
        </w:numPr>
        <w:spacing w:line="360" w:lineRule="auto"/>
        <w:ind w:firstLine="643" w:firstLineChars="200"/>
        <w:rPr>
          <w:rFonts w:hint="eastAsia" w:ascii="仿宋" w:hAnsi="仿宋" w:eastAsia="仿宋" w:cs="仿宋"/>
          <w:b/>
          <w:bCs w:val="0"/>
          <w:sz w:val="32"/>
          <w:szCs w:val="32"/>
          <w:lang w:val="en-US" w:eastAsia="zh-CN"/>
        </w:rPr>
      </w:pPr>
      <w:r>
        <w:rPr>
          <w:rFonts w:hint="eastAsia" w:ascii="仿宋" w:hAnsi="仿宋" w:eastAsia="仿宋" w:cs="仿宋"/>
          <w:b/>
          <w:bCs w:val="0"/>
          <w:sz w:val="32"/>
          <w:szCs w:val="32"/>
          <w:lang w:val="en-US" w:eastAsia="zh-CN"/>
        </w:rPr>
        <w:t>项目支出情况</w:t>
      </w:r>
    </w:p>
    <w:p w14:paraId="69046B8F">
      <w:pPr>
        <w:numPr>
          <w:ilvl w:val="0"/>
          <w:numId w:val="0"/>
        </w:numPr>
        <w:spacing w:line="360" w:lineRule="auto"/>
        <w:ind w:firstLine="642"/>
        <w:rPr>
          <w:rFonts w:hint="eastAsia" w:ascii="仿宋_GB2312" w:hAnsi="仿宋_GB2312" w:eastAsia="仿宋_GB2312" w:cs="仿宋_GB2312"/>
          <w:bCs/>
          <w:sz w:val="32"/>
          <w:szCs w:val="32"/>
          <w:highlight w:val="none"/>
          <w:lang w:eastAsia="zh-CN"/>
        </w:rPr>
      </w:pPr>
      <w:r>
        <w:rPr>
          <w:rFonts w:hint="eastAsia" w:ascii="仿宋_GB2312" w:hAnsi="仿宋_GB2312" w:eastAsia="仿宋_GB2312" w:cs="仿宋_GB2312"/>
          <w:b w:val="0"/>
          <w:bCs/>
          <w:sz w:val="32"/>
          <w:szCs w:val="32"/>
          <w:highlight w:val="none"/>
          <w:lang w:val="en-US" w:eastAsia="zh-CN"/>
        </w:rPr>
        <w:t>2023年本单位项目支出共计38.13万元，其中</w:t>
      </w:r>
      <w:r>
        <w:rPr>
          <w:rFonts w:hint="eastAsia" w:ascii="仿宋_GB2312" w:hAnsi="仿宋_GB2312" w:eastAsia="仿宋_GB2312" w:cs="仿宋_GB2312"/>
          <w:b w:val="0"/>
          <w:bCs/>
          <w:sz w:val="32"/>
          <w:szCs w:val="32"/>
          <w:lang w:val="en-US" w:eastAsia="zh-CN"/>
        </w:rPr>
        <w:t>一般公共预算拨款支出20万元，纳入专户管理的非税收入拨款18.13万元</w:t>
      </w:r>
      <w:r>
        <w:rPr>
          <w:rFonts w:hint="eastAsia" w:ascii="仿宋_GB2312" w:hAnsi="仿宋_GB2312" w:eastAsia="仿宋_GB2312" w:cs="仿宋_GB2312"/>
          <w:b w:val="0"/>
          <w:bCs/>
          <w:sz w:val="32"/>
          <w:szCs w:val="32"/>
          <w:highlight w:val="none"/>
          <w:lang w:val="en-US" w:eastAsia="zh-CN"/>
        </w:rPr>
        <w:t>。按项目分为老年大学办公及教育教学经费支出，</w:t>
      </w:r>
      <w:r>
        <w:rPr>
          <w:rFonts w:hint="eastAsia" w:ascii="仿宋_GB2312" w:hAnsi="仿宋_GB2312" w:eastAsia="仿宋_GB2312" w:cs="仿宋_GB2312"/>
          <w:bCs/>
          <w:sz w:val="32"/>
          <w:szCs w:val="32"/>
          <w:highlight w:val="none"/>
        </w:rPr>
        <w:t>我</w:t>
      </w:r>
      <w:r>
        <w:rPr>
          <w:rFonts w:hint="eastAsia" w:ascii="仿宋_GB2312" w:hAnsi="仿宋_GB2312" w:eastAsia="仿宋_GB2312" w:cs="仿宋_GB2312"/>
          <w:bCs/>
          <w:sz w:val="32"/>
          <w:szCs w:val="32"/>
          <w:highlight w:val="none"/>
          <w:lang w:val="en-US" w:eastAsia="zh-CN"/>
        </w:rPr>
        <w:t>单位</w:t>
      </w:r>
      <w:r>
        <w:rPr>
          <w:rFonts w:hint="eastAsia" w:ascii="仿宋_GB2312" w:hAnsi="仿宋_GB2312" w:eastAsia="仿宋_GB2312" w:cs="仿宋_GB2312"/>
          <w:bCs/>
          <w:sz w:val="32"/>
          <w:szCs w:val="32"/>
          <w:highlight w:val="none"/>
        </w:rPr>
        <w:t>用于专项资金</w:t>
      </w:r>
      <w:r>
        <w:rPr>
          <w:rFonts w:hint="eastAsia" w:ascii="仿宋_GB2312" w:hAnsi="仿宋_GB2312" w:eastAsia="仿宋_GB2312" w:cs="仿宋_GB2312"/>
          <w:bCs/>
          <w:sz w:val="32"/>
          <w:szCs w:val="32"/>
          <w:highlight w:val="none"/>
          <w:lang w:val="en-US" w:eastAsia="zh-CN"/>
        </w:rPr>
        <w:t>38.13</w:t>
      </w:r>
      <w:r>
        <w:rPr>
          <w:rFonts w:hint="eastAsia" w:ascii="仿宋_GB2312" w:hAnsi="仿宋_GB2312" w:eastAsia="仿宋_GB2312" w:cs="仿宋_GB2312"/>
          <w:bCs/>
          <w:sz w:val="32"/>
          <w:szCs w:val="32"/>
          <w:highlight w:val="none"/>
        </w:rPr>
        <w:t>万元，使用率100%</w:t>
      </w:r>
      <w:r>
        <w:rPr>
          <w:rFonts w:hint="eastAsia" w:ascii="仿宋_GB2312" w:hAnsi="仿宋_GB2312" w:eastAsia="仿宋_GB2312" w:cs="仿宋_GB2312"/>
          <w:bCs/>
          <w:sz w:val="32"/>
          <w:szCs w:val="32"/>
          <w:highlight w:val="none"/>
          <w:lang w:eastAsia="zh-CN"/>
        </w:rPr>
        <w:t>。</w:t>
      </w:r>
    </w:p>
    <w:p w14:paraId="3F82BD59">
      <w:pPr>
        <w:numPr>
          <w:ilvl w:val="0"/>
          <w:numId w:val="0"/>
        </w:numPr>
        <w:spacing w:line="360" w:lineRule="auto"/>
        <w:ind w:firstLine="642"/>
        <w:rPr>
          <w:rFonts w:hint="default" w:ascii="仿宋_GB2312" w:hAnsi="仿宋_GB2312" w:eastAsia="仿宋_GB2312" w:cs="仿宋_GB2312"/>
          <w:b w:val="0"/>
          <w:bCs/>
          <w:sz w:val="32"/>
          <w:szCs w:val="32"/>
          <w:highlight w:val="none"/>
          <w:lang w:val="en-US" w:eastAsia="zh-CN"/>
        </w:rPr>
      </w:pPr>
      <w:r>
        <w:rPr>
          <w:rFonts w:hint="eastAsia" w:ascii="仿宋_GB2312" w:hAnsi="仿宋_GB2312" w:eastAsia="仿宋_GB2312" w:cs="仿宋_GB2312"/>
          <w:b w:val="0"/>
          <w:bCs/>
          <w:sz w:val="32"/>
          <w:szCs w:val="32"/>
          <w:highlight w:val="none"/>
          <w:lang w:val="en-US" w:eastAsia="zh-CN"/>
        </w:rPr>
        <w:t>老年大学办公及教育教学经费支出</w:t>
      </w:r>
      <w:r>
        <w:rPr>
          <w:rFonts w:hint="eastAsia" w:ascii="仿宋_GB2312" w:hAnsi="仿宋_GB2312" w:eastAsia="仿宋_GB2312" w:cs="仿宋_GB2312"/>
          <w:bCs/>
          <w:sz w:val="32"/>
          <w:szCs w:val="32"/>
          <w:highlight w:val="none"/>
          <w:lang w:val="en-US" w:eastAsia="zh-CN"/>
        </w:rPr>
        <w:t>38.13万元，其中</w:t>
      </w:r>
      <w:r>
        <w:rPr>
          <w:rFonts w:hint="eastAsia" w:ascii="仿宋_GB2312" w:hAnsi="仿宋_GB2312" w:eastAsia="仿宋_GB2312" w:cs="仿宋_GB2312"/>
          <w:b w:val="0"/>
          <w:bCs/>
          <w:sz w:val="32"/>
          <w:szCs w:val="32"/>
          <w:highlight w:val="none"/>
          <w:lang w:val="en-US" w:eastAsia="zh-CN"/>
        </w:rPr>
        <w:t>工资福利支出10.51万元，包括基本工资4.66万元、绩效工资5.85万元。主要用于支付聘用人员的薪资福利；商品和服务支出25.94万元。包括办公费10.94万元、水费0.13、电费1.13万元、邮电费1.56万元、差旅费0.26万元、维修（护）费2.23万元、劳务费8.54万元、其他交通费用0.1万元、其他商品和服务支出1.05万元。主要用于我单位开展老年大学教育教学及维护单位日常运行的支出；对个人和家庭的补助支出0.58万元；资本性支出1.1万元，用于办公设备的购置。</w:t>
      </w:r>
    </w:p>
    <w:p w14:paraId="6114B473">
      <w:pPr>
        <w:numPr>
          <w:ilvl w:val="0"/>
          <w:numId w:val="0"/>
        </w:numPr>
        <w:spacing w:before="312" w:beforeLines="100" w:line="360" w:lineRule="auto"/>
        <w:ind w:firstLine="320" w:firstLineChars="100"/>
        <w:rPr>
          <w:rFonts w:hint="eastAsia" w:ascii="黑体" w:hAnsi="黑体" w:eastAsia="黑体" w:cs="黑体"/>
          <w:bCs/>
          <w:sz w:val="32"/>
          <w:szCs w:val="32"/>
        </w:rPr>
      </w:pPr>
      <w:r>
        <w:rPr>
          <w:rFonts w:hint="eastAsia" w:ascii="仿宋" w:hAnsi="仿宋" w:eastAsia="仿宋" w:cs="仿宋"/>
          <w:b w:val="0"/>
          <w:bCs/>
          <w:sz w:val="32"/>
          <w:szCs w:val="32"/>
          <w:highlight w:val="none"/>
          <w:lang w:val="en-US" w:eastAsia="zh-CN"/>
        </w:rPr>
        <w:t xml:space="preserve">  </w:t>
      </w:r>
      <w:r>
        <w:rPr>
          <w:rFonts w:hint="eastAsia" w:ascii="黑体" w:hAnsi="黑体" w:eastAsia="黑体" w:cs="黑体"/>
          <w:bCs/>
          <w:sz w:val="32"/>
          <w:szCs w:val="32"/>
          <w:lang w:val="en-US" w:eastAsia="zh-CN"/>
        </w:rPr>
        <w:t>三、政府性基金预算支出情况</w:t>
      </w:r>
    </w:p>
    <w:p w14:paraId="77CFD406">
      <w:pPr>
        <w:ind w:firstLine="640" w:firstLineChars="200"/>
        <w:rPr>
          <w:rFonts w:hint="default" w:eastAsia="宋体"/>
          <w:sz w:val="30"/>
          <w:szCs w:val="30"/>
          <w:lang w:val="en-US" w:eastAsia="zh-CN"/>
        </w:rPr>
      </w:pPr>
      <w:r>
        <w:rPr>
          <w:rFonts w:hint="eastAsia" w:ascii="仿宋" w:hAnsi="仿宋" w:eastAsia="仿宋" w:cs="仿宋"/>
          <w:sz w:val="32"/>
          <w:szCs w:val="32"/>
          <w:lang w:val="en-US" w:eastAsia="zh-CN"/>
        </w:rPr>
        <w:t>2023年本部门无政府性基金预算支出情况</w:t>
      </w:r>
    </w:p>
    <w:p w14:paraId="190854BE">
      <w:pPr>
        <w:spacing w:before="312" w:beforeLines="100" w:line="360" w:lineRule="auto"/>
        <w:ind w:firstLine="640" w:firstLineChars="200"/>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四、国有资本经营预算支出情况</w:t>
      </w:r>
    </w:p>
    <w:p w14:paraId="25F33C45">
      <w:pPr>
        <w:numPr>
          <w:ilvl w:val="0"/>
          <w:numId w:val="0"/>
        </w:numPr>
        <w:ind w:leftChars="0"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2023年本部门无国有资本经营预算支出情况</w:t>
      </w:r>
    </w:p>
    <w:p w14:paraId="6EBF62C7">
      <w:pPr>
        <w:spacing w:before="312" w:beforeLines="100" w:line="360" w:lineRule="auto"/>
        <w:ind w:firstLine="640" w:firstLineChars="200"/>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五、社会保障基金预算支出情况</w:t>
      </w:r>
    </w:p>
    <w:p w14:paraId="501FAB95">
      <w:p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2023年本部门无社会保障基金预算支出情况</w:t>
      </w:r>
    </w:p>
    <w:p w14:paraId="0E447853">
      <w:pPr>
        <w:numPr>
          <w:ilvl w:val="0"/>
          <w:numId w:val="2"/>
        </w:numPr>
        <w:spacing w:before="312" w:beforeLines="100" w:line="360" w:lineRule="auto"/>
        <w:ind w:firstLine="640" w:firstLineChars="200"/>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部门整体支出绩效情况</w:t>
      </w:r>
    </w:p>
    <w:p w14:paraId="67C520F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eastAsia="仿宋_GB2312"/>
          <w:color w:val="000000"/>
          <w:sz w:val="32"/>
          <w:szCs w:val="32"/>
        </w:rPr>
      </w:pPr>
      <w:r>
        <w:rPr>
          <w:rFonts w:hint="eastAsia" w:ascii="黑体" w:hAnsi="黑体" w:eastAsia="黑体" w:cs="黑体"/>
          <w:bCs/>
          <w:sz w:val="32"/>
          <w:szCs w:val="32"/>
          <w:lang w:val="en-US" w:eastAsia="zh-CN"/>
        </w:rPr>
        <w:t xml:space="preserve"> </w:t>
      </w:r>
      <w:r>
        <w:rPr>
          <w:rFonts w:eastAsia="仿宋_GB2312"/>
          <w:color w:val="000000"/>
          <w:sz w:val="32"/>
          <w:szCs w:val="32"/>
        </w:rPr>
        <w:t>本</w:t>
      </w:r>
      <w:r>
        <w:rPr>
          <w:rFonts w:hint="eastAsia" w:eastAsia="仿宋_GB2312"/>
          <w:color w:val="000000"/>
          <w:sz w:val="32"/>
          <w:szCs w:val="32"/>
          <w:lang w:val="en-US" w:eastAsia="zh-CN"/>
        </w:rPr>
        <w:t>单位</w:t>
      </w:r>
      <w:r>
        <w:rPr>
          <w:rFonts w:eastAsia="仿宋_GB2312"/>
          <w:color w:val="000000"/>
          <w:sz w:val="32"/>
          <w:szCs w:val="32"/>
        </w:rPr>
        <w:t>“四本预算”支出的绩效目标</w:t>
      </w:r>
      <w:r>
        <w:rPr>
          <w:rFonts w:hint="eastAsia" w:eastAsia="仿宋_GB2312"/>
          <w:color w:val="000000"/>
          <w:sz w:val="32"/>
          <w:szCs w:val="32"/>
          <w:lang w:val="en-US" w:eastAsia="zh-CN"/>
        </w:rPr>
        <w:t>相比预算完成率为190.65%</w:t>
      </w:r>
      <w:r>
        <w:rPr>
          <w:rFonts w:eastAsia="仿宋_GB2312"/>
          <w:color w:val="000000"/>
          <w:sz w:val="32"/>
          <w:szCs w:val="32"/>
        </w:rPr>
        <w:t>，实现</w:t>
      </w:r>
      <w:r>
        <w:rPr>
          <w:rFonts w:hint="eastAsia" w:eastAsia="仿宋_GB2312"/>
          <w:color w:val="000000"/>
          <w:sz w:val="32"/>
          <w:szCs w:val="32"/>
          <w:lang w:val="en-US" w:eastAsia="zh-CN"/>
        </w:rPr>
        <w:t>了</w:t>
      </w:r>
      <w:r>
        <w:rPr>
          <w:rFonts w:eastAsia="仿宋_GB2312"/>
          <w:color w:val="000000"/>
          <w:sz w:val="32"/>
          <w:szCs w:val="32"/>
        </w:rPr>
        <w:t>产出和取得效益</w:t>
      </w:r>
      <w:r>
        <w:rPr>
          <w:rFonts w:hint="eastAsia" w:eastAsia="仿宋_GB2312"/>
          <w:color w:val="000000"/>
          <w:sz w:val="32"/>
          <w:szCs w:val="32"/>
          <w:lang w:val="en-US" w:eastAsia="zh-CN"/>
        </w:rPr>
        <w:t>相统筹</w:t>
      </w:r>
      <w:r>
        <w:rPr>
          <w:rFonts w:eastAsia="仿宋_GB2312"/>
          <w:color w:val="000000"/>
          <w:sz w:val="32"/>
          <w:szCs w:val="32"/>
        </w:rPr>
        <w:t>。</w:t>
      </w:r>
    </w:p>
    <w:p w14:paraId="462990C1">
      <w:pPr>
        <w:ind w:firstLine="640" w:firstLineChars="200"/>
        <w:rPr>
          <w:rFonts w:hint="eastAsia" w:ascii="仿宋" w:hAnsi="仿宋" w:eastAsia="仿宋" w:cs="仿宋"/>
          <w:sz w:val="32"/>
          <w:szCs w:val="32"/>
          <w:highlight w:val="yellow"/>
          <w:lang w:val="en-US" w:eastAsia="zh-CN"/>
        </w:rPr>
      </w:pPr>
      <w:r>
        <w:rPr>
          <w:rFonts w:hint="eastAsia" w:ascii="仿宋_GB2312" w:hAnsi="仿宋_GB2312" w:eastAsia="仿宋_GB2312" w:cs="仿宋_GB2312"/>
          <w:sz w:val="32"/>
          <w:szCs w:val="32"/>
          <w:highlight w:val="none"/>
          <w:lang w:val="en-US" w:eastAsia="zh-CN"/>
        </w:rPr>
        <w:t>从本部门职责履行情况上看总体效果较好，从经济效益来看，本部门按照预算做好了成本控制，在财政预算范围内控制年度开支，同时努力开展老年教育教学</w:t>
      </w:r>
      <w:bookmarkStart w:id="0" w:name="_GoBack"/>
      <w:bookmarkEnd w:id="0"/>
      <w:r>
        <w:rPr>
          <w:rFonts w:hint="eastAsia" w:ascii="仿宋_GB2312" w:hAnsi="仿宋_GB2312" w:eastAsia="仿宋_GB2312" w:cs="仿宋_GB2312"/>
          <w:sz w:val="32"/>
          <w:szCs w:val="32"/>
          <w:highlight w:val="none"/>
          <w:lang w:val="en-US" w:eastAsia="zh-CN"/>
        </w:rPr>
        <w:t>业务，增加收入；从效率性来看，本部门科室各司其职，根据其工作职责在计划时间内完成工作，在抓好质量的基础上提升工作的效率；从可持续发展来看，后续对预算内的资金、政策以及人员需要相配套，各管理制度需适应部门发展，及时补充和更新。</w:t>
      </w:r>
    </w:p>
    <w:p w14:paraId="2E3A31A4">
      <w:pPr>
        <w:spacing w:before="312" w:beforeLines="100" w:line="360" w:lineRule="auto"/>
        <w:ind w:firstLine="640" w:firstLineChars="200"/>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七、存在的问题及原因分析</w:t>
      </w:r>
    </w:p>
    <w:p w14:paraId="78F45EFA">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1、资金使用效益有待进一步提高。</w:t>
      </w:r>
    </w:p>
    <w:p w14:paraId="774C2D68">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2、绩效目标设立不够明确、细化和量化。</w:t>
      </w:r>
    </w:p>
    <w:p w14:paraId="56059FCE">
      <w:pPr>
        <w:spacing w:before="312" w:beforeLines="100" w:line="360" w:lineRule="auto"/>
        <w:ind w:firstLine="640" w:firstLineChars="200"/>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八、下一步改进措施</w:t>
      </w:r>
    </w:p>
    <w:p w14:paraId="5AEF3804">
      <w:pPr>
        <w:numPr>
          <w:ilvl w:val="0"/>
          <w:numId w:val="0"/>
        </w:numPr>
        <w:ind w:leftChars="0"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1、加强单位预算编制工作，根据人员情况开展业务需要，逐项做出预算计划，预算合理、不留缺口、不留空项。</w:t>
      </w:r>
    </w:p>
    <w:p w14:paraId="4B012DF1">
      <w:pPr>
        <w:numPr>
          <w:ilvl w:val="0"/>
          <w:numId w:val="0"/>
        </w:numPr>
        <w:ind w:leftChars="0"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加强业务培训，提高绩效评价水平。部门整体绩效评价工作是一项长期性的工作，专业性强，工作量大，建议财政部门进一步加强开展部门领导及经办人员相关的政策、业务工作培训，组织开展部门之间、单位之间的经验交流，切实推进绩效评价工作的开展。</w:t>
      </w:r>
    </w:p>
    <w:p w14:paraId="4BB56AC2">
      <w:pPr>
        <w:numPr>
          <w:ilvl w:val="0"/>
          <w:numId w:val="0"/>
        </w:numPr>
        <w:ind w:leftChars="0" w:firstLine="64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3、预算财务分析常态化，定期做好预算支出财务分析，做好部门整体支出预算评价工作。</w:t>
      </w:r>
    </w:p>
    <w:p w14:paraId="4F72FCB5">
      <w:pPr>
        <w:numPr>
          <w:ilvl w:val="0"/>
          <w:numId w:val="0"/>
        </w:numPr>
        <w:ind w:leftChars="0" w:firstLine="640"/>
        <w:rPr>
          <w:rFonts w:hint="eastAsia" w:ascii="仿宋_GB2312" w:hAnsi="仿宋_GB2312" w:eastAsia="仿宋_GB2312" w:cs="仿宋_GB2312"/>
          <w:sz w:val="32"/>
          <w:szCs w:val="32"/>
          <w:lang w:val="en-US" w:eastAsia="zh-CN"/>
        </w:rPr>
      </w:pPr>
    </w:p>
    <w:p w14:paraId="03EC7F00">
      <w:pPr>
        <w:numPr>
          <w:ilvl w:val="0"/>
          <w:numId w:val="3"/>
        </w:numPr>
        <w:spacing w:before="312" w:beforeLines="100" w:line="360" w:lineRule="auto"/>
        <w:ind w:firstLine="640" w:firstLineChars="200"/>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绩效自评结果拟应用和公开情况</w:t>
      </w:r>
    </w:p>
    <w:p w14:paraId="04A81E65">
      <w:pPr>
        <w:ind w:firstLine="640" w:firstLineChars="200"/>
        <w:rPr>
          <w:rFonts w:hint="eastAsia" w:ascii="仿宋" w:hAnsi="仿宋" w:eastAsia="仿宋" w:cs="仿宋"/>
          <w:sz w:val="32"/>
          <w:szCs w:val="32"/>
          <w:lang w:val="en-US" w:eastAsia="zh-CN"/>
        </w:rPr>
      </w:pPr>
      <w:r>
        <w:rPr>
          <w:rFonts w:hint="eastAsia" w:ascii="仿宋_GB2312" w:hAnsi="仿宋_GB2312" w:eastAsia="仿宋_GB2312" w:cs="仿宋_GB2312"/>
          <w:sz w:val="32"/>
          <w:szCs w:val="32"/>
          <w:lang w:val="en-US" w:eastAsia="zh-CN"/>
        </w:rPr>
        <w:t>我单位2023年度绩效评价得</w:t>
      </w:r>
      <w:r>
        <w:rPr>
          <w:rFonts w:hint="eastAsia" w:ascii="仿宋_GB2312" w:hAnsi="仿宋_GB2312" w:eastAsia="仿宋_GB2312" w:cs="仿宋_GB2312"/>
          <w:sz w:val="32"/>
          <w:szCs w:val="32"/>
          <w:highlight w:val="none"/>
          <w:lang w:val="en-US" w:eastAsia="zh-CN"/>
        </w:rPr>
        <w:t>分为99分，</w:t>
      </w:r>
      <w:r>
        <w:rPr>
          <w:rFonts w:hint="eastAsia" w:ascii="仿宋_GB2312" w:hAnsi="仿宋_GB2312" w:eastAsia="仿宋_GB2312" w:cs="仿宋_GB2312"/>
          <w:sz w:val="32"/>
          <w:szCs w:val="32"/>
          <w:lang w:val="en-US" w:eastAsia="zh-CN"/>
        </w:rPr>
        <w:t>按要求及时在永州市零陵区财政局各门户网站进行了公开。</w:t>
      </w:r>
    </w:p>
    <w:p w14:paraId="4EFEE984">
      <w:pPr>
        <w:spacing w:before="312" w:beforeLines="100" w:line="360" w:lineRule="auto"/>
        <w:ind w:firstLine="640" w:firstLineChars="200"/>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十、其他需要说明的情况</w:t>
      </w:r>
    </w:p>
    <w:p w14:paraId="4E194937">
      <w:pPr>
        <w:numPr>
          <w:ilvl w:val="0"/>
          <w:numId w:val="0"/>
        </w:numPr>
        <w:ind w:left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w:t>
      </w:r>
      <w:r>
        <w:rPr>
          <w:rFonts w:hint="eastAsia" w:ascii="仿宋_GB2312" w:hAnsi="仿宋_GB2312" w:eastAsia="仿宋_GB2312" w:cs="仿宋_GB2312"/>
          <w:sz w:val="32"/>
          <w:szCs w:val="32"/>
          <w:lang w:val="en-US" w:eastAsia="zh-CN"/>
        </w:rPr>
        <w:t>无其他需要说明的情况</w:t>
      </w:r>
    </w:p>
    <w:p w14:paraId="5A549B71">
      <w:pPr>
        <w:numPr>
          <w:ilvl w:val="0"/>
          <w:numId w:val="0"/>
        </w:numPr>
        <w:ind w:leftChars="0"/>
        <w:rPr>
          <w:rFonts w:hint="default"/>
          <w:b/>
          <w:bCs/>
          <w:sz w:val="32"/>
          <w:szCs w:val="32"/>
          <w:lang w:val="en-US" w:eastAsia="zh-CN"/>
        </w:rPr>
      </w:pPr>
    </w:p>
    <w:p w14:paraId="03CF501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宋体"/>
    <w:panose1 w:val="00000000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2DBCFE"/>
    <w:multiLevelType w:val="singleLevel"/>
    <w:tmpl w:val="B12DBCFE"/>
    <w:lvl w:ilvl="0" w:tentative="0">
      <w:start w:val="9"/>
      <w:numFmt w:val="chineseCounting"/>
      <w:suff w:val="nothing"/>
      <w:lvlText w:val="%1、"/>
      <w:lvlJc w:val="left"/>
      <w:rPr>
        <w:rFonts w:hint="eastAsia"/>
      </w:rPr>
    </w:lvl>
  </w:abstractNum>
  <w:abstractNum w:abstractNumId="1">
    <w:nsid w:val="478D34DE"/>
    <w:multiLevelType w:val="singleLevel"/>
    <w:tmpl w:val="478D34DE"/>
    <w:lvl w:ilvl="0" w:tentative="0">
      <w:start w:val="6"/>
      <w:numFmt w:val="chineseCounting"/>
      <w:suff w:val="nothing"/>
      <w:lvlText w:val="%1、"/>
      <w:lvlJc w:val="left"/>
      <w:rPr>
        <w:rFonts w:hint="eastAsia"/>
      </w:rPr>
    </w:lvl>
  </w:abstractNum>
  <w:abstractNum w:abstractNumId="2">
    <w:nsid w:val="4BE1F7C7"/>
    <w:multiLevelType w:val="singleLevel"/>
    <w:tmpl w:val="4BE1F7C7"/>
    <w:lvl w:ilvl="0" w:tentative="0">
      <w:start w:val="2"/>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U5MWVhNzQ2NDE3MGM0NDViMWNkNTk0OTFjOWZjYjUifQ=="/>
  </w:docVars>
  <w:rsids>
    <w:rsidRoot w:val="00000000"/>
    <w:rsid w:val="00A6705F"/>
    <w:rsid w:val="01893367"/>
    <w:rsid w:val="0283296D"/>
    <w:rsid w:val="04017AF1"/>
    <w:rsid w:val="04D903BC"/>
    <w:rsid w:val="04DE33C7"/>
    <w:rsid w:val="05537E7D"/>
    <w:rsid w:val="05961B84"/>
    <w:rsid w:val="07B13A63"/>
    <w:rsid w:val="0CAF0888"/>
    <w:rsid w:val="0D186C04"/>
    <w:rsid w:val="0D5C7053"/>
    <w:rsid w:val="0E2B19D5"/>
    <w:rsid w:val="0E766B8F"/>
    <w:rsid w:val="0F346E76"/>
    <w:rsid w:val="10A74913"/>
    <w:rsid w:val="10EB1ECE"/>
    <w:rsid w:val="118E716B"/>
    <w:rsid w:val="15714CB7"/>
    <w:rsid w:val="162756E0"/>
    <w:rsid w:val="19F863D7"/>
    <w:rsid w:val="19FC5667"/>
    <w:rsid w:val="1A307936"/>
    <w:rsid w:val="1A973146"/>
    <w:rsid w:val="1DE17893"/>
    <w:rsid w:val="1ECA482B"/>
    <w:rsid w:val="1FB83797"/>
    <w:rsid w:val="237869FA"/>
    <w:rsid w:val="24FE13C2"/>
    <w:rsid w:val="255D363B"/>
    <w:rsid w:val="276B3E9F"/>
    <w:rsid w:val="287D42FA"/>
    <w:rsid w:val="29226266"/>
    <w:rsid w:val="2AC50699"/>
    <w:rsid w:val="2ADB2CB7"/>
    <w:rsid w:val="2CAC29CC"/>
    <w:rsid w:val="2CB053A4"/>
    <w:rsid w:val="2CB52F9C"/>
    <w:rsid w:val="2CEF1073"/>
    <w:rsid w:val="2ECE1C9A"/>
    <w:rsid w:val="2ED43177"/>
    <w:rsid w:val="2EF052F8"/>
    <w:rsid w:val="2FCD5663"/>
    <w:rsid w:val="2FF25E0F"/>
    <w:rsid w:val="34931349"/>
    <w:rsid w:val="34BD7967"/>
    <w:rsid w:val="36226CDD"/>
    <w:rsid w:val="37923ADC"/>
    <w:rsid w:val="39176504"/>
    <w:rsid w:val="395E4A90"/>
    <w:rsid w:val="399F2D64"/>
    <w:rsid w:val="3D602FC8"/>
    <w:rsid w:val="3EA23EBB"/>
    <w:rsid w:val="3ED43706"/>
    <w:rsid w:val="4106607F"/>
    <w:rsid w:val="41722F86"/>
    <w:rsid w:val="419E7FFC"/>
    <w:rsid w:val="41E36146"/>
    <w:rsid w:val="41EE0D8B"/>
    <w:rsid w:val="42376A86"/>
    <w:rsid w:val="427E7D5A"/>
    <w:rsid w:val="447160C8"/>
    <w:rsid w:val="44A55A0F"/>
    <w:rsid w:val="4538322E"/>
    <w:rsid w:val="4706073F"/>
    <w:rsid w:val="4895639F"/>
    <w:rsid w:val="49A41634"/>
    <w:rsid w:val="4ACB24BF"/>
    <w:rsid w:val="4ADF3B5F"/>
    <w:rsid w:val="4BBF7647"/>
    <w:rsid w:val="4C19038E"/>
    <w:rsid w:val="4E365631"/>
    <w:rsid w:val="4E3C2BBF"/>
    <w:rsid w:val="4E7034CA"/>
    <w:rsid w:val="4F607E62"/>
    <w:rsid w:val="4F9E0E2B"/>
    <w:rsid w:val="50252251"/>
    <w:rsid w:val="51A568D2"/>
    <w:rsid w:val="51D40315"/>
    <w:rsid w:val="527F7B2A"/>
    <w:rsid w:val="53C94AB5"/>
    <w:rsid w:val="544669FD"/>
    <w:rsid w:val="55273E3D"/>
    <w:rsid w:val="57A34234"/>
    <w:rsid w:val="5B191241"/>
    <w:rsid w:val="5B271910"/>
    <w:rsid w:val="5B3005ED"/>
    <w:rsid w:val="5BDB60FC"/>
    <w:rsid w:val="5D5D0C97"/>
    <w:rsid w:val="5F7C4A2E"/>
    <w:rsid w:val="616F04B7"/>
    <w:rsid w:val="649D0C2F"/>
    <w:rsid w:val="64A97049"/>
    <w:rsid w:val="656B0071"/>
    <w:rsid w:val="65847407"/>
    <w:rsid w:val="673E1F2E"/>
    <w:rsid w:val="677B3383"/>
    <w:rsid w:val="682954B7"/>
    <w:rsid w:val="693C6013"/>
    <w:rsid w:val="6A857262"/>
    <w:rsid w:val="6AAB3A91"/>
    <w:rsid w:val="6F655ACF"/>
    <w:rsid w:val="742C1EDE"/>
    <w:rsid w:val="7519162B"/>
    <w:rsid w:val="78A23B4B"/>
    <w:rsid w:val="799F326C"/>
    <w:rsid w:val="7B117FAE"/>
    <w:rsid w:val="7B167CB6"/>
    <w:rsid w:val="7C1508DF"/>
    <w:rsid w:val="7C927A24"/>
    <w:rsid w:val="7D222746"/>
    <w:rsid w:val="7EE96E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样式5"/>
    <w:basedOn w:val="1"/>
    <w:autoRedefine/>
    <w:qFormat/>
    <w:uiPriority w:val="0"/>
    <w:pPr>
      <w:spacing w:line="520" w:lineRule="exact"/>
      <w:ind w:firstLine="643" w:firstLineChars="200"/>
    </w:pPr>
    <w:rPr>
      <w:rFonts w:eastAsia="仿宋_GB2312"/>
      <w:sz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1268</Words>
  <Characters>1373</Characters>
  <Lines>0</Lines>
  <Paragraphs>0</Paragraphs>
  <TotalTime>11</TotalTime>
  <ScaleCrop>false</ScaleCrop>
  <LinksUpToDate>false</LinksUpToDate>
  <CharactersWithSpaces>1387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2022-04-23T07:33:00Z</dcterms:created>
  <dc:creator>Administrator</dc:creator>
  <cp:lastModifiedBy>旧雨</cp:lastModifiedBy>
  <cp:lastPrinted>2022-04-28T01:51:00Z</cp:lastPrinted>
  <dcterms:modified xsi:type="dcterms:W3CDTF">2024-09-29T00:35:55Z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2AEEE60A27544539BED13151FC5B228C</vt:lpwstr>
  </property>
</Properties>
</file>