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eastAsia="方正小标宋_GBK"/>
          <w:sz w:val="48"/>
          <w:szCs w:val="48"/>
        </w:rPr>
      </w:pPr>
      <w:r>
        <w:rPr>
          <w:rFonts w:hint="eastAsia" w:eastAsia="方正小标宋_GBK"/>
          <w:sz w:val="48"/>
          <w:szCs w:val="48"/>
          <w:lang w:eastAsia="zh-CN"/>
        </w:rPr>
        <w:t>2023</w:t>
      </w:r>
      <w:r>
        <w:rPr>
          <w:rFonts w:eastAsia="方正小标宋_GBK"/>
          <w:sz w:val="48"/>
          <w:szCs w:val="48"/>
        </w:rPr>
        <w:t>年度</w:t>
      </w:r>
      <w:r>
        <w:rPr>
          <w:rFonts w:hint="eastAsia" w:eastAsia="方正小标宋_GBK"/>
          <w:sz w:val="48"/>
          <w:szCs w:val="48"/>
        </w:rPr>
        <w:t>零陵区总工会</w:t>
      </w:r>
      <w:r>
        <w:rPr>
          <w:rFonts w:eastAsia="方正小标宋_GBK"/>
          <w:sz w:val="48"/>
          <w:szCs w:val="48"/>
        </w:rPr>
        <w:t>整体支出</w:t>
      </w:r>
    </w:p>
    <w:p>
      <w:pPr>
        <w:jc w:val="center"/>
        <w:rPr>
          <w:rFonts w:eastAsia="方正小标宋_GBK"/>
          <w:sz w:val="48"/>
          <w:szCs w:val="48"/>
        </w:rPr>
      </w:pPr>
      <w:r>
        <w:rPr>
          <w:rFonts w:eastAsia="方正小标宋_GBK"/>
          <w:sz w:val="48"/>
          <w:szCs w:val="48"/>
        </w:rPr>
        <w:t>绩效自评报告</w:t>
      </w:r>
    </w:p>
    <w:p>
      <w:pPr>
        <w:jc w:val="center"/>
        <w:rPr>
          <w:rFonts w:eastAsia="楷体_GB2312"/>
          <w:b/>
          <w:sz w:val="32"/>
          <w:szCs w:val="32"/>
        </w:rPr>
      </w:pPr>
    </w:p>
    <w:p>
      <w:pPr>
        <w:jc w:val="center"/>
        <w:rPr>
          <w:rFonts w:eastAsia="黑体"/>
          <w:sz w:val="32"/>
          <w:szCs w:val="32"/>
        </w:rPr>
      </w:pPr>
    </w:p>
    <w:p>
      <w:pPr>
        <w:jc w:val="center"/>
        <w:rPr>
          <w:rFonts w:eastAsia="黑体"/>
          <w:sz w:val="32"/>
          <w:szCs w:val="32"/>
        </w:rPr>
      </w:pPr>
    </w:p>
    <w:p>
      <w:pPr>
        <w:jc w:val="center"/>
        <w:rPr>
          <w:rFonts w:eastAsia="黑体"/>
          <w:sz w:val="32"/>
          <w:szCs w:val="32"/>
        </w:rPr>
      </w:pPr>
    </w:p>
    <w:p>
      <w:pPr>
        <w:jc w:val="center"/>
        <w:rPr>
          <w:rFonts w:eastAsia="黑体"/>
          <w:sz w:val="32"/>
          <w:szCs w:val="32"/>
        </w:rPr>
      </w:pPr>
    </w:p>
    <w:p>
      <w:pPr>
        <w:jc w:val="center"/>
        <w:rPr>
          <w:rFonts w:eastAsia="黑体"/>
          <w:sz w:val="32"/>
          <w:szCs w:val="32"/>
        </w:rPr>
      </w:pPr>
    </w:p>
    <w:p>
      <w:pPr>
        <w:jc w:val="center"/>
        <w:rPr>
          <w:rFonts w:eastAsia="黑体"/>
          <w:sz w:val="32"/>
          <w:szCs w:val="32"/>
        </w:rPr>
      </w:pPr>
    </w:p>
    <w:p>
      <w:pPr>
        <w:jc w:val="center"/>
        <w:rPr>
          <w:rFonts w:eastAsia="黑体"/>
          <w:sz w:val="32"/>
          <w:szCs w:val="32"/>
        </w:rPr>
      </w:pPr>
    </w:p>
    <w:p>
      <w:pPr>
        <w:ind w:firstLine="880" w:firstLineChars="200"/>
        <w:jc w:val="center"/>
        <w:rPr>
          <w:rFonts w:eastAsia="黑体"/>
          <w:sz w:val="44"/>
          <w:szCs w:val="44"/>
        </w:rPr>
      </w:pPr>
      <w:bookmarkStart w:id="0" w:name="_GoBack"/>
      <w:bookmarkEnd w:id="0"/>
    </w:p>
    <w:p>
      <w:pPr>
        <w:ind w:firstLine="880" w:firstLineChars="200"/>
        <w:jc w:val="center"/>
        <w:rPr>
          <w:rFonts w:eastAsia="黑体"/>
          <w:sz w:val="44"/>
          <w:szCs w:val="44"/>
        </w:rPr>
      </w:pPr>
    </w:p>
    <w:p>
      <w:pPr>
        <w:ind w:firstLine="880" w:firstLineChars="200"/>
        <w:jc w:val="center"/>
        <w:rPr>
          <w:rFonts w:eastAsia="黑体"/>
          <w:sz w:val="44"/>
          <w:szCs w:val="44"/>
        </w:rPr>
      </w:pPr>
    </w:p>
    <w:p>
      <w:pPr>
        <w:ind w:firstLine="720" w:firstLineChars="200"/>
        <w:jc w:val="center"/>
        <w:rPr>
          <w:rFonts w:eastAsia="黑体"/>
          <w:sz w:val="36"/>
          <w:szCs w:val="36"/>
        </w:rPr>
      </w:pPr>
      <w:r>
        <w:rPr>
          <w:rFonts w:hint="eastAsia" w:eastAsia="黑体"/>
          <w:sz w:val="36"/>
          <w:szCs w:val="36"/>
          <w:lang w:eastAsia="zh-CN"/>
        </w:rPr>
        <w:t>永州市</w:t>
      </w:r>
      <w:r>
        <w:rPr>
          <w:rFonts w:hint="eastAsia" w:eastAsia="黑体"/>
          <w:sz w:val="36"/>
          <w:szCs w:val="36"/>
        </w:rPr>
        <w:t>零陵区总工会</w:t>
      </w:r>
    </w:p>
    <w:p>
      <w:pPr>
        <w:jc w:val="center"/>
        <w:rPr>
          <w:rFonts w:eastAsia="仿宋_GB2312"/>
          <w:sz w:val="32"/>
          <w:szCs w:val="32"/>
        </w:rPr>
      </w:pPr>
    </w:p>
    <w:p>
      <w:pPr>
        <w:jc w:val="center"/>
        <w:rPr>
          <w:rFonts w:eastAsia="仿宋_GB2312"/>
          <w:sz w:val="32"/>
          <w:szCs w:val="32"/>
        </w:rPr>
      </w:pPr>
    </w:p>
    <w:p>
      <w:pPr>
        <w:jc w:val="center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（此页为封面）</w:t>
      </w:r>
    </w:p>
    <w:p>
      <w:pPr>
        <w:jc w:val="center"/>
        <w:rPr>
          <w:rFonts w:eastAsia="黑体"/>
          <w:sz w:val="36"/>
          <w:szCs w:val="36"/>
        </w:rPr>
      </w:pPr>
    </w:p>
    <w:p>
      <w:pPr>
        <w:jc w:val="center"/>
        <w:rPr>
          <w:rFonts w:eastAsia="黑体"/>
          <w:sz w:val="32"/>
          <w:szCs w:val="32"/>
        </w:rPr>
      </w:pPr>
    </w:p>
    <w:p>
      <w:pPr>
        <w:ind w:firstLine="640" w:firstLineChars="200"/>
        <w:rPr>
          <w:rFonts w:eastAsia="黑体"/>
          <w:sz w:val="32"/>
          <w:szCs w:val="32"/>
        </w:rPr>
      </w:pPr>
    </w:p>
    <w:p>
      <w:pPr>
        <w:ind w:firstLine="640" w:firstLineChars="200"/>
        <w:rPr>
          <w:rFonts w:eastAsia="黑体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hint="eastAsia" w:eastAsia="黑体"/>
          <w:sz w:val="32"/>
          <w:szCs w:val="32"/>
        </w:rPr>
      </w:pPr>
      <w:r>
        <w:rPr>
          <w:rFonts w:eastAsia="黑体"/>
          <w:sz w:val="32"/>
          <w:szCs w:val="32"/>
        </w:rPr>
        <w:t>一、基本情况</w:t>
      </w:r>
    </w:p>
    <w:p>
      <w:pPr>
        <w:spacing w:line="600" w:lineRule="exact"/>
        <w:ind w:firstLine="643" w:firstLineChars="200"/>
        <w:rPr>
          <w:rFonts w:eastAsia="楷体_GB2312"/>
          <w:b/>
          <w:sz w:val="32"/>
          <w:szCs w:val="32"/>
        </w:rPr>
      </w:pPr>
      <w:r>
        <w:rPr>
          <w:rFonts w:eastAsia="楷体_GB2312"/>
          <w:b/>
          <w:sz w:val="32"/>
          <w:szCs w:val="32"/>
        </w:rPr>
        <w:t>（一）部门（单位）基本情况</w:t>
      </w:r>
    </w:p>
    <w:p>
      <w:pPr>
        <w:pStyle w:val="4"/>
        <w:spacing w:line="600" w:lineRule="exact"/>
        <w:ind w:firstLine="640"/>
        <w:rPr>
          <w:rFonts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1．主要职能。</w:t>
      </w:r>
    </w:p>
    <w:p>
      <w:pPr>
        <w:pStyle w:val="4"/>
        <w:spacing w:line="600" w:lineRule="exact"/>
        <w:ind w:firstLine="640"/>
        <w:rPr>
          <w:rFonts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我单位主要工作职责是：履行维护、建设、参与、教育四项社会职能，团结和带领全区广大职工为社会主义现代化建设做出更大贡献；</w:t>
      </w:r>
      <w:r>
        <w:rPr>
          <w:rFonts w:ascii="Times New Roman" w:hAnsi="Times New Roman" w:eastAsia="仿宋_GB2312"/>
          <w:color w:val="000000"/>
          <w:sz w:val="32"/>
          <w:szCs w:val="32"/>
        </w:rPr>
        <w:t>承办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区</w:t>
      </w:r>
      <w:r>
        <w:rPr>
          <w:rFonts w:ascii="Times New Roman" w:hAnsi="Times New Roman" w:eastAsia="仿宋_GB2312"/>
          <w:color w:val="000000"/>
          <w:sz w:val="32"/>
          <w:szCs w:val="32"/>
        </w:rPr>
        <w:t>人民政府交办的其他事项。</w:t>
      </w:r>
    </w:p>
    <w:p>
      <w:pPr>
        <w:pStyle w:val="4"/>
        <w:spacing w:line="600" w:lineRule="exact"/>
        <w:ind w:firstLine="640"/>
        <w:rPr>
          <w:rFonts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2．机构情况。</w:t>
      </w:r>
    </w:p>
    <w:p>
      <w:pPr>
        <w:pStyle w:val="4"/>
        <w:spacing w:line="600" w:lineRule="exact"/>
        <w:ind w:firstLine="640"/>
        <w:rPr>
          <w:rFonts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（1）零陵区总工会内设机构为</w:t>
      </w:r>
      <w:r>
        <w:rPr>
          <w:rFonts w:ascii="Times New Roman" w:hAnsi="Times New Roman" w:eastAsia="仿宋_GB2312"/>
          <w:color w:val="000000"/>
          <w:sz w:val="32"/>
          <w:szCs w:val="32"/>
        </w:rPr>
        <w:t>3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个：女工财务部、组宣部、综合办公室，直属事业单位</w:t>
      </w:r>
      <w:r>
        <w:rPr>
          <w:rFonts w:ascii="Times New Roman" w:hAnsi="Times New Roman" w:eastAsia="仿宋_GB2312"/>
          <w:color w:val="000000"/>
          <w:sz w:val="32"/>
          <w:szCs w:val="32"/>
        </w:rPr>
        <w:t>2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个：职工服务中心、工人文化宫，</w:t>
      </w:r>
      <w:r>
        <w:rPr>
          <w:rFonts w:ascii="Times New Roman" w:hAnsi="Times New Roman" w:eastAsia="仿宋_GB2312"/>
          <w:color w:val="000000"/>
          <w:sz w:val="32"/>
          <w:szCs w:val="32"/>
        </w:rPr>
        <w:t>其中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工人文化宫为财务独立核算单位。</w:t>
      </w:r>
    </w:p>
    <w:p>
      <w:pPr>
        <w:pStyle w:val="4"/>
        <w:spacing w:line="600" w:lineRule="exact"/>
        <w:ind w:firstLine="640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（2）决算单位构成。零陵区总工会</w:t>
      </w:r>
      <w:r>
        <w:rPr>
          <w:rFonts w:hint="eastAsia" w:ascii="Times New Roman" w:hAnsi="Times New Roman" w:eastAsia="仿宋_GB2312"/>
          <w:color w:val="000000"/>
          <w:sz w:val="32"/>
          <w:szCs w:val="32"/>
          <w:lang w:eastAsia="zh-CN"/>
        </w:rPr>
        <w:t>2023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年部门决算单位构成为零陵区总工会本级，直属事业单位</w:t>
      </w:r>
      <w:r>
        <w:rPr>
          <w:rFonts w:ascii="Times New Roman" w:hAnsi="Times New Roman" w:eastAsia="仿宋_GB2312"/>
          <w:color w:val="000000"/>
          <w:sz w:val="32"/>
          <w:szCs w:val="32"/>
        </w:rPr>
        <w:t>2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个：职工服务中心、工人文化宫，</w:t>
      </w:r>
      <w:r>
        <w:rPr>
          <w:rFonts w:ascii="Times New Roman" w:hAnsi="Times New Roman" w:eastAsia="仿宋_GB2312"/>
          <w:color w:val="000000"/>
          <w:sz w:val="32"/>
          <w:szCs w:val="32"/>
        </w:rPr>
        <w:t>其中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工人文化宫为财务独立核算单位。</w:t>
      </w:r>
    </w:p>
    <w:p>
      <w:pPr>
        <w:pStyle w:val="4"/>
        <w:spacing w:line="600" w:lineRule="exact"/>
        <w:ind w:firstLine="640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3．人员情况</w:t>
      </w:r>
    </w:p>
    <w:p>
      <w:pPr>
        <w:pStyle w:val="4"/>
        <w:spacing w:line="600" w:lineRule="exact"/>
        <w:ind w:firstLine="640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  <w:lang w:eastAsia="zh-CN"/>
        </w:rPr>
        <w:t>2023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年实有在职人员</w:t>
      </w:r>
      <w:r>
        <w:rPr>
          <w:rFonts w:ascii="Times New Roman" w:hAnsi="Times New Roman" w:eastAsia="仿宋_GB2312"/>
          <w:color w:val="000000"/>
          <w:sz w:val="32"/>
          <w:szCs w:val="32"/>
        </w:rPr>
        <w:t>11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名，其中：公务员及参照公务员管理人员</w:t>
      </w:r>
      <w:r>
        <w:rPr>
          <w:rFonts w:hint="eastAsia" w:ascii="Times New Roman" w:hAnsi="Times New Roman" w:eastAsia="仿宋_GB2312"/>
          <w:color w:val="000000"/>
          <w:sz w:val="32"/>
          <w:szCs w:val="32"/>
          <w:lang w:val="en-US" w:eastAsia="zh-CN"/>
        </w:rPr>
        <w:t>7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名，事业编制</w:t>
      </w:r>
      <w:r>
        <w:rPr>
          <w:rFonts w:hint="eastAsia" w:ascii="Times New Roman" w:hAnsi="Times New Roman" w:eastAsia="仿宋_GB2312"/>
          <w:color w:val="000000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名，离退休人员</w:t>
      </w:r>
      <w:r>
        <w:rPr>
          <w:rFonts w:ascii="Times New Roman" w:hAnsi="Times New Roman" w:eastAsia="仿宋_GB2312"/>
          <w:color w:val="000000"/>
          <w:sz w:val="32"/>
          <w:szCs w:val="32"/>
        </w:rPr>
        <w:t>7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人。人员变动其</w:t>
      </w:r>
      <w:r>
        <w:rPr>
          <w:rFonts w:ascii="Times New Roman" w:hAnsi="Times New Roman" w:eastAsia="仿宋_GB2312"/>
          <w:color w:val="000000"/>
          <w:sz w:val="32"/>
          <w:szCs w:val="32"/>
        </w:rPr>
        <w:t>主要原因是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人员调整</w:t>
      </w:r>
      <w:r>
        <w:rPr>
          <w:rFonts w:ascii="Times New Roman" w:hAnsi="Times New Roman" w:eastAsia="仿宋_GB2312"/>
          <w:color w:val="000000"/>
          <w:sz w:val="32"/>
          <w:szCs w:val="32"/>
        </w:rPr>
        <w:t>。</w:t>
      </w:r>
    </w:p>
    <w:p>
      <w:pPr>
        <w:spacing w:line="600" w:lineRule="exact"/>
        <w:ind w:firstLine="643" w:firstLineChars="200"/>
        <w:rPr>
          <w:rFonts w:eastAsia="楷体_GB2312"/>
          <w:b/>
          <w:sz w:val="32"/>
          <w:szCs w:val="32"/>
        </w:rPr>
      </w:pPr>
      <w:r>
        <w:rPr>
          <w:rFonts w:eastAsia="楷体_GB2312"/>
          <w:b/>
          <w:sz w:val="32"/>
          <w:szCs w:val="32"/>
        </w:rPr>
        <w:t>（二）部门（单位）年度整体支出绩效目标，</w:t>
      </w:r>
      <w:r>
        <w:rPr>
          <w:rFonts w:hint="eastAsia" w:eastAsia="楷体_GB2312"/>
          <w:b/>
          <w:sz w:val="32"/>
          <w:szCs w:val="32"/>
        </w:rPr>
        <w:t>区</w:t>
      </w:r>
      <w:r>
        <w:rPr>
          <w:rFonts w:eastAsia="楷体_GB2312"/>
          <w:b/>
          <w:sz w:val="32"/>
          <w:szCs w:val="32"/>
        </w:rPr>
        <w:t>级专项资金绩效目标、其他项目支出（除</w:t>
      </w:r>
      <w:r>
        <w:rPr>
          <w:rFonts w:hint="eastAsia" w:eastAsia="楷体_GB2312"/>
          <w:b/>
          <w:sz w:val="32"/>
          <w:szCs w:val="32"/>
        </w:rPr>
        <w:t>区</w:t>
      </w:r>
      <w:r>
        <w:rPr>
          <w:rFonts w:eastAsia="楷体_GB2312"/>
          <w:b/>
          <w:sz w:val="32"/>
          <w:szCs w:val="32"/>
        </w:rPr>
        <w:t>级专项资金以外）绩效目标</w:t>
      </w:r>
    </w:p>
    <w:p>
      <w:pPr>
        <w:pStyle w:val="4"/>
        <w:spacing w:line="600" w:lineRule="exact"/>
        <w:ind w:firstLine="640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零陵区总工会</w:t>
      </w:r>
      <w:r>
        <w:rPr>
          <w:rFonts w:hint="eastAsia" w:ascii="Times New Roman" w:hAnsi="Times New Roman" w:eastAsia="仿宋_GB2312"/>
          <w:color w:val="000000"/>
          <w:sz w:val="32"/>
          <w:szCs w:val="32"/>
          <w:lang w:eastAsia="zh-CN"/>
        </w:rPr>
        <w:t>2023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年度整体支出绩效目标为</w:t>
      </w:r>
      <w:r>
        <w:rPr>
          <w:rFonts w:hint="eastAsia" w:ascii="Times New Roman" w:hAnsi="Times New Roman" w:eastAsia="仿宋_GB2312"/>
          <w:color w:val="000000"/>
          <w:sz w:val="32"/>
          <w:szCs w:val="32"/>
          <w:lang w:val="en-US" w:eastAsia="zh-CN"/>
        </w:rPr>
        <w:t>442.68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万，其中基本支出</w:t>
      </w:r>
      <w:r>
        <w:rPr>
          <w:rFonts w:hint="eastAsia" w:ascii="Times New Roman" w:hAnsi="Times New Roman" w:eastAsia="仿宋_GB2312"/>
          <w:color w:val="000000"/>
          <w:sz w:val="32"/>
          <w:szCs w:val="32"/>
          <w:lang w:val="en-US" w:eastAsia="zh-CN"/>
        </w:rPr>
        <w:t>442.68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万元，项目支出</w:t>
      </w:r>
      <w:r>
        <w:rPr>
          <w:rFonts w:ascii="Times New Roman" w:hAnsi="Times New Roman" w:eastAsia="仿宋_GB2312"/>
          <w:color w:val="000000"/>
          <w:sz w:val="32"/>
          <w:szCs w:val="32"/>
        </w:rPr>
        <w:t>0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万元。</w:t>
      </w:r>
    </w:p>
    <w:p>
      <w:pPr>
        <w:pStyle w:val="4"/>
        <w:spacing w:line="600" w:lineRule="exact"/>
        <w:ind w:firstLine="640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二、一般公共预算支出情况</w:t>
      </w:r>
    </w:p>
    <w:p>
      <w:pPr>
        <w:widowControl/>
        <w:spacing w:before="156" w:beforeLines="50" w:after="156" w:afterLines="50" w:line="480" w:lineRule="auto"/>
        <w:jc w:val="left"/>
        <w:rPr>
          <w:rFonts w:eastAsia="楷体_GB2312"/>
          <w:b/>
          <w:sz w:val="32"/>
          <w:szCs w:val="32"/>
        </w:rPr>
      </w:pPr>
      <w:r>
        <w:rPr>
          <w:rFonts w:eastAsia="楷体_GB2312"/>
          <w:b/>
          <w:sz w:val="32"/>
          <w:szCs w:val="32"/>
        </w:rPr>
        <w:t>（一）基本支出情况</w:t>
      </w:r>
    </w:p>
    <w:p>
      <w:pPr>
        <w:pStyle w:val="4"/>
        <w:spacing w:line="600" w:lineRule="exact"/>
        <w:ind w:firstLine="640"/>
        <w:rPr>
          <w:rFonts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（1）单位人员经费支出</w:t>
      </w:r>
      <w:r>
        <w:rPr>
          <w:rFonts w:hint="eastAsia" w:ascii="Times New Roman" w:hAnsi="Times New Roman" w:eastAsia="仿宋_GB2312"/>
          <w:color w:val="000000"/>
          <w:sz w:val="32"/>
          <w:szCs w:val="32"/>
          <w:lang w:val="en-US" w:eastAsia="zh-CN"/>
        </w:rPr>
        <w:t>158.2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万元，包括用于基本工资、津贴补贴、社保缴费等。</w:t>
      </w:r>
    </w:p>
    <w:p>
      <w:pPr>
        <w:pStyle w:val="4"/>
        <w:spacing w:line="600" w:lineRule="exact"/>
        <w:ind w:firstLine="640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（2）商品和服务支出</w:t>
      </w:r>
      <w:r>
        <w:rPr>
          <w:rFonts w:hint="eastAsia" w:ascii="Times New Roman" w:hAnsi="Times New Roman" w:eastAsia="仿宋_GB2312"/>
          <w:color w:val="000000"/>
          <w:sz w:val="32"/>
          <w:szCs w:val="32"/>
          <w:lang w:val="en-US" w:eastAsia="zh-CN"/>
        </w:rPr>
        <w:t>284.49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万元，包括办公费、交通费、会议费、印刷费、水电费、物业费、办公设备购置、其他支出等日常公用经费。</w:t>
      </w:r>
    </w:p>
    <w:p>
      <w:pPr>
        <w:pStyle w:val="4"/>
        <w:spacing w:line="600" w:lineRule="exact"/>
        <w:ind w:firstLine="643"/>
        <w:rPr>
          <w:rFonts w:ascii="Times New Roman" w:hAnsi="Times New Roman" w:eastAsia="楷体_GB2312"/>
          <w:b/>
          <w:sz w:val="32"/>
          <w:szCs w:val="32"/>
        </w:rPr>
      </w:pPr>
      <w:r>
        <w:rPr>
          <w:rFonts w:ascii="Times New Roman" w:hAnsi="Times New Roman" w:eastAsia="楷体_GB2312"/>
          <w:b/>
          <w:sz w:val="32"/>
          <w:szCs w:val="32"/>
        </w:rPr>
        <w:t>（二）项目支出情况</w:t>
      </w:r>
    </w:p>
    <w:p>
      <w:pPr>
        <w:pStyle w:val="4"/>
        <w:spacing w:line="600" w:lineRule="exact"/>
        <w:ind w:firstLine="640"/>
        <w:rPr>
          <w:rFonts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  <w:lang w:eastAsia="zh-CN"/>
        </w:rPr>
        <w:t>2023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年度零陵区总工会无项目</w:t>
      </w:r>
      <w:r>
        <w:rPr>
          <w:rFonts w:ascii="Times New Roman" w:hAnsi="Times New Roman" w:eastAsia="仿宋_GB2312"/>
          <w:color w:val="000000"/>
          <w:sz w:val="32"/>
          <w:szCs w:val="32"/>
        </w:rPr>
        <w:t>总支出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。</w:t>
      </w:r>
    </w:p>
    <w:p>
      <w:pPr>
        <w:pStyle w:val="4"/>
        <w:spacing w:line="600" w:lineRule="exact"/>
        <w:ind w:firstLine="640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三、政府性基金预算支出情况</w:t>
      </w:r>
    </w:p>
    <w:p>
      <w:pPr>
        <w:pStyle w:val="4"/>
        <w:spacing w:line="600" w:lineRule="exact"/>
        <w:ind w:firstLine="640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  <w:lang w:eastAsia="zh-CN"/>
        </w:rPr>
        <w:t>2023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年度零陵区总工会无</w:t>
      </w:r>
      <w:r>
        <w:rPr>
          <w:rFonts w:ascii="Times New Roman" w:hAnsi="Times New Roman" w:eastAsia="仿宋_GB2312"/>
          <w:color w:val="000000"/>
          <w:sz w:val="32"/>
          <w:szCs w:val="32"/>
        </w:rPr>
        <w:t>政府性基金预算支出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。</w:t>
      </w:r>
    </w:p>
    <w:p>
      <w:pPr>
        <w:pStyle w:val="4"/>
        <w:spacing w:line="600" w:lineRule="exact"/>
        <w:ind w:firstLine="640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四、国有资本经营预算支出情况</w:t>
      </w:r>
    </w:p>
    <w:p>
      <w:pPr>
        <w:pStyle w:val="4"/>
        <w:spacing w:line="600" w:lineRule="exact"/>
        <w:ind w:firstLine="640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  <w:lang w:eastAsia="zh-CN"/>
        </w:rPr>
        <w:t>2023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年度零陵区总工会无</w:t>
      </w:r>
      <w:r>
        <w:rPr>
          <w:rFonts w:ascii="Times New Roman" w:hAnsi="Times New Roman" w:eastAsia="仿宋_GB2312"/>
          <w:color w:val="000000"/>
          <w:sz w:val="32"/>
          <w:szCs w:val="32"/>
        </w:rPr>
        <w:t>国有资本经营预算支出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。</w:t>
      </w:r>
    </w:p>
    <w:p>
      <w:pPr>
        <w:pStyle w:val="4"/>
        <w:spacing w:line="600" w:lineRule="exact"/>
        <w:ind w:firstLine="640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五、社会保险基金预算支出情况</w:t>
      </w:r>
    </w:p>
    <w:p>
      <w:pPr>
        <w:pStyle w:val="4"/>
        <w:spacing w:line="600" w:lineRule="exact"/>
        <w:ind w:firstLine="640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  <w:lang w:eastAsia="zh-CN"/>
        </w:rPr>
        <w:t>2023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年度零陵区总工会无</w:t>
      </w:r>
      <w:r>
        <w:rPr>
          <w:rFonts w:ascii="Times New Roman" w:hAnsi="Times New Roman" w:eastAsia="仿宋_GB2312"/>
          <w:color w:val="000000"/>
          <w:sz w:val="32"/>
          <w:szCs w:val="32"/>
        </w:rPr>
        <w:t>社会保险基金预算支出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。</w:t>
      </w:r>
    </w:p>
    <w:p>
      <w:pPr>
        <w:numPr>
          <w:ilvl w:val="0"/>
          <w:numId w:val="1"/>
        </w:numPr>
        <w:spacing w:line="60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部门整体支出绩效情况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20" w:beforeLines="50" w:line="480" w:lineRule="exact"/>
        <w:ind w:left="15" w:leftChars="7" w:right="11" w:firstLine="640" w:firstLineChars="200"/>
        <w:jc w:val="left"/>
        <w:textAlignment w:val="baseline"/>
        <w:rPr>
          <w:rFonts w:hint="eastAsia" w:ascii="Times New Roman" w:hAnsi="Times New Roman" w:eastAsia="仿宋_GB2312" w:cs="Times New Roman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2"/>
          <w:sz w:val="32"/>
          <w:szCs w:val="32"/>
          <w:lang w:val="en-US" w:eastAsia="zh-CN" w:bidi="ar-SA"/>
        </w:rPr>
        <w:t>（1）主动传唱主旋律，传播工会声音。今年5月，我会利用工人阶级宣传月开展了“学习二十大，赞美劳动者，弘扬劳动精神、劳模精神、工匠精神”为主题的劳模精神、劳动精神、工匠精神宣传宣讲10项活动，其中劳模工匠大讲堂、劳模工匠进校园、各级劳模零陵景区一日游、为劳模赠送党的二十大读本、组织劳模观看爱国主义影视片等活动深得劳模工匠和广大职工喜爱，浑然奏响了“咱们工人有力量”的时代强音。推荐获评永州市五一劳动奖状3个（单位），永州市五一劳动奖章7人，永州市工人先锋号5个（集体）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20" w:beforeLines="50" w:line="480" w:lineRule="exact"/>
        <w:ind w:left="15" w:leftChars="7" w:right="11" w:firstLine="640" w:firstLineChars="200"/>
        <w:jc w:val="left"/>
        <w:textAlignment w:val="baseline"/>
        <w:rPr>
          <w:rFonts w:hint="eastAsia" w:ascii="Times New Roman" w:hAnsi="Times New Roman" w:eastAsia="仿宋_GB2312" w:cs="Times New Roman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2"/>
          <w:sz w:val="32"/>
          <w:szCs w:val="32"/>
          <w:lang w:val="en-US" w:eastAsia="zh-CN" w:bidi="ar-SA"/>
        </w:rPr>
        <w:t>（2）积极演好文化戏，职工生活得到极大丰富。2023年，我会广泛开展“中国梦·劳动美”主题宣传教育、开展了十分丰富的职工文化活动，特别是成功举办了永州市2023国际瑜伽日暨“零陵古城杯”健身瑜伽公开赛，反响极大。组队参与全市“贯彻二十大，唱响新永州”百万职工合唱大赛，荣获全市一等奖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20" w:beforeLines="50" w:line="480" w:lineRule="exact"/>
        <w:ind w:left="15" w:leftChars="7" w:right="11" w:firstLine="640" w:firstLineChars="200"/>
        <w:jc w:val="left"/>
        <w:textAlignment w:val="baseline"/>
        <w:rPr>
          <w:rFonts w:hint="eastAsia" w:ascii="Times New Roman" w:hAnsi="Times New Roman" w:eastAsia="仿宋_GB2312" w:cs="Times New Roman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2"/>
          <w:sz w:val="32"/>
          <w:szCs w:val="32"/>
          <w:lang w:val="en-US" w:eastAsia="zh-CN" w:bidi="ar-SA"/>
        </w:rPr>
        <w:t>（3）激扬劳动竞赛热情，助推经济发展。我会紧扣全区重大战略、重大工程、重大项目、重点产业，广泛开展“建功‘十四五’、奋进新征程”主题劳动竞赛。4月21日，举办了“全力拼经济 全速推项目”重点项目劳动竞赛2022年总结表彰暨2023启动仪式，规格高，声势大；5月份组织技术工人参加全市“奋进新征程、建功新时代”手工制茶大赛，荣获两个三等奖。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20" w:beforeLines="50" w:line="480" w:lineRule="exact"/>
        <w:ind w:left="15" w:leftChars="7" w:right="11" w:firstLine="640" w:firstLineChars="200"/>
        <w:jc w:val="left"/>
        <w:textAlignment w:val="baseline"/>
        <w:rPr>
          <w:rFonts w:hint="eastAsia" w:ascii="Times New Roman" w:hAnsi="Times New Roman" w:eastAsia="仿宋_GB2312" w:cs="Times New Roman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2"/>
          <w:sz w:val="32"/>
          <w:szCs w:val="32"/>
          <w:lang w:val="en-US" w:eastAsia="zh-CN" w:bidi="ar-SA"/>
        </w:rPr>
        <w:t>（4）激励职工创业创新，助推经济发展。2023年，我会落实区委人才工作部署，围绕产业链建强人才链，深入实施铸匠、树模工程，推动健全完善技能人才培育、选树、激励、保障制度机制，积极推荐选树省劳模助力乡村振兴示范基地、省“湖湘工匠”培育和竞赛基地，培养“一户一产业工人”技能人才342名，就业率达98%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20" w:beforeLines="50" w:line="480" w:lineRule="exact"/>
        <w:ind w:left="15" w:leftChars="7" w:right="11" w:firstLine="640" w:firstLineChars="200"/>
        <w:jc w:val="left"/>
        <w:textAlignment w:val="baseline"/>
        <w:rPr>
          <w:rFonts w:hint="eastAsia" w:ascii="Times New Roman" w:hAnsi="Times New Roman" w:eastAsia="仿宋_GB2312" w:cs="Times New Roman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2"/>
          <w:sz w:val="32"/>
          <w:szCs w:val="32"/>
          <w:lang w:val="en-US" w:eastAsia="zh-CN" w:bidi="ar-SA"/>
        </w:rPr>
        <w:t>（5）汇聚主力，服务职工品牌闪亮。坚持“职工服务项目化”运作思路和“品牌服务”工作理念，探索精准服务职工模式和服务职工标准体系。元月至2月，我会筹资27.04万元开展两节送温暖，全区298名困难职工得到帮扶；7月至8月筹资近20万元为高温一线职工送清凉；新建户外职工服务点3个。引导在职职工参加职工医疗互助12643人，截止11月，全区1857位职工受益，累计报账1469871.11元。其中5人得到省总大病关爱，15人得到市总大病关爱。开展暑期爱心托管班3期，为企业一线职工解决孩子托管后顾之忧，得到湖南卫视新闻采访播出。积极推进女职工“两癌”公益筛查6000余人。推荐选树了省、市级百优食堂各1家。落实省政府和省、市总工会促消费助发展行动，发放湘工惠“电子消费券”工作位列全市前列。</w:t>
      </w:r>
    </w:p>
    <w:p>
      <w:pPr>
        <w:keepNext w:val="0"/>
        <w:keepLines w:val="0"/>
        <w:pageBreakBefore w:val="0"/>
        <w:numPr>
          <w:numId w:val="0"/>
        </w:numPr>
        <w:wordWrap/>
        <w:overflowPunct/>
        <w:topLinePunct w:val="0"/>
        <w:bidi w:val="0"/>
        <w:spacing w:line="480" w:lineRule="exact"/>
        <w:rPr>
          <w:rFonts w:hint="eastAsia" w:ascii="Times New Roman" w:hAnsi="Times New Roman" w:eastAsia="仿宋_GB2312" w:cs="Times New Roman"/>
          <w:color w:val="000000"/>
          <w:kern w:val="2"/>
          <w:sz w:val="32"/>
          <w:szCs w:val="32"/>
          <w:lang w:val="en-US" w:eastAsia="zh-CN" w:bidi="ar-SA"/>
        </w:rPr>
      </w:pPr>
    </w:p>
    <w:p>
      <w:pPr>
        <w:pStyle w:val="4"/>
        <w:spacing w:line="600" w:lineRule="exact"/>
        <w:ind w:firstLine="640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七、存在的问题及原因分析</w:t>
      </w:r>
    </w:p>
    <w:p>
      <w:pPr>
        <w:spacing w:line="60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2023</w:t>
      </w:r>
      <w:r>
        <w:rPr>
          <w:rFonts w:hint="eastAsia" w:eastAsia="仿宋_GB2312"/>
          <w:sz w:val="32"/>
          <w:szCs w:val="32"/>
        </w:rPr>
        <w:t>年度</w:t>
      </w:r>
      <w:r>
        <w:rPr>
          <w:rFonts w:eastAsia="仿宋_GB2312"/>
          <w:sz w:val="32"/>
          <w:szCs w:val="32"/>
        </w:rPr>
        <w:t>人员经费</w:t>
      </w:r>
      <w:r>
        <w:rPr>
          <w:rFonts w:hint="eastAsia" w:eastAsia="仿宋_GB2312"/>
          <w:sz w:val="32"/>
          <w:szCs w:val="32"/>
        </w:rPr>
        <w:t>决算</w:t>
      </w:r>
      <w:r>
        <w:rPr>
          <w:rFonts w:eastAsia="仿宋_GB2312"/>
          <w:sz w:val="32"/>
          <w:szCs w:val="32"/>
        </w:rPr>
        <w:t>支出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158.2</w:t>
      </w:r>
      <w:r>
        <w:rPr>
          <w:rFonts w:hint="eastAsia" w:eastAsia="仿宋_GB2312"/>
          <w:color w:val="000000"/>
          <w:sz w:val="32"/>
          <w:szCs w:val="32"/>
        </w:rPr>
        <w:t>万元</w:t>
      </w:r>
      <w:r>
        <w:rPr>
          <w:rFonts w:eastAsia="仿宋_GB2312"/>
          <w:color w:val="000000"/>
          <w:sz w:val="32"/>
          <w:szCs w:val="32"/>
        </w:rPr>
        <w:t>，较</w:t>
      </w:r>
      <w:r>
        <w:rPr>
          <w:rFonts w:hint="eastAsia" w:eastAsia="仿宋_GB2312"/>
          <w:color w:val="000000"/>
          <w:sz w:val="32"/>
          <w:szCs w:val="32"/>
          <w:lang w:eastAsia="zh-CN"/>
        </w:rPr>
        <w:t>年初</w:t>
      </w:r>
      <w:r>
        <w:rPr>
          <w:rFonts w:eastAsia="仿宋_GB2312"/>
          <w:color w:val="000000"/>
          <w:sz w:val="32"/>
          <w:szCs w:val="32"/>
        </w:rPr>
        <w:t>预算</w:t>
      </w:r>
      <w:r>
        <w:rPr>
          <w:rFonts w:hint="eastAsia" w:eastAsia="仿宋_GB2312"/>
          <w:color w:val="000000"/>
          <w:sz w:val="32"/>
          <w:szCs w:val="32"/>
        </w:rPr>
        <w:t>支出</w:t>
      </w:r>
      <w:r>
        <w:rPr>
          <w:rFonts w:eastAsia="仿宋_GB2312"/>
          <w:color w:val="000000"/>
          <w:sz w:val="32"/>
          <w:szCs w:val="32"/>
        </w:rPr>
        <w:t>增加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34.49</w:t>
      </w:r>
      <w:r>
        <w:rPr>
          <w:rFonts w:hint="eastAsia" w:eastAsia="仿宋_GB2312"/>
          <w:color w:val="000000"/>
          <w:sz w:val="32"/>
          <w:szCs w:val="32"/>
        </w:rPr>
        <w:t>万元</w:t>
      </w:r>
      <w:r>
        <w:rPr>
          <w:rFonts w:eastAsia="仿宋_GB2312"/>
          <w:color w:val="000000"/>
          <w:sz w:val="32"/>
          <w:szCs w:val="32"/>
        </w:rPr>
        <w:t>，主要原因是人员调整，人员经费调整</w:t>
      </w:r>
      <w:r>
        <w:rPr>
          <w:rFonts w:hint="eastAsia" w:eastAsia="仿宋_GB2312"/>
          <w:color w:val="000000"/>
          <w:sz w:val="32"/>
          <w:szCs w:val="32"/>
        </w:rPr>
        <w:t>。公用经费</w:t>
      </w:r>
      <w:r>
        <w:rPr>
          <w:rFonts w:eastAsia="仿宋_GB2312"/>
          <w:color w:val="000000"/>
          <w:sz w:val="32"/>
          <w:szCs w:val="32"/>
        </w:rPr>
        <w:t>决算支出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284.49</w:t>
      </w:r>
      <w:r>
        <w:rPr>
          <w:rFonts w:hint="eastAsia" w:eastAsia="仿宋_GB2312"/>
          <w:color w:val="000000"/>
          <w:sz w:val="32"/>
          <w:szCs w:val="32"/>
        </w:rPr>
        <w:t>万元</w:t>
      </w:r>
      <w:r>
        <w:rPr>
          <w:rFonts w:eastAsia="仿宋_GB2312"/>
          <w:color w:val="000000"/>
          <w:sz w:val="32"/>
          <w:szCs w:val="32"/>
        </w:rPr>
        <w:t>，较</w:t>
      </w:r>
      <w:r>
        <w:rPr>
          <w:rFonts w:hint="eastAsia" w:eastAsia="仿宋_GB2312"/>
          <w:color w:val="000000"/>
          <w:sz w:val="32"/>
          <w:szCs w:val="32"/>
          <w:lang w:eastAsia="zh-CN"/>
        </w:rPr>
        <w:t>年初</w:t>
      </w:r>
      <w:r>
        <w:rPr>
          <w:rFonts w:eastAsia="仿宋_GB2312"/>
          <w:color w:val="000000"/>
          <w:sz w:val="32"/>
          <w:szCs w:val="32"/>
        </w:rPr>
        <w:t>预算支出增加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277.41</w:t>
      </w:r>
      <w:r>
        <w:rPr>
          <w:rFonts w:hint="eastAsia" w:eastAsia="仿宋_GB2312"/>
          <w:color w:val="000000"/>
          <w:sz w:val="32"/>
          <w:szCs w:val="32"/>
        </w:rPr>
        <w:t>万元</w:t>
      </w:r>
      <w:r>
        <w:rPr>
          <w:rFonts w:eastAsia="仿宋_GB2312"/>
          <w:color w:val="000000"/>
          <w:sz w:val="32"/>
          <w:szCs w:val="32"/>
        </w:rPr>
        <w:t>，主要原因是</w:t>
      </w:r>
      <w:r>
        <w:rPr>
          <w:rFonts w:hint="eastAsia" w:eastAsia="仿宋_GB2312"/>
          <w:color w:val="000000"/>
          <w:sz w:val="32"/>
          <w:szCs w:val="32"/>
        </w:rPr>
        <w:t>202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2</w:t>
      </w:r>
      <w:r>
        <w:rPr>
          <w:rFonts w:hint="eastAsia" w:eastAsia="仿宋_GB2312"/>
          <w:color w:val="000000"/>
          <w:sz w:val="32"/>
          <w:szCs w:val="32"/>
        </w:rPr>
        <w:t>年度</w:t>
      </w:r>
      <w:r>
        <w:rPr>
          <w:rFonts w:eastAsia="仿宋_GB2312"/>
          <w:color w:val="000000"/>
          <w:sz w:val="32"/>
          <w:szCs w:val="32"/>
        </w:rPr>
        <w:t>财政代扣工会经费</w:t>
      </w:r>
      <w:r>
        <w:rPr>
          <w:rFonts w:hint="eastAsia" w:eastAsia="仿宋_GB2312"/>
          <w:color w:val="000000"/>
          <w:sz w:val="32"/>
          <w:szCs w:val="32"/>
        </w:rPr>
        <w:t>列入了本年</w:t>
      </w:r>
      <w:r>
        <w:rPr>
          <w:rFonts w:eastAsia="仿宋_GB2312"/>
          <w:color w:val="000000"/>
          <w:sz w:val="32"/>
          <w:szCs w:val="32"/>
        </w:rPr>
        <w:t>度收入支出</w:t>
      </w:r>
      <w:r>
        <w:rPr>
          <w:rFonts w:hint="eastAsia" w:eastAsia="仿宋_GB2312"/>
          <w:color w:val="000000"/>
          <w:sz w:val="32"/>
          <w:szCs w:val="32"/>
        </w:rPr>
        <w:t>。</w:t>
      </w:r>
    </w:p>
    <w:p>
      <w:pPr>
        <w:spacing w:line="60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八、下一步改进措施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针对上述存在的问题及整体支出管理工作的需要，拟实施的改进措施如下：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1. 细化预算编制工作，认真做好预算的编制。进一步加强内部预算管理意识，严格按照预算编制的相关制度和要求进行预算编制，进一步提高预算编制的科学性、严谨性和可控性，提高预算的合理性和准确性。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2. 加强财务管理，严格财务审核。在费用报账支付时，按照预算规定的费用项目和用途进行资金使用审核、列报支付、财务核算，杜绝超支现象的发生。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3．持续抓好“三公”经费控制管理。严格控制“三公”经费的规模和比例，把关“三公”经费支出的审核、审批，杜绝挪用和挤占其他预算资金行为；进一步细化“三公”经费的管理，合理压缩“三公”经费支出。</w:t>
      </w:r>
    </w:p>
    <w:p>
      <w:pPr>
        <w:spacing w:line="60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4．进一步规范绩效目标编制。在编制项目资金绩效目标时要求指向明确、细化量化、合理可行、相应匹配；加强项目开展进度的跟踪，开展项目绩效评价，确保项目绩效目标的完成。</w:t>
      </w:r>
    </w:p>
    <w:p>
      <w:pPr>
        <w:widowControl/>
        <w:ind w:firstLine="627" w:firstLineChars="196"/>
        <w:jc w:val="lef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九、绩效自评结果拟应用和公开情况</w:t>
      </w:r>
    </w:p>
    <w:p>
      <w:pPr>
        <w:widowControl/>
        <w:ind w:firstLine="627" w:firstLineChars="196"/>
        <w:jc w:val="left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区总工会单位无门户网站，请零陵区财政局代为公开。</w:t>
      </w:r>
    </w:p>
    <w:p>
      <w:pPr>
        <w:spacing w:line="60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hint="eastAsia" w:eastAsia="黑体"/>
          <w:sz w:val="32"/>
          <w:szCs w:val="32"/>
        </w:rPr>
        <w:t>十、</w:t>
      </w:r>
      <w:r>
        <w:rPr>
          <w:rFonts w:eastAsia="黑体"/>
          <w:sz w:val="32"/>
          <w:szCs w:val="32"/>
        </w:rPr>
        <w:t>其他需要说明的情况</w:t>
      </w:r>
    </w:p>
    <w:p>
      <w:pPr>
        <w:spacing w:line="60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无。</w:t>
      </w:r>
    </w:p>
    <w:p>
      <w:pPr>
        <w:jc w:val="left"/>
        <w:rPr>
          <w:rFonts w:hint="eastAsia" w:ascii="宋体" w:hAnsi="宋体" w:cs="宋体"/>
          <w:sz w:val="32"/>
          <w:szCs w:val="32"/>
        </w:rPr>
      </w:pPr>
      <w:r>
        <w:rPr>
          <w:rFonts w:hint="eastAsia" w:eastAsia="黑体"/>
          <w:kern w:val="0"/>
          <w:sz w:val="32"/>
          <w:szCs w:val="32"/>
        </w:rPr>
        <w:t>附件4</w:t>
      </w:r>
      <w:r>
        <w:rPr>
          <w:rFonts w:hint="eastAsia" w:ascii="宋体" w:hAnsi="宋体" w:cs="宋体"/>
          <w:sz w:val="32"/>
          <w:szCs w:val="32"/>
        </w:rPr>
        <w:t>：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单位（部门）绩效自评公开网址统计表</w:t>
      </w:r>
    </w:p>
    <w:tbl>
      <w:tblPr>
        <w:tblStyle w:val="2"/>
        <w:tblpPr w:leftFromText="180" w:rightFromText="180" w:vertAnchor="text" w:horzAnchor="page" w:tblpX="1538" w:tblpY="675"/>
        <w:tblOverlap w:val="never"/>
        <w:tblW w:w="0" w:type="auto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79"/>
        <w:gridCol w:w="1421"/>
        <w:gridCol w:w="684"/>
        <w:gridCol w:w="2784"/>
        <w:gridCol w:w="1092"/>
        <w:gridCol w:w="1440"/>
        <w:gridCol w:w="97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2" w:hRule="atLeast"/>
        </w:trPr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单位代码</w:t>
            </w:r>
          </w:p>
        </w:tc>
        <w:tc>
          <w:tcPr>
            <w:tcW w:w="1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单 位 名 称</w:t>
            </w:r>
          </w:p>
        </w:tc>
        <w:tc>
          <w:tcPr>
            <w:tcW w:w="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自评报告公开是/否</w:t>
            </w:r>
          </w:p>
        </w:tc>
        <w:tc>
          <w:tcPr>
            <w:tcW w:w="2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公开网址</w:t>
            </w:r>
          </w:p>
        </w:tc>
        <w:tc>
          <w:tcPr>
            <w:tcW w:w="1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联系人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联系电话</w:t>
            </w:r>
          </w:p>
        </w:tc>
        <w:tc>
          <w:tcPr>
            <w:tcW w:w="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exact"/>
        </w:trPr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116001</w:t>
            </w:r>
          </w:p>
        </w:tc>
        <w:tc>
          <w:tcPr>
            <w:tcW w:w="1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零陵区总工会</w:t>
            </w:r>
          </w:p>
        </w:tc>
        <w:tc>
          <w:tcPr>
            <w:tcW w:w="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是</w:t>
            </w:r>
          </w:p>
        </w:tc>
        <w:tc>
          <w:tcPr>
            <w:tcW w:w="2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零陵区财政局网址</w:t>
            </w:r>
          </w:p>
        </w:tc>
        <w:tc>
          <w:tcPr>
            <w:tcW w:w="1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唐玲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left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13974614278</w:t>
            </w:r>
          </w:p>
        </w:tc>
        <w:tc>
          <w:tcPr>
            <w:tcW w:w="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exact"/>
        </w:trPr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left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exact"/>
        </w:trPr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left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exact"/>
        </w:trPr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left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exact"/>
        </w:trPr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left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宋体"/>
    <w:panose1 w:val="00000000000000000000"/>
    <w:charset w:val="86"/>
    <w:family w:val="auto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B958107"/>
    <w:multiLevelType w:val="singleLevel"/>
    <w:tmpl w:val="6B958107"/>
    <w:lvl w:ilvl="0" w:tentative="0">
      <w:start w:val="6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c5MzUxYTBhMmE5NDJmZmJjNGNkNzM0MzMyZGZjNzQifQ=="/>
  </w:docVars>
  <w:rsids>
    <w:rsidRoot w:val="7E616FAC"/>
    <w:rsid w:val="1EBC73CE"/>
    <w:rsid w:val="31260631"/>
    <w:rsid w:val="7E616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_Style 1"/>
    <w:basedOn w:val="1"/>
    <w:autoRedefine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2024-04-24T03:27:00Z</dcterms:created>
  <dc:creator>Administrator</dc:creator>
  <cp:lastModifiedBy>Administrator</cp:lastModifiedBy>
  <dcterms:modified xsi:type="dcterms:W3CDTF">2024-04-24T03:50:03Z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57ED8B674E7C41B78AB68BB215540846_13</vt:lpwstr>
  </property>
</Properties>
</file>