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23C89E">
      <w:pPr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附件1</w:t>
      </w:r>
    </w:p>
    <w:p w14:paraId="3787961A">
      <w:pPr>
        <w:spacing w:line="600" w:lineRule="exact"/>
        <w:rPr>
          <w:rFonts w:eastAsia="黑体"/>
          <w:sz w:val="32"/>
          <w:szCs w:val="32"/>
        </w:rPr>
      </w:pPr>
    </w:p>
    <w:p w14:paraId="5A54FA24">
      <w:pPr>
        <w:spacing w:line="600" w:lineRule="exact"/>
        <w:rPr>
          <w:rFonts w:eastAsia="黑体"/>
          <w:sz w:val="32"/>
          <w:szCs w:val="32"/>
        </w:rPr>
      </w:pPr>
    </w:p>
    <w:p w14:paraId="672E03C7">
      <w:pPr>
        <w:spacing w:line="600" w:lineRule="exact"/>
        <w:rPr>
          <w:rFonts w:eastAsia="黑体"/>
          <w:sz w:val="32"/>
          <w:szCs w:val="32"/>
        </w:rPr>
      </w:pPr>
    </w:p>
    <w:p w14:paraId="217644B8">
      <w:pPr>
        <w:jc w:val="center"/>
        <w:rPr>
          <w:rFonts w:hint="eastAsia" w:ascii="方正小标宋简体" w:eastAsia="方正小标宋简体"/>
          <w:sz w:val="52"/>
          <w:szCs w:val="52"/>
        </w:rPr>
      </w:pPr>
      <w:r>
        <w:rPr>
          <w:rFonts w:hint="eastAsia" w:ascii="方正小标宋简体" w:eastAsia="方正小标宋简体"/>
          <w:sz w:val="52"/>
          <w:szCs w:val="52"/>
        </w:rPr>
        <w:t>2023年度</w:t>
      </w:r>
      <w:r>
        <w:rPr>
          <w:rFonts w:hint="eastAsia" w:ascii="方正小标宋简体" w:eastAsia="方正小标宋简体"/>
          <w:sz w:val="52"/>
          <w:szCs w:val="52"/>
          <w:lang w:eastAsia="zh-CN"/>
        </w:rPr>
        <w:t>石岩头国有林场</w:t>
      </w:r>
      <w:r>
        <w:rPr>
          <w:rFonts w:hint="eastAsia" w:ascii="方正小标宋简体" w:eastAsia="方正小标宋简体"/>
          <w:sz w:val="52"/>
          <w:szCs w:val="52"/>
        </w:rPr>
        <w:t>部门（单位）整体支出绩效自评报告</w:t>
      </w:r>
    </w:p>
    <w:p w14:paraId="17FEBCFA">
      <w:pPr>
        <w:jc w:val="center"/>
        <w:rPr>
          <w:rFonts w:eastAsia="方正小标宋_GBK"/>
          <w:b/>
          <w:sz w:val="52"/>
          <w:szCs w:val="52"/>
        </w:rPr>
      </w:pPr>
    </w:p>
    <w:p w14:paraId="6279B70B">
      <w:pPr>
        <w:jc w:val="center"/>
        <w:rPr>
          <w:rFonts w:eastAsia="楷体_GB2312"/>
          <w:b/>
          <w:sz w:val="32"/>
          <w:szCs w:val="32"/>
        </w:rPr>
      </w:pPr>
    </w:p>
    <w:p w14:paraId="051DE00E">
      <w:pPr>
        <w:jc w:val="center"/>
        <w:rPr>
          <w:rFonts w:eastAsia="楷体_GB2312"/>
          <w:b/>
          <w:sz w:val="32"/>
          <w:szCs w:val="32"/>
        </w:rPr>
      </w:pPr>
    </w:p>
    <w:p w14:paraId="6DDAA838">
      <w:pPr>
        <w:jc w:val="center"/>
        <w:rPr>
          <w:rFonts w:eastAsia="楷体_GB2312"/>
          <w:b/>
          <w:sz w:val="32"/>
          <w:szCs w:val="32"/>
        </w:rPr>
      </w:pPr>
    </w:p>
    <w:p w14:paraId="314A4F4E">
      <w:pPr>
        <w:jc w:val="center"/>
        <w:rPr>
          <w:rFonts w:eastAsia="楷体_GB2312"/>
          <w:b/>
          <w:sz w:val="32"/>
          <w:szCs w:val="32"/>
        </w:rPr>
      </w:pPr>
    </w:p>
    <w:p w14:paraId="42A674FE">
      <w:pPr>
        <w:jc w:val="center"/>
        <w:rPr>
          <w:rFonts w:eastAsia="楷体_GB2312"/>
          <w:b/>
          <w:sz w:val="32"/>
          <w:szCs w:val="32"/>
        </w:rPr>
      </w:pPr>
    </w:p>
    <w:p w14:paraId="06C6E40B">
      <w:pPr>
        <w:jc w:val="center"/>
        <w:rPr>
          <w:rFonts w:eastAsia="楷体_GB2312"/>
          <w:b/>
          <w:sz w:val="32"/>
          <w:szCs w:val="32"/>
        </w:rPr>
      </w:pPr>
    </w:p>
    <w:p w14:paraId="653ED86E">
      <w:pPr>
        <w:jc w:val="center"/>
        <w:rPr>
          <w:rFonts w:eastAsia="黑体"/>
          <w:sz w:val="32"/>
          <w:szCs w:val="32"/>
        </w:rPr>
      </w:pPr>
    </w:p>
    <w:p w14:paraId="3E0D6D8A">
      <w:pPr>
        <w:jc w:val="center"/>
        <w:rPr>
          <w:rFonts w:eastAsia="黑体"/>
          <w:sz w:val="32"/>
          <w:szCs w:val="32"/>
        </w:rPr>
      </w:pPr>
    </w:p>
    <w:p w14:paraId="481A22F1">
      <w:pPr>
        <w:spacing w:line="600" w:lineRule="exact"/>
        <w:jc w:val="center"/>
        <w:rPr>
          <w:rFonts w:eastAsia="仿宋_GB2312"/>
          <w:sz w:val="32"/>
          <w:szCs w:val="32"/>
          <w:u w:val="single"/>
        </w:rPr>
      </w:pPr>
      <w:r>
        <w:rPr>
          <w:rFonts w:eastAsia="仿宋_GB2312"/>
          <w:sz w:val="32"/>
          <w:szCs w:val="32"/>
        </w:rPr>
        <w:t>单位名称：</w:t>
      </w:r>
      <w:r>
        <w:rPr>
          <w:rFonts w:eastAsia="仿宋_GB2312"/>
          <w:sz w:val="32"/>
          <w:szCs w:val="32"/>
          <w:u w:val="single"/>
        </w:rPr>
        <w:t>（盖章）</w:t>
      </w:r>
    </w:p>
    <w:p w14:paraId="331E4992">
      <w:pPr>
        <w:spacing w:line="600" w:lineRule="exact"/>
        <w:ind w:firstLine="3200" w:firstLineChars="1000"/>
        <w:rPr>
          <w:rFonts w:eastAsia="楷体_GB2312"/>
          <w:sz w:val="32"/>
          <w:szCs w:val="32"/>
        </w:rPr>
      </w:pPr>
      <w:r>
        <w:rPr>
          <w:rFonts w:hint="eastAsia" w:eastAsia="楷体_GB2312"/>
          <w:sz w:val="32"/>
          <w:szCs w:val="32"/>
          <w:lang w:val="en-US" w:eastAsia="zh-CN"/>
        </w:rPr>
        <w:t>2024</w:t>
      </w:r>
      <w:r>
        <w:rPr>
          <w:rFonts w:eastAsia="楷体_GB2312"/>
          <w:sz w:val="32"/>
          <w:szCs w:val="32"/>
        </w:rPr>
        <w:t xml:space="preserve">年 </w:t>
      </w:r>
      <w:r>
        <w:rPr>
          <w:rFonts w:hint="eastAsia" w:eastAsia="楷体_GB2312"/>
          <w:sz w:val="32"/>
          <w:szCs w:val="32"/>
          <w:lang w:val="en-US" w:eastAsia="zh-CN"/>
        </w:rPr>
        <w:t>5</w:t>
      </w:r>
      <w:r>
        <w:rPr>
          <w:rFonts w:eastAsia="楷体_GB2312"/>
          <w:sz w:val="32"/>
          <w:szCs w:val="32"/>
        </w:rPr>
        <w:t xml:space="preserve"> 月 </w:t>
      </w:r>
      <w:r>
        <w:rPr>
          <w:rFonts w:hint="eastAsia" w:eastAsia="楷体_GB2312"/>
          <w:sz w:val="32"/>
          <w:szCs w:val="32"/>
          <w:lang w:val="en-US" w:eastAsia="zh-CN"/>
        </w:rPr>
        <w:t>9</w:t>
      </w:r>
      <w:r>
        <w:rPr>
          <w:rFonts w:eastAsia="楷体_GB2312"/>
          <w:sz w:val="32"/>
          <w:szCs w:val="32"/>
        </w:rPr>
        <w:t xml:space="preserve"> 日</w:t>
      </w:r>
    </w:p>
    <w:p w14:paraId="19D07A56">
      <w:pPr>
        <w:jc w:val="center"/>
        <w:rPr>
          <w:rFonts w:eastAsia="黑体"/>
          <w:sz w:val="32"/>
          <w:szCs w:val="32"/>
        </w:rPr>
      </w:pPr>
    </w:p>
    <w:p w14:paraId="5E335E26">
      <w:pPr>
        <w:jc w:val="center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（此页为封面）</w:t>
      </w:r>
    </w:p>
    <w:p w14:paraId="24F1DDB3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eastAsia="黑体"/>
          <w:sz w:val="32"/>
          <w:szCs w:val="32"/>
        </w:rPr>
      </w:pPr>
      <w:r>
        <w:rPr>
          <w:rFonts w:eastAsia="仿宋_GB2312"/>
          <w:sz w:val="32"/>
          <w:szCs w:val="32"/>
        </w:rPr>
        <w:br w:type="page"/>
      </w:r>
      <w:r>
        <w:rPr>
          <w:rFonts w:hint="eastAsia" w:ascii="黑体" w:hAnsi="黑体" w:eastAsia="黑体" w:cs="黑体"/>
          <w:sz w:val="32"/>
          <w:szCs w:val="32"/>
        </w:rPr>
        <w:t>一、</w:t>
      </w:r>
      <w:r>
        <w:rPr>
          <w:rFonts w:eastAsia="黑体"/>
          <w:sz w:val="32"/>
          <w:szCs w:val="32"/>
        </w:rPr>
        <w:t>部门（单位）基本情况</w:t>
      </w:r>
    </w:p>
    <w:p w14:paraId="70DC51F2">
      <w:pPr>
        <w:keepNext w:val="0"/>
        <w:keepLines w:val="0"/>
        <w:pageBreakBefore w:val="0"/>
        <w:widowControl w:val="0"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（一）部门（单位）职能职责、机构编制、人员构成等。</w:t>
      </w:r>
    </w:p>
    <w:p w14:paraId="319114C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1．主要职能。</w:t>
      </w:r>
    </w:p>
    <w:p w14:paraId="62B115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（1）管理国有林场，促进生态林业发展；</w:t>
      </w:r>
    </w:p>
    <w:p w14:paraId="1E311F4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（2）造林、抚育、护林防火，增加森林蓄积量；</w:t>
      </w:r>
    </w:p>
    <w:p w14:paraId="3F7BBA9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（3）促进林场持续性发展，维护生态平衡。</w:t>
      </w:r>
    </w:p>
    <w:p w14:paraId="1C2482F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2．机构情况，包括当年变动情况及原因。</w:t>
      </w:r>
    </w:p>
    <w:p w14:paraId="072641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石岩头国有林场正科级全额拨款事业单位，共有内设股室7个（办公室、森林资源保护股、生产股、计财股、人事股、林长制、防火办），为财务独立核算单位； 林场经营总面积2103.3公顷，其中林业用地2097.7公顷，有省级生态公益林1363.2公顷，商品林734.5公顷，全场活立木总蓄积128300立方米，均为杉木蓄积。</w:t>
      </w:r>
    </w:p>
    <w:p w14:paraId="21BB386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3．人员情况，包括当年变动情况及原因。</w:t>
      </w:r>
    </w:p>
    <w:p w14:paraId="37D1E24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</w:t>
      </w:r>
      <w:r>
        <w:rPr>
          <w:rFonts w:hint="eastAsia" w:ascii="仿宋_GB2312" w:eastAsia="仿宋_GB2312"/>
          <w:sz w:val="32"/>
          <w:szCs w:val="32"/>
        </w:rPr>
        <w:t>年核定编制人数为36人，全额编制36人，实有在职人员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30</w:t>
      </w:r>
      <w:r>
        <w:rPr>
          <w:rFonts w:hint="eastAsia" w:ascii="仿宋_GB2312" w:eastAsia="仿宋_GB2312"/>
          <w:sz w:val="32"/>
          <w:szCs w:val="32"/>
        </w:rPr>
        <w:t>人，退休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38</w:t>
      </w:r>
      <w:r>
        <w:rPr>
          <w:rFonts w:hint="eastAsia" w:ascii="仿宋_GB2312" w:eastAsia="仿宋_GB2312"/>
          <w:sz w:val="32"/>
          <w:szCs w:val="32"/>
        </w:rPr>
        <w:t>人。班子成员4名；林业工程师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4</w:t>
      </w:r>
      <w:r>
        <w:rPr>
          <w:rFonts w:hint="eastAsia" w:ascii="仿宋_GB2312" w:eastAsia="仿宋_GB2312"/>
          <w:sz w:val="32"/>
          <w:szCs w:val="32"/>
        </w:rPr>
        <w:t>名，专业技术人员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9</w:t>
      </w:r>
      <w:r>
        <w:rPr>
          <w:rFonts w:hint="eastAsia" w:ascii="仿宋_GB2312" w:eastAsia="仿宋_GB2312"/>
          <w:sz w:val="32"/>
          <w:szCs w:val="32"/>
        </w:rPr>
        <w:t>名；管理人员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5</w:t>
      </w:r>
      <w:r>
        <w:rPr>
          <w:rFonts w:hint="eastAsia" w:ascii="仿宋_GB2312" w:eastAsia="仿宋_GB2312"/>
          <w:sz w:val="32"/>
          <w:szCs w:val="32"/>
        </w:rPr>
        <w:t>名；其余为工勤技能人员。</w:t>
      </w:r>
    </w:p>
    <w:p w14:paraId="79495A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（二）部门（单位）整体支出规模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eastAsia="仿宋_GB2312"/>
          <w:color w:val="000000"/>
          <w:sz w:val="32"/>
          <w:szCs w:val="32"/>
        </w:rPr>
        <w:t>包括但不限于部门整体支出情况、部门预算收支决算情况及“三公经费”支出使用和管理情况。</w:t>
      </w:r>
    </w:p>
    <w:p w14:paraId="70B6E68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2023年年初预算数总收入605.78万元，年初支出总预算为605.78万元，较上年增加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123.92</w:t>
      </w:r>
      <w:r>
        <w:rPr>
          <w:rFonts w:hint="eastAsia" w:eastAsia="仿宋_GB2312"/>
          <w:color w:val="000000"/>
          <w:sz w:val="32"/>
          <w:szCs w:val="32"/>
        </w:rPr>
        <w:t>万元，</w:t>
      </w:r>
      <w:r>
        <w:rPr>
          <w:rFonts w:hint="eastAsia" w:eastAsia="仿宋_GB2312"/>
          <w:color w:val="000000"/>
          <w:sz w:val="32"/>
          <w:szCs w:val="32"/>
          <w:lang w:eastAsia="zh-CN"/>
        </w:rPr>
        <w:t>增加</w:t>
      </w:r>
      <w:r>
        <w:rPr>
          <w:rFonts w:hint="eastAsia" w:eastAsia="仿宋_GB2312"/>
          <w:color w:val="000000"/>
          <w:sz w:val="32"/>
          <w:szCs w:val="32"/>
        </w:rPr>
        <w:t>幅度为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25.72</w:t>
      </w:r>
      <w:r>
        <w:rPr>
          <w:rFonts w:hint="eastAsia" w:eastAsia="仿宋_GB2312"/>
          <w:color w:val="000000"/>
          <w:sz w:val="32"/>
          <w:szCs w:val="32"/>
        </w:rPr>
        <w:t>%。主要原因是实施精准提升项目及乡村振兴康养生态项目。</w:t>
      </w:r>
    </w:p>
    <w:p w14:paraId="4B0FBEF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textAlignment w:val="auto"/>
        <w:rPr>
          <w:rFonts w:hint="eastAsia"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“三公”经费支出情况：2023年财政拨款安排“三公”经费预算数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3.18</w:t>
      </w:r>
      <w:r>
        <w:rPr>
          <w:rFonts w:hint="eastAsia" w:eastAsia="仿宋_GB2312"/>
          <w:color w:val="000000"/>
          <w:sz w:val="32"/>
          <w:szCs w:val="32"/>
        </w:rPr>
        <w:t>万元，其中：因公出国（境）费0万元，公务用车购置及运行费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1.64</w:t>
      </w:r>
      <w:r>
        <w:rPr>
          <w:rFonts w:hint="eastAsia" w:eastAsia="仿宋_GB2312"/>
          <w:color w:val="000000"/>
          <w:sz w:val="32"/>
          <w:szCs w:val="32"/>
        </w:rPr>
        <w:t>万元，（其中：购置费0万元、运行费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1.64</w:t>
      </w:r>
      <w:r>
        <w:rPr>
          <w:rFonts w:hint="eastAsia" w:eastAsia="仿宋_GB2312"/>
          <w:color w:val="000000"/>
          <w:sz w:val="32"/>
          <w:szCs w:val="32"/>
        </w:rPr>
        <w:t>万元），公务接待费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1.54</w:t>
      </w:r>
      <w:r>
        <w:rPr>
          <w:rFonts w:hint="eastAsia" w:eastAsia="仿宋_GB2312"/>
          <w:color w:val="000000"/>
          <w:sz w:val="32"/>
          <w:szCs w:val="32"/>
        </w:rPr>
        <w:t>万元。</w:t>
      </w:r>
      <w:bookmarkStart w:id="0" w:name="_GoBack"/>
      <w:bookmarkEnd w:id="0"/>
      <w:r>
        <w:rPr>
          <w:rFonts w:hint="eastAsia" w:eastAsia="仿宋_GB2312"/>
          <w:color w:val="000000"/>
          <w:sz w:val="32"/>
          <w:szCs w:val="32"/>
        </w:rPr>
        <w:t>2023年“三公”经费实际支出数1.54万元，2022年“三公”经费实际支出数1.37万元，与上年相比，增加了0.17万元，增加了12.41%，主要原因单位工作交流变多。</w:t>
      </w:r>
    </w:p>
    <w:p w14:paraId="7FD17071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/>
        <w:textAlignment w:val="auto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二、一般公共预算支出情况</w:t>
      </w:r>
    </w:p>
    <w:p w14:paraId="1B0D444D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/>
        <w:textAlignment w:val="auto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（一）基本支出情况</w:t>
      </w:r>
    </w:p>
    <w:p w14:paraId="38E63F39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/>
        <w:textAlignment w:val="auto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基本支出总数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452.5</w:t>
      </w:r>
      <w:r>
        <w:rPr>
          <w:rFonts w:hint="eastAsia" w:ascii="Times New Roman" w:hAnsi="Times New Roman" w:eastAsia="仿宋_GB2312"/>
          <w:sz w:val="32"/>
          <w:szCs w:val="32"/>
        </w:rPr>
        <w:t>万元，其中：工资福利支出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347.42</w:t>
      </w:r>
      <w:r>
        <w:rPr>
          <w:rFonts w:hint="eastAsia" w:ascii="Times New Roman" w:hAnsi="Times New Roman" w:eastAsia="仿宋_GB2312"/>
          <w:sz w:val="32"/>
          <w:szCs w:val="32"/>
        </w:rPr>
        <w:t>万元，对个人和家庭的补助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20.23</w:t>
      </w:r>
      <w:r>
        <w:rPr>
          <w:rFonts w:hint="eastAsia" w:ascii="Times New Roman" w:hAnsi="Times New Roman" w:eastAsia="仿宋_GB2312"/>
          <w:sz w:val="32"/>
          <w:szCs w:val="32"/>
        </w:rPr>
        <w:t>万元，商品和服务支出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84.85</w:t>
      </w:r>
      <w:r>
        <w:rPr>
          <w:rFonts w:hint="eastAsia" w:ascii="Times New Roman" w:hAnsi="Times New Roman" w:eastAsia="仿宋_GB2312"/>
          <w:sz w:val="32"/>
          <w:szCs w:val="32"/>
        </w:rPr>
        <w:t>万元。</w:t>
      </w:r>
    </w:p>
    <w:p w14:paraId="404826E4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/>
        <w:textAlignment w:val="auto"/>
        <w:rPr>
          <w:rFonts w:ascii="Times New Roman" w:hAnsi="Times New Roman" w:eastAsia="仿宋_GB2312"/>
          <w:sz w:val="32"/>
          <w:szCs w:val="32"/>
        </w:rPr>
      </w:pPr>
      <w:r>
        <w:rPr>
          <w:rFonts w:ascii="Times New Roman" w:hAnsi="Times New Roman" w:eastAsia="仿宋_GB2312"/>
          <w:sz w:val="32"/>
          <w:szCs w:val="32"/>
        </w:rPr>
        <w:t>（二）项目支出情况</w:t>
      </w:r>
    </w:p>
    <w:p w14:paraId="361F37C8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/>
        <w:textAlignment w:val="auto"/>
        <w:rPr>
          <w:rFonts w:hint="eastAsia" w:ascii="Times New Roman" w:hAnsi="Times New Roman" w:eastAsia="仿宋_GB2312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1、其他一般公共服务支出0.57万元。</w:t>
      </w:r>
    </w:p>
    <w:p w14:paraId="6F171076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/>
        <w:textAlignment w:val="auto"/>
        <w:rPr>
          <w:rFonts w:hint="eastAsia" w:ascii="Times New Roman" w:hAnsi="Times New Roman" w:eastAsia="仿宋_GB2312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2、2021年重点区域生态保护和修复精准提升项目30万元。</w:t>
      </w:r>
    </w:p>
    <w:p w14:paraId="1D147C89">
      <w:pPr>
        <w:pStyle w:val="6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/>
        <w:textAlignment w:val="auto"/>
        <w:rPr>
          <w:rFonts w:hint="eastAsia" w:ascii="Times New Roman" w:hAnsi="Times New Roman" w:eastAsia="仿宋_GB2312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天然林停伐补助5.71万元。</w:t>
      </w:r>
    </w:p>
    <w:p w14:paraId="013FF20E">
      <w:pPr>
        <w:pStyle w:val="6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/>
        <w:textAlignment w:val="auto"/>
        <w:rPr>
          <w:rFonts w:hint="default" w:ascii="Times New Roman" w:hAnsi="Times New Roman" w:eastAsia="仿宋_GB231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/>
          <w:sz w:val="32"/>
          <w:szCs w:val="32"/>
          <w:lang w:val="en-US" w:eastAsia="zh-CN"/>
        </w:rPr>
        <w:t>康养生态旅游项目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42万元。</w:t>
      </w:r>
    </w:p>
    <w:p w14:paraId="48D34583">
      <w:pPr>
        <w:pStyle w:val="6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/>
        <w:textAlignment w:val="auto"/>
        <w:rPr>
          <w:rFonts w:hint="default" w:ascii="Times New Roman" w:hAnsi="Times New Roman" w:eastAsia="仿宋_GB2312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/>
          <w:sz w:val="32"/>
          <w:szCs w:val="32"/>
          <w:lang w:val="en-US" w:eastAsia="zh-CN"/>
        </w:rPr>
        <w:t>2021年重点区域生态保护和修复精准提升项目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75万元。</w:t>
      </w:r>
    </w:p>
    <w:p w14:paraId="660F3F51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/>
        <w:jc w:val="both"/>
        <w:textAlignment w:val="auto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三、政府性基金预算支出情况</w:t>
      </w:r>
      <w:r>
        <w:rPr>
          <w:rFonts w:hint="eastAsia" w:ascii="Times New Roman" w:hAnsi="Times New Roman" w:eastAsia="黑体"/>
          <w:sz w:val="32"/>
          <w:szCs w:val="32"/>
        </w:rPr>
        <w:t>。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若无，请注明“我单位无政府性基金预算支出情况”</w:t>
      </w:r>
    </w:p>
    <w:p w14:paraId="18F4C3A5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/>
        <w:jc w:val="both"/>
        <w:textAlignment w:val="auto"/>
        <w:rPr>
          <w:rFonts w:hint="eastAsia" w:ascii="Times New Roman" w:hAnsi="Times New Roman" w:eastAsia="仿宋_GB2312"/>
          <w:color w:val="00000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我单位无政府性基金预算支出情况</w:t>
      </w:r>
      <w:r>
        <w:rPr>
          <w:rFonts w:hint="eastAsia" w:ascii="Times New Roman" w:hAnsi="Times New Roman" w:eastAsia="仿宋_GB2312"/>
          <w:color w:val="000000"/>
          <w:sz w:val="32"/>
          <w:szCs w:val="32"/>
          <w:lang w:eastAsia="zh-CN"/>
        </w:rPr>
        <w:t>。</w:t>
      </w:r>
    </w:p>
    <w:p w14:paraId="4243D858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/>
        <w:jc w:val="both"/>
        <w:textAlignment w:val="auto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四、国有资本经营预算支出情况</w:t>
      </w:r>
      <w:r>
        <w:rPr>
          <w:rFonts w:hint="eastAsia" w:ascii="Times New Roman" w:hAnsi="Times New Roman" w:eastAsia="黑体"/>
          <w:sz w:val="32"/>
          <w:szCs w:val="32"/>
        </w:rPr>
        <w:t>。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若无，请注明“我单位无国有资本经营预算支出情况”</w:t>
      </w:r>
    </w:p>
    <w:p w14:paraId="1C41FF08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/>
        <w:jc w:val="both"/>
        <w:textAlignment w:val="auto"/>
        <w:rPr>
          <w:rFonts w:hint="eastAsia" w:ascii="Times New Roman" w:hAnsi="Times New Roman" w:eastAsia="仿宋_GB2312"/>
          <w:color w:val="00000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我单位无国有资本经营预算支出情况</w:t>
      </w:r>
      <w:r>
        <w:rPr>
          <w:rFonts w:hint="eastAsia" w:ascii="Times New Roman" w:hAnsi="Times New Roman" w:eastAsia="仿宋_GB2312"/>
          <w:color w:val="000000"/>
          <w:sz w:val="32"/>
          <w:szCs w:val="32"/>
          <w:lang w:eastAsia="zh-CN"/>
        </w:rPr>
        <w:t>。</w:t>
      </w:r>
    </w:p>
    <w:p w14:paraId="1EDF1D28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/>
        <w:jc w:val="both"/>
        <w:textAlignment w:val="auto"/>
        <w:rPr>
          <w:rFonts w:hint="eastAsia" w:ascii="Times New Roman" w:hAnsi="Times New Roman" w:eastAsia="仿宋_GB2312"/>
          <w:color w:val="000000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五、社会保险基金预算支出情况</w:t>
      </w:r>
      <w:r>
        <w:rPr>
          <w:rFonts w:hint="eastAsia" w:ascii="Times New Roman" w:hAnsi="Times New Roman" w:eastAsia="黑体"/>
          <w:sz w:val="32"/>
          <w:szCs w:val="32"/>
        </w:rPr>
        <w:t>。</w:t>
      </w:r>
      <w:r>
        <w:rPr>
          <w:rFonts w:hint="eastAsia" w:ascii="Times New Roman" w:hAnsi="Times New Roman" w:eastAsia="仿宋_GB2312"/>
          <w:color w:val="000000"/>
          <w:sz w:val="32"/>
          <w:szCs w:val="32"/>
        </w:rPr>
        <w:t>若无，请注明“我单位无社会保险基金预算支出情况”</w:t>
      </w:r>
    </w:p>
    <w:p w14:paraId="3E3D3347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/>
        <w:jc w:val="both"/>
        <w:textAlignment w:val="auto"/>
        <w:rPr>
          <w:rFonts w:hint="eastAsia" w:ascii="Times New Roman" w:hAnsi="Times New Roman" w:eastAsia="仿宋_GB2312"/>
          <w:color w:val="00000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/>
          <w:color w:val="000000"/>
          <w:sz w:val="32"/>
          <w:szCs w:val="32"/>
        </w:rPr>
        <w:t>我单位无社会保险基金预算支出情况</w:t>
      </w:r>
      <w:r>
        <w:rPr>
          <w:rFonts w:hint="eastAsia" w:ascii="Times New Roman" w:hAnsi="Times New Roman" w:eastAsia="仿宋_GB2312"/>
          <w:color w:val="000000"/>
          <w:sz w:val="32"/>
          <w:szCs w:val="32"/>
          <w:lang w:eastAsia="zh-CN"/>
        </w:rPr>
        <w:t>。</w:t>
      </w:r>
    </w:p>
    <w:p w14:paraId="1285E7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jc w:val="both"/>
        <w:textAlignment w:val="auto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六、部门整体支出绩效情况</w:t>
      </w:r>
    </w:p>
    <w:p w14:paraId="6DEB88B4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/>
        <w:jc w:val="both"/>
        <w:textAlignment w:val="auto"/>
        <w:rPr>
          <w:rFonts w:hint="eastAsia"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1、202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3</w:t>
      </w:r>
      <w:r>
        <w:rPr>
          <w:rFonts w:hint="eastAsia" w:eastAsia="仿宋_GB2312"/>
          <w:color w:val="000000"/>
          <w:sz w:val="32"/>
          <w:szCs w:val="32"/>
        </w:rPr>
        <w:t>年，组织实施林区义务植树护树活动，利用植树节的活动，林场全体干部职工在林区多点开展义务植树活动，；同时不定期开展有害生物监测，及时有效排查处理林区有害生物病虫害的发生，目前全场未发生一起有害生物至害现象。</w:t>
      </w:r>
    </w:p>
    <w:p w14:paraId="32C613AB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/>
        <w:jc w:val="both"/>
        <w:textAlignment w:val="auto"/>
        <w:rPr>
          <w:rFonts w:hint="eastAsia"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2、严守森林防火底线，多措并举确保林区202</w:t>
      </w:r>
      <w:r>
        <w:rPr>
          <w:rFonts w:hint="eastAsia" w:eastAsia="仿宋_GB2312"/>
          <w:color w:val="000000"/>
          <w:sz w:val="32"/>
          <w:szCs w:val="32"/>
          <w:lang w:val="en-US" w:eastAsia="zh-CN"/>
        </w:rPr>
        <w:t>3</w:t>
      </w:r>
      <w:r>
        <w:rPr>
          <w:rFonts w:hint="eastAsia" w:eastAsia="仿宋_GB2312"/>
          <w:color w:val="000000"/>
          <w:sz w:val="32"/>
          <w:szCs w:val="32"/>
        </w:rPr>
        <w:t>年无一处火情发生。今年以来，林场狠抓源头，通过值班守卡、入户敲门、广播宣传、标语粘贴、开屋场会等多种形式、高密度的活动，在林区营造出一种森林防火高压态势，让群众充分意识到森林火灾的危害性以及引发森林火灾的严重性，让失火必抓，纵火必坐牢的思想深入人心，从源头上杜绝了森林火灾的发生。</w:t>
      </w:r>
    </w:p>
    <w:p w14:paraId="47EF398A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/>
        <w:jc w:val="both"/>
        <w:textAlignment w:val="auto"/>
        <w:rPr>
          <w:rFonts w:hint="eastAsia"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3、我场不断加强防火线维修，对已有的防火线（林道）实施施杀农达除草及砍青项目作业，以确保辖区内森林安全，林区防火线（林道）常年具备防火功能，防火道内通行无碍；另一方面配备齐全、有效的灭火装备，如：油锯、风力灭火、气雾灭火机及割灌机等，同时定期开展重大安全（森林火险）隐患排查。</w:t>
      </w:r>
    </w:p>
    <w:p w14:paraId="36CEC673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/>
        <w:jc w:val="both"/>
        <w:textAlignment w:val="auto"/>
        <w:rPr>
          <w:rFonts w:hint="eastAsia" w:eastAsia="仿宋_GB2312"/>
          <w:color w:val="000000"/>
          <w:sz w:val="32"/>
          <w:szCs w:val="32"/>
        </w:rPr>
      </w:pPr>
      <w:r>
        <w:rPr>
          <w:rFonts w:hint="eastAsia" w:eastAsia="仿宋_GB2312"/>
          <w:color w:val="000000"/>
          <w:sz w:val="32"/>
          <w:szCs w:val="32"/>
        </w:rPr>
        <w:t>4、为有效推进林场林长制工作有序开展，确保事有人做，责有人担，林场成立以场长为林长，分管副场长为第一副林长，其他副场长为副林长的领导机构，下设林长办，分管副场长任林长办主任，成员由督查员、护林员、执法人员及下半年增设的两名技术员组成；为明确责任分工，经场委会研究，决定将全场所有林区分片，“一长三员”分片包干，全场共设置四个网格六个值班卡点，场班子成员一正三副各负责一个网格，各网格内所有值班卡点均安排一至二名护林员值班值守，技术员根据林长制工作要求，对各网格进行技术指导，督查员根据工作方案要求，对各网格林长制工作落实情况开展不定期督查，形成督查报告报场林长办，对督查中发现的问题，场林长办明及时上报林长、副林长处理，执法人员根据林长制工作要求，及时在林区及周边毗邻村开展法制宣传，并对违法违规行为做出处罚。</w:t>
      </w:r>
    </w:p>
    <w:p w14:paraId="53103B62">
      <w:pPr>
        <w:pStyle w:val="6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/>
        <w:jc w:val="both"/>
        <w:textAlignment w:val="auto"/>
        <w:rPr>
          <w:rFonts w:ascii="Times New Roman" w:hAnsi="Times New Roman" w:eastAsia="黑体"/>
          <w:sz w:val="32"/>
          <w:szCs w:val="32"/>
        </w:rPr>
      </w:pPr>
      <w:r>
        <w:rPr>
          <w:rFonts w:ascii="Times New Roman" w:hAnsi="Times New Roman" w:eastAsia="黑体"/>
          <w:sz w:val="32"/>
          <w:szCs w:val="32"/>
        </w:rPr>
        <w:t>七、存在的问题及原因分析</w:t>
      </w:r>
    </w:p>
    <w:p w14:paraId="52F645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jc w:val="both"/>
        <w:textAlignment w:val="auto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可以从预算和预算绩效管理，部门履职效能，资金分配、</w:t>
      </w:r>
      <w:r>
        <w:rPr>
          <w:rFonts w:eastAsia="仿宋_GB2312"/>
          <w:spacing w:val="0"/>
          <w:sz w:val="32"/>
          <w:szCs w:val="32"/>
        </w:rPr>
        <w:t>使用和管理，资产和财务管理、政府采购等方面归纳存在的问题；反映各种</w:t>
      </w:r>
      <w:r>
        <w:rPr>
          <w:rFonts w:eastAsia="仿宋_GB2312"/>
          <w:color w:val="000000"/>
          <w:spacing w:val="0"/>
          <w:sz w:val="32"/>
          <w:szCs w:val="32"/>
        </w:rPr>
        <w:t>预算支出执行偏离绩效目标的情况，</w:t>
      </w:r>
      <w:r>
        <w:rPr>
          <w:rFonts w:eastAsia="仿宋_GB2312"/>
          <w:spacing w:val="0"/>
          <w:sz w:val="32"/>
          <w:szCs w:val="32"/>
        </w:rPr>
        <w:t>并分析其原因。</w:t>
      </w:r>
    </w:p>
    <w:p w14:paraId="13F59BF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jc w:val="both"/>
        <w:textAlignment w:val="auto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八、下一步改进措施</w:t>
      </w:r>
    </w:p>
    <w:p w14:paraId="099C83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jc w:val="both"/>
        <w:textAlignment w:val="auto"/>
        <w:rPr>
          <w:rFonts w:eastAsia="仿宋_GB2312"/>
          <w:color w:val="000000"/>
          <w:spacing w:val="0"/>
          <w:sz w:val="32"/>
          <w:szCs w:val="32"/>
        </w:rPr>
      </w:pPr>
      <w:r>
        <w:rPr>
          <w:rFonts w:hint="eastAsia" w:eastAsia="仿宋_GB2312"/>
          <w:color w:val="000000"/>
          <w:spacing w:val="0"/>
          <w:sz w:val="32"/>
          <w:szCs w:val="32"/>
        </w:rPr>
        <w:t>加强全体职工的学习，提高业务水平，在预算内完成工作任务。</w:t>
      </w:r>
    </w:p>
    <w:p w14:paraId="2069CBE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jc w:val="both"/>
        <w:textAlignment w:val="auto"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九、部门整体支出绩效自评结果拟应用和公开情况</w:t>
      </w:r>
    </w:p>
    <w:p w14:paraId="787684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jc w:val="both"/>
        <w:textAlignment w:val="auto"/>
        <w:rPr>
          <w:rFonts w:eastAsia="黑体"/>
          <w:sz w:val="32"/>
          <w:szCs w:val="32"/>
        </w:rPr>
      </w:pPr>
      <w:r>
        <w:rPr>
          <w:rFonts w:hint="eastAsia" w:eastAsia="黑体"/>
          <w:sz w:val="32"/>
          <w:szCs w:val="32"/>
        </w:rPr>
        <w:t>十、</w:t>
      </w:r>
      <w:r>
        <w:rPr>
          <w:rFonts w:eastAsia="黑体"/>
          <w:sz w:val="32"/>
          <w:szCs w:val="32"/>
        </w:rPr>
        <w:t>其他需要说明的情况</w:t>
      </w:r>
    </w:p>
    <w:p w14:paraId="2067EC8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 w:firstLineChars="200"/>
        <w:jc w:val="both"/>
        <w:textAlignment w:val="auto"/>
        <w:rPr>
          <w:rFonts w:eastAsia="黑体"/>
          <w:sz w:val="32"/>
          <w:szCs w:val="32"/>
        </w:rPr>
      </w:pPr>
    </w:p>
    <w:p w14:paraId="74C49D2E"/>
    <w:p w14:paraId="3694D86E"/>
    <w:p w14:paraId="4E61068A"/>
    <w:p w14:paraId="16FEF94B"/>
    <w:p w14:paraId="7B484A9A"/>
    <w:p w14:paraId="5746BAD6"/>
    <w:p w14:paraId="69E1F43C"/>
    <w:p w14:paraId="47C625EB"/>
    <w:p w14:paraId="0040D0C3"/>
    <w:p w14:paraId="1E2D1B04"/>
    <w:p w14:paraId="49C8CC88"/>
    <w:p w14:paraId="358CDA25"/>
    <w:p w14:paraId="63ADD37A"/>
    <w:p w14:paraId="598BFCC3"/>
    <w:p w14:paraId="725FA812"/>
    <w:p w14:paraId="1BD502F5"/>
    <w:p w14:paraId="1C4CE611"/>
    <w:p w14:paraId="2BC3CCAE"/>
    <w:p w14:paraId="0B236E11"/>
    <w:p w14:paraId="36749842"/>
    <w:p w14:paraId="25C88029"/>
    <w:p w14:paraId="0192B746"/>
    <w:p w14:paraId="77F138B0"/>
    <w:p w14:paraId="214C00F7"/>
    <w:p w14:paraId="63AA0C30"/>
    <w:p w14:paraId="78ED1296"/>
    <w:p w14:paraId="6E91ECFB"/>
    <w:p w14:paraId="46018943"/>
    <w:p w14:paraId="7FA22D23"/>
    <w:p w14:paraId="2835FA92"/>
    <w:p w14:paraId="57147102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F41C241"/>
    <w:multiLevelType w:val="singleLevel"/>
    <w:tmpl w:val="1F41C241"/>
    <w:lvl w:ilvl="0" w:tentative="0">
      <w:start w:val="3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I2YzIwMzBlNjEwMmFmN2M5MWVhZmY5NjFjZTE2YTAifQ=="/>
  </w:docVars>
  <w:rsids>
    <w:rsidRoot w:val="00000000"/>
    <w:rsid w:val="027716AF"/>
    <w:rsid w:val="21383E0D"/>
    <w:rsid w:val="2BEB63D6"/>
    <w:rsid w:val="57636D9A"/>
    <w:rsid w:val="733A0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5">
    <w:name w:val="page number"/>
    <w:basedOn w:val="4"/>
    <w:qFormat/>
    <w:uiPriority w:val="0"/>
  </w:style>
  <w:style w:type="paragraph" w:styleId="6">
    <w:name w:val="List Paragraph"/>
    <w:basedOn w:val="1"/>
    <w:qFormat/>
    <w:uiPriority w:val="99"/>
    <w:pPr>
      <w:ind w:firstLine="420" w:firstLineChars="200"/>
    </w:pPr>
    <w:rPr>
      <w:rFonts w:ascii="Calibri" w:hAnsi="Calibri"/>
      <w:kern w:val="0"/>
      <w:sz w:val="28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1974</Words>
  <Characters>2103</Characters>
  <Lines>0</Lines>
  <Paragraphs>0</Paragraphs>
  <TotalTime>93</TotalTime>
  <ScaleCrop>false</ScaleCrop>
  <LinksUpToDate>false</LinksUpToDate>
  <CharactersWithSpaces>2107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2024-04-24T02:16:00Z</dcterms:created>
  <dc:creator>Administrator</dc:creator>
  <cp:lastModifiedBy>WPS_460001398</cp:lastModifiedBy>
  <dcterms:modified xsi:type="dcterms:W3CDTF">2024-09-24T09:05:39Z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64B117EE14244E91856DE34BC2FCFB28_13</vt:lpwstr>
  </property>
</Properties>
</file>