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4CD5" w14:textId="77777777" w:rsidR="00471994" w:rsidRDefault="00000000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14:paraId="1B3057B4" w14:textId="77777777" w:rsidR="00471994" w:rsidRDefault="00471994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28A16371" w14:textId="77777777" w:rsidR="00471994" w:rsidRDefault="00000000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eastAsia="方正小标宋_GBK" w:hint="eastAsia"/>
          <w:sz w:val="48"/>
          <w:szCs w:val="48"/>
        </w:rPr>
        <w:t>零陵区接待服务中心</w:t>
      </w:r>
      <w:r>
        <w:rPr>
          <w:rFonts w:eastAsia="方正小标宋_GBK"/>
          <w:sz w:val="48"/>
          <w:szCs w:val="48"/>
        </w:rPr>
        <w:t>整体支出</w:t>
      </w:r>
    </w:p>
    <w:p w14:paraId="5270B1BA" w14:textId="77777777" w:rsidR="00471994" w:rsidRDefault="00000000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485F17F1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03265D8F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71DFE4BA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3556B31A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5A21BCD8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5B56807C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208C02F8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365AA97A" w14:textId="77777777" w:rsidR="00471994" w:rsidRDefault="00471994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4F248ECD" w14:textId="77777777" w:rsidR="00471994" w:rsidRDefault="00471994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48873460" w14:textId="77777777" w:rsidR="00471994" w:rsidRDefault="00471994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05F121EB" w14:textId="77777777" w:rsidR="00471994" w:rsidRDefault="00471994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0EAEDC16" w14:textId="77777777" w:rsidR="00471994" w:rsidRDefault="00471994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653DF5CE" w14:textId="77777777" w:rsidR="00471994" w:rsidRDefault="00000000">
      <w:pPr>
        <w:ind w:firstLineChars="200" w:firstLine="72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eastAsia="黑体" w:hint="eastAsia"/>
          <w:sz w:val="36"/>
          <w:szCs w:val="36"/>
        </w:rPr>
        <w:t>零陵区接待服务中心</w:t>
      </w:r>
    </w:p>
    <w:p w14:paraId="150BDA6C" w14:textId="77777777" w:rsidR="00471994" w:rsidRDefault="00471994">
      <w:pPr>
        <w:jc w:val="center"/>
        <w:rPr>
          <w:rFonts w:eastAsia="仿宋_GB2312"/>
          <w:sz w:val="32"/>
          <w:szCs w:val="32"/>
        </w:rPr>
      </w:pPr>
    </w:p>
    <w:p w14:paraId="02C71B02" w14:textId="77777777" w:rsidR="00471994" w:rsidRDefault="00471994">
      <w:pPr>
        <w:jc w:val="center"/>
        <w:rPr>
          <w:rFonts w:eastAsia="仿宋_GB2312"/>
          <w:sz w:val="32"/>
          <w:szCs w:val="32"/>
        </w:rPr>
      </w:pPr>
    </w:p>
    <w:p w14:paraId="2B63D0ED" w14:textId="77777777" w:rsidR="00471994" w:rsidRDefault="00471994">
      <w:pPr>
        <w:jc w:val="center"/>
        <w:rPr>
          <w:rFonts w:eastAsia="黑体"/>
          <w:sz w:val="36"/>
          <w:szCs w:val="36"/>
        </w:rPr>
      </w:pPr>
    </w:p>
    <w:p w14:paraId="2F52EC97" w14:textId="77777777" w:rsidR="00471994" w:rsidRDefault="00471994">
      <w:pPr>
        <w:jc w:val="center"/>
        <w:rPr>
          <w:rFonts w:eastAsia="黑体"/>
          <w:sz w:val="32"/>
          <w:szCs w:val="32"/>
        </w:rPr>
      </w:pPr>
    </w:p>
    <w:p w14:paraId="1B4B3B31" w14:textId="77777777" w:rsidR="00471994" w:rsidRDefault="00000000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p w14:paraId="302A9494" w14:textId="77777777" w:rsidR="00471994" w:rsidRDefault="00000000">
      <w:pP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 w14:paraId="6C92BA12" w14:textId="77777777" w:rsidR="00471994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区接待服务中心是正科级事业单位，</w:t>
      </w:r>
      <w:r>
        <w:rPr>
          <w:rFonts w:ascii="仿宋" w:eastAsia="仿宋" w:hAnsi="仿宋" w:cs="仿宋" w:hint="eastAsia"/>
          <w:sz w:val="32"/>
          <w:szCs w:val="32"/>
        </w:rPr>
        <w:t>为区委直属正科级公益一类事业单位</w:t>
      </w:r>
      <w:r>
        <w:rPr>
          <w:rFonts w:ascii="仿宋" w:eastAsia="仿宋" w:hAnsi="仿宋" w:hint="eastAsia"/>
          <w:sz w:val="32"/>
          <w:szCs w:val="32"/>
        </w:rPr>
        <w:t>，编制8名，其中主任1名，副主任2名，下设综合部、接待部、财务部三个内设机构。</w:t>
      </w:r>
    </w:p>
    <w:p w14:paraId="53F9293E" w14:textId="77777777" w:rsidR="00471994" w:rsidRDefault="00000000">
      <w:pPr>
        <w:spacing w:line="600" w:lineRule="exact"/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2022年实有在职人员</w:t>
      </w:r>
      <w:r>
        <w:rPr>
          <w:rFonts w:ascii="仿宋" w:eastAsia="仿宋" w:hAnsi="仿宋" w:cs="宋体"/>
          <w:color w:val="000000"/>
          <w:sz w:val="32"/>
          <w:szCs w:val="32"/>
        </w:rPr>
        <w:t>本部门核定编制数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>
        <w:rPr>
          <w:rFonts w:ascii="仿宋" w:eastAsia="仿宋" w:hAnsi="仿宋" w:cs="宋体"/>
          <w:color w:val="000000"/>
          <w:sz w:val="32"/>
          <w:szCs w:val="32"/>
        </w:rPr>
        <w:t>名，其中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科级领导编制1名，副科级领导编制2名。</w:t>
      </w:r>
    </w:p>
    <w:p w14:paraId="18B00E29" w14:textId="77777777" w:rsidR="00471994" w:rsidRDefault="00000000">
      <w:pP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eastAsia="楷体_GB2312" w:hint="eastAsia"/>
          <w:b/>
          <w:sz w:val="32"/>
          <w:szCs w:val="32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eastAsia="楷体_GB2312" w:hint="eastAsia"/>
          <w:b/>
          <w:sz w:val="32"/>
          <w:szCs w:val="32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</w:p>
    <w:p w14:paraId="351BFE2E" w14:textId="77777777" w:rsidR="00471994" w:rsidRDefault="00000000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14:paraId="0DF308E6" w14:textId="77777777" w:rsidR="00471994" w:rsidRDefault="00000000">
      <w:pPr>
        <w:pStyle w:val="Style1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14:paraId="3FA91F65" w14:textId="77777777" w:rsidR="00471994" w:rsidRDefault="00000000">
      <w:p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2022年基本支出数为65.25万元，是指为保障单位机构正常运转、完成日常工作任务而发生的各项支出。用于基本工资、津贴补贴、绩效工资、奖金、社保缴费、办公费、交通费、印刷费、公务接待费、办公设备购置等日常公用经费。</w:t>
      </w:r>
    </w:p>
    <w:p w14:paraId="5626363D" w14:textId="77777777" w:rsidR="00471994" w:rsidRDefault="00000000">
      <w:pPr>
        <w:pStyle w:val="Style1"/>
        <w:spacing w:line="60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（二）项目支出情况</w:t>
      </w:r>
    </w:p>
    <w:p w14:paraId="12FBA61E" w14:textId="77777777" w:rsidR="00471994" w:rsidRDefault="00000000">
      <w:pPr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2022年项目支出为186.97</w:t>
      </w:r>
      <w:r>
        <w:rPr>
          <w:rFonts w:ascii="仿宋" w:eastAsia="仿宋" w:hAnsi="仿宋" w:hint="eastAsia"/>
          <w:sz w:val="32"/>
          <w:szCs w:val="32"/>
        </w:rPr>
        <w:t>万元，系我单位为保障区委、区政府正常公（商）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接待运行，完成区委、区政府接待工作和市级、区级各类工作会议工作而发生的支出。</w:t>
      </w:r>
    </w:p>
    <w:p w14:paraId="5B208C36" w14:textId="77777777" w:rsidR="00471994" w:rsidRDefault="00000000">
      <w:pPr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其中：专项接待费支出186.97万元。</w:t>
      </w:r>
    </w:p>
    <w:p w14:paraId="0AAFE01E" w14:textId="77777777" w:rsidR="00471994" w:rsidRDefault="00000000">
      <w:pPr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2022年财政拨款项目专项接待费支出数</w:t>
      </w:r>
      <w:r>
        <w:rPr>
          <w:rFonts w:ascii="仿宋" w:eastAsia="仿宋" w:hAnsi="仿宋" w:hint="eastAsia"/>
          <w:sz w:val="32"/>
          <w:szCs w:val="32"/>
        </w:rPr>
        <w:t>186.97</w:t>
      </w:r>
      <w:r>
        <w:rPr>
          <w:rFonts w:ascii="仿宋_GB2312" w:eastAsia="仿宋_GB2312" w:hAnsi="仿宋" w:hint="eastAsia"/>
          <w:sz w:val="32"/>
          <w:szCs w:val="32"/>
        </w:rPr>
        <w:t>万元，比上年减少22.33万元，下降10.67%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减少变化的主要原因是：严格遵守中央八项规定，严控三公。</w:t>
      </w:r>
    </w:p>
    <w:p w14:paraId="183592FA" w14:textId="77777777" w:rsidR="00471994" w:rsidRDefault="00000000">
      <w:pPr>
        <w:pStyle w:val="Style1"/>
        <w:numPr>
          <w:ilvl w:val="0"/>
          <w:numId w:val="1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政府性基金预算支出情况</w:t>
      </w:r>
    </w:p>
    <w:p w14:paraId="5A543D83" w14:textId="77777777" w:rsidR="00471994" w:rsidRDefault="00000000">
      <w:pPr>
        <w:pStyle w:val="Style1"/>
        <w:spacing w:line="60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无</w:t>
      </w:r>
    </w:p>
    <w:p w14:paraId="6CC8A95F" w14:textId="77777777" w:rsidR="00471994" w:rsidRDefault="00000000">
      <w:pPr>
        <w:pStyle w:val="Style1"/>
        <w:numPr>
          <w:ilvl w:val="0"/>
          <w:numId w:val="1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14:paraId="69169918" w14:textId="77777777" w:rsidR="00471994" w:rsidRDefault="00000000">
      <w:pPr>
        <w:pStyle w:val="Style1"/>
        <w:spacing w:line="600" w:lineRule="exact"/>
        <w:ind w:leftChars="200" w:left="42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无</w:t>
      </w:r>
    </w:p>
    <w:p w14:paraId="22FC2A07" w14:textId="77777777" w:rsidR="00471994" w:rsidRDefault="00000000">
      <w:pPr>
        <w:pStyle w:val="Style1"/>
        <w:numPr>
          <w:ilvl w:val="0"/>
          <w:numId w:val="1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14:paraId="3EE50F22" w14:textId="77777777" w:rsidR="00471994" w:rsidRDefault="00000000">
      <w:pPr>
        <w:pStyle w:val="Style1"/>
        <w:spacing w:line="600" w:lineRule="exact"/>
        <w:ind w:leftChars="200" w:left="420" w:firstLineChars="0" w:firstLine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无</w:t>
      </w:r>
    </w:p>
    <w:p w14:paraId="748254DA" w14:textId="77777777" w:rsidR="00471994" w:rsidRDefault="00000000">
      <w:pPr>
        <w:pStyle w:val="Style1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6FE36AA" w14:textId="77777777" w:rsidR="00471994" w:rsidRDefault="00000000">
      <w:pPr>
        <w:spacing w:line="560" w:lineRule="exact"/>
        <w:ind w:firstLine="64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1、按照区常务会的安排，将全区接待工作移交至区接待服务中心，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保证区接待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服务中心工作顺利完成。</w:t>
      </w:r>
    </w:p>
    <w:p w14:paraId="2184012F" w14:textId="77777777" w:rsidR="00471994" w:rsidRDefault="00000000">
      <w:pPr>
        <w:spacing w:line="560" w:lineRule="exact"/>
        <w:ind w:firstLine="641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2、严格值班制度，保证周末值班，将领导的指示迅速做好安排。</w:t>
      </w:r>
    </w:p>
    <w:p w14:paraId="602E315A" w14:textId="3667E6DE" w:rsidR="00471994" w:rsidRDefault="00000000">
      <w:pPr>
        <w:spacing w:line="560" w:lineRule="exact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3、确保接待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科机构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顺利运转，严格执行</w:t>
      </w:r>
      <w:r w:rsidR="00D53074" w:rsidRPr="00D53074">
        <w:rPr>
          <w:rFonts w:ascii="仿宋" w:eastAsia="仿宋" w:hAnsi="仿宋" w:hint="eastAsia"/>
          <w:color w:val="000000"/>
          <w:sz w:val="32"/>
          <w:szCs w:val="32"/>
        </w:rPr>
        <w:t>中央八项规定</w:t>
      </w:r>
      <w:r>
        <w:rPr>
          <w:rFonts w:ascii="仿宋" w:eastAsia="仿宋" w:hAnsi="仿宋" w:hint="eastAsia"/>
          <w:color w:val="000000"/>
          <w:sz w:val="32"/>
          <w:szCs w:val="32"/>
        </w:rPr>
        <w:t>，规范接待工作，提高精细化服务水平，降低接待风险，严管接待经费使用，控制接待经费增长，完成了年初预算资金的合理使用，有效控制了“三公经费”的支出；建立了完善的固定资产管理制度，配置合理，处置合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67283C42" w14:textId="77777777" w:rsidR="00471994" w:rsidRDefault="00000000">
      <w:pPr>
        <w:pStyle w:val="Style1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14:paraId="0D9CA5C4" w14:textId="77777777" w:rsidR="00471994" w:rsidRDefault="0000000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无</w:t>
      </w:r>
    </w:p>
    <w:p w14:paraId="4D90185C" w14:textId="77777777" w:rsidR="00471994" w:rsidRDefault="00000000">
      <w:pPr>
        <w:numPr>
          <w:ilvl w:val="0"/>
          <w:numId w:val="2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C035831" w14:textId="77777777" w:rsidR="00471994" w:rsidRDefault="00000000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无</w:t>
      </w:r>
    </w:p>
    <w:p w14:paraId="175B1051" w14:textId="77777777" w:rsidR="00471994" w:rsidRDefault="00000000">
      <w:pPr>
        <w:numPr>
          <w:ilvl w:val="0"/>
          <w:numId w:val="2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1B8DB5F7" w14:textId="77777777" w:rsidR="00471994" w:rsidRDefault="0000000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结合《部门整体支出绩效自评表》（见附件），逐项进行细致的评价，得分100分。严格遵守各项财经纪律及相关法规，经费支出途径公开透明，公开了预决算，自觉接受群众</w:t>
      </w:r>
      <w:r>
        <w:rPr>
          <w:rFonts w:ascii="仿宋" w:eastAsia="仿宋" w:hAnsi="仿宋" w:hint="eastAsia"/>
          <w:sz w:val="32"/>
          <w:szCs w:val="32"/>
        </w:rPr>
        <w:lastRenderedPageBreak/>
        <w:t>监督。</w:t>
      </w:r>
    </w:p>
    <w:p w14:paraId="268A8399" w14:textId="77777777" w:rsidR="00471994" w:rsidRDefault="00000000">
      <w:pPr>
        <w:numPr>
          <w:ilvl w:val="0"/>
          <w:numId w:val="2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2AE74745" w14:textId="77777777" w:rsidR="00471994" w:rsidRDefault="00000000">
      <w:pPr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无</w:t>
      </w:r>
    </w:p>
    <w:p w14:paraId="05A5EEDF" w14:textId="77777777" w:rsidR="00471994" w:rsidRDefault="00471994">
      <w:pPr>
        <w:spacing w:line="600" w:lineRule="exact"/>
        <w:ind w:leftChars="200" w:left="420"/>
        <w:rPr>
          <w:rFonts w:eastAsia="黑体"/>
          <w:sz w:val="32"/>
          <w:szCs w:val="32"/>
        </w:rPr>
      </w:pPr>
    </w:p>
    <w:sectPr w:rsidR="00471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879B7"/>
    <w:multiLevelType w:val="singleLevel"/>
    <w:tmpl w:val="50F879B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8A8877F"/>
    <w:multiLevelType w:val="singleLevel"/>
    <w:tmpl w:val="58A8877F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68279667">
    <w:abstractNumId w:val="0"/>
  </w:num>
  <w:num w:numId="2" w16cid:durableId="76218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M5YjViNzZjOGRlN2M0ZGU1M2E1ZDYzNTE3NTcyZDMifQ=="/>
  </w:docVars>
  <w:rsids>
    <w:rsidRoot w:val="0B801CFE"/>
    <w:rsid w:val="00471994"/>
    <w:rsid w:val="00D53074"/>
    <w:rsid w:val="00DE2FD1"/>
    <w:rsid w:val="01957551"/>
    <w:rsid w:val="0B801CFE"/>
    <w:rsid w:val="183B00C2"/>
    <w:rsid w:val="364D35B7"/>
    <w:rsid w:val="43C92F8E"/>
    <w:rsid w:val="5E741F5D"/>
    <w:rsid w:val="60D50E52"/>
    <w:rsid w:val="66AA35A6"/>
    <w:rsid w:val="768232C1"/>
    <w:rsid w:val="770B5290"/>
    <w:rsid w:val="783034D4"/>
    <w:rsid w:val="7AE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EECE6"/>
  <w15:docId w15:val="{63899EC0-34C5-4401-B0A7-1D127F94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hjwfa@outlook.com</cp:lastModifiedBy>
  <cp:revision>2</cp:revision>
  <dcterms:created xsi:type="dcterms:W3CDTF">2025-03-09T02:22:00Z</dcterms:created>
  <dcterms:modified xsi:type="dcterms:W3CDTF">2025-03-09T02:22:00Z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B7F896390E1A4DE686ADE6DBAEE71AEB</vt:lpwstr>
  </property>
</Properties>
</file>