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2E" w:rsidRDefault="00AD072E" w:rsidP="00AD072E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 w:hint="eastAsia"/>
          <w:sz w:val="48"/>
          <w:szCs w:val="48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eastAsia="方正小标宋_GBK" w:hint="eastAsia"/>
          <w:sz w:val="48"/>
          <w:szCs w:val="48"/>
        </w:rPr>
        <w:t>零陵区</w:t>
      </w:r>
      <w:r>
        <w:rPr>
          <w:rFonts w:eastAsia="方正小标宋_GBK" w:hint="eastAsia"/>
          <w:sz w:val="48"/>
          <w:szCs w:val="48"/>
        </w:rPr>
        <w:t>总工会</w:t>
      </w:r>
      <w:r>
        <w:rPr>
          <w:rFonts w:eastAsia="方正小标宋_GBK"/>
          <w:sz w:val="48"/>
          <w:szCs w:val="48"/>
        </w:rPr>
        <w:t>整体支出</w:t>
      </w:r>
    </w:p>
    <w:p w:rsidR="00AD072E" w:rsidRDefault="00AD072E" w:rsidP="00AD072E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:rsidR="00AD072E" w:rsidRDefault="00AD072E" w:rsidP="00AD072E">
      <w:pPr>
        <w:jc w:val="center"/>
        <w:rPr>
          <w:rFonts w:eastAsia="楷体_GB2312"/>
          <w:b/>
          <w:sz w:val="32"/>
          <w:szCs w:val="32"/>
        </w:rPr>
      </w:pPr>
    </w:p>
    <w:p w:rsidR="00AD072E" w:rsidRDefault="00AD072E" w:rsidP="00AD072E">
      <w:pPr>
        <w:jc w:val="center"/>
        <w:rPr>
          <w:rFonts w:eastAsia="黑体"/>
          <w:sz w:val="32"/>
          <w:szCs w:val="32"/>
        </w:rPr>
      </w:pPr>
    </w:p>
    <w:p w:rsidR="00AD072E" w:rsidRDefault="00AD072E" w:rsidP="00AD072E">
      <w:pPr>
        <w:jc w:val="center"/>
        <w:rPr>
          <w:rFonts w:eastAsia="黑体"/>
          <w:sz w:val="32"/>
          <w:szCs w:val="32"/>
        </w:rPr>
      </w:pPr>
    </w:p>
    <w:p w:rsidR="00AD072E" w:rsidRDefault="00AD072E" w:rsidP="00AD072E">
      <w:pPr>
        <w:jc w:val="center"/>
        <w:rPr>
          <w:rFonts w:eastAsia="黑体"/>
          <w:sz w:val="32"/>
          <w:szCs w:val="32"/>
        </w:rPr>
      </w:pPr>
    </w:p>
    <w:p w:rsidR="00AD072E" w:rsidRDefault="00AD072E" w:rsidP="00AD072E">
      <w:pPr>
        <w:jc w:val="center"/>
        <w:rPr>
          <w:rFonts w:eastAsia="黑体"/>
          <w:sz w:val="32"/>
          <w:szCs w:val="32"/>
        </w:rPr>
      </w:pPr>
    </w:p>
    <w:p w:rsidR="00AD072E" w:rsidRDefault="00AD072E" w:rsidP="00AD072E">
      <w:pPr>
        <w:jc w:val="center"/>
        <w:rPr>
          <w:rFonts w:eastAsia="黑体"/>
          <w:sz w:val="32"/>
          <w:szCs w:val="32"/>
        </w:rPr>
      </w:pPr>
    </w:p>
    <w:p w:rsidR="00AD072E" w:rsidRDefault="00AD072E" w:rsidP="00AD072E">
      <w:pPr>
        <w:jc w:val="center"/>
        <w:rPr>
          <w:rFonts w:eastAsia="黑体"/>
          <w:sz w:val="32"/>
          <w:szCs w:val="32"/>
        </w:rPr>
      </w:pPr>
    </w:p>
    <w:p w:rsidR="00AD072E" w:rsidRDefault="00AD072E" w:rsidP="00AD072E">
      <w:pPr>
        <w:jc w:val="center"/>
        <w:rPr>
          <w:rFonts w:eastAsia="黑体"/>
          <w:sz w:val="32"/>
          <w:szCs w:val="32"/>
        </w:rPr>
      </w:pPr>
    </w:p>
    <w:p w:rsidR="00AD072E" w:rsidRDefault="00AD072E" w:rsidP="00AD072E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AD072E" w:rsidRDefault="00AD072E" w:rsidP="00AD072E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AD072E" w:rsidRDefault="00AD072E" w:rsidP="00AD072E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AD072E" w:rsidRDefault="00AD072E" w:rsidP="00AD072E">
      <w:pPr>
        <w:ind w:firstLineChars="200" w:firstLine="72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零陵区</w:t>
      </w:r>
      <w:r>
        <w:rPr>
          <w:rFonts w:eastAsia="黑体" w:hint="eastAsia"/>
          <w:sz w:val="36"/>
          <w:szCs w:val="36"/>
        </w:rPr>
        <w:t>总工会</w:t>
      </w:r>
      <w:r>
        <w:rPr>
          <w:rFonts w:eastAsia="黑体"/>
          <w:sz w:val="36"/>
          <w:szCs w:val="36"/>
        </w:rPr>
        <w:t>：</w:t>
      </w:r>
    </w:p>
    <w:p w:rsidR="00AD072E" w:rsidRDefault="00AD072E" w:rsidP="00AD072E">
      <w:pPr>
        <w:jc w:val="center"/>
        <w:rPr>
          <w:rFonts w:eastAsia="仿宋_GB2312"/>
          <w:sz w:val="32"/>
          <w:szCs w:val="32"/>
        </w:rPr>
      </w:pPr>
    </w:p>
    <w:p w:rsidR="00AD072E" w:rsidRDefault="00AD072E" w:rsidP="00AD072E">
      <w:pPr>
        <w:jc w:val="center"/>
        <w:rPr>
          <w:rFonts w:eastAsia="仿宋_GB2312"/>
          <w:sz w:val="32"/>
          <w:szCs w:val="32"/>
        </w:rPr>
      </w:pPr>
    </w:p>
    <w:p w:rsidR="00AD072E" w:rsidRDefault="00AD072E" w:rsidP="00AD072E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:rsidR="00AD072E" w:rsidRDefault="00AD072E" w:rsidP="00AD072E">
      <w:pPr>
        <w:jc w:val="center"/>
        <w:rPr>
          <w:rFonts w:eastAsia="黑体"/>
          <w:sz w:val="36"/>
          <w:szCs w:val="36"/>
        </w:rPr>
      </w:pPr>
    </w:p>
    <w:p w:rsidR="00AD072E" w:rsidRDefault="00AD072E" w:rsidP="00AD072E">
      <w:pPr>
        <w:jc w:val="center"/>
        <w:rPr>
          <w:rFonts w:eastAsia="黑体"/>
          <w:sz w:val="32"/>
          <w:szCs w:val="32"/>
        </w:rPr>
      </w:pPr>
    </w:p>
    <w:p w:rsidR="00AD072E" w:rsidRDefault="00AD072E" w:rsidP="00AD072E">
      <w:pPr>
        <w:ind w:firstLineChars="200" w:firstLine="640"/>
        <w:rPr>
          <w:rFonts w:eastAsia="黑体"/>
          <w:sz w:val="32"/>
          <w:szCs w:val="32"/>
        </w:rPr>
      </w:pPr>
    </w:p>
    <w:p w:rsidR="00AD072E" w:rsidRDefault="00AD072E" w:rsidP="00AD072E">
      <w:pPr>
        <w:ind w:firstLineChars="200" w:firstLine="640"/>
        <w:rPr>
          <w:rFonts w:eastAsia="黑体"/>
          <w:sz w:val="32"/>
          <w:szCs w:val="32"/>
        </w:rPr>
      </w:pPr>
    </w:p>
    <w:p w:rsidR="00AD072E" w:rsidRDefault="00AD072E" w:rsidP="00AD072E">
      <w:pPr>
        <w:spacing w:line="600" w:lineRule="exact"/>
        <w:ind w:firstLineChars="200" w:firstLine="640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一、基本情况</w:t>
      </w:r>
    </w:p>
    <w:p w:rsidR="00AD072E" w:rsidRDefault="00AD072E" w:rsidP="00AD072E">
      <w:pP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 w:rsidR="00AD072E" w:rsidRPr="00EF4D79" w:rsidRDefault="00AD072E" w:rsidP="00EF4D79">
      <w:pPr>
        <w:pStyle w:val="Style1"/>
        <w:spacing w:line="60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．主要职能。</w:t>
      </w:r>
    </w:p>
    <w:p w:rsidR="00AD072E" w:rsidRPr="00EF4D79" w:rsidRDefault="00AD072E" w:rsidP="00EF4D79">
      <w:pPr>
        <w:pStyle w:val="Style1"/>
        <w:spacing w:line="60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我单位主要工作职责是：履行维护、建设、参与、教育四项社会职能，团结和带领全区广大职工为社会主义现代化建设做出更大贡献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承办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区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人民政府交办的其他事项。</w:t>
      </w:r>
    </w:p>
    <w:p w:rsidR="00AD072E" w:rsidRPr="00EF4D79" w:rsidRDefault="00AD072E" w:rsidP="00EF4D79">
      <w:pPr>
        <w:pStyle w:val="Style1"/>
        <w:spacing w:line="60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．机构情况。</w:t>
      </w:r>
    </w:p>
    <w:p w:rsidR="00AD072E" w:rsidRPr="00EF4D79" w:rsidRDefault="00AD072E" w:rsidP="00EF4D79">
      <w:pPr>
        <w:pStyle w:val="Style1"/>
        <w:spacing w:line="60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）零陵区总工会内设机构为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个：女工财务部、组宣部、综合办公室，直属事业单位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个：职工服务中心、工人文化宫，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其中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工人文化宫为财务独立核算单位。</w:t>
      </w:r>
    </w:p>
    <w:p w:rsidR="00AD072E" w:rsidRPr="00EF4D79" w:rsidRDefault="00AD072E" w:rsidP="00EF4D79">
      <w:pPr>
        <w:pStyle w:val="Style1"/>
        <w:spacing w:line="600" w:lineRule="exact"/>
        <w:ind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）决算单位构成。零陵区总工会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年部门决算单位构成为零陵区总工会本级，直属事业单位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个：职工服务中心、工人文化宫，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其中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工人文化宫为财务独立核算单位。</w:t>
      </w:r>
    </w:p>
    <w:p w:rsidR="00AD072E" w:rsidRPr="00EF4D79" w:rsidRDefault="00AD072E" w:rsidP="00EF4D79">
      <w:pPr>
        <w:pStyle w:val="Style1"/>
        <w:spacing w:line="600" w:lineRule="exact"/>
        <w:ind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．人员情况</w:t>
      </w:r>
    </w:p>
    <w:p w:rsidR="00AD072E" w:rsidRPr="00EF4D79" w:rsidRDefault="00AD072E" w:rsidP="00EF4D79">
      <w:pPr>
        <w:pStyle w:val="Style1"/>
        <w:spacing w:line="600" w:lineRule="exact"/>
        <w:ind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年实有在职人员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11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名，其中：公务员及参照公务员管理人员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6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名，事业编制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名，离退休人员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7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人。人员变动其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主要原因是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人员调整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、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人员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退休。</w:t>
      </w:r>
    </w:p>
    <w:p w:rsidR="00AD072E" w:rsidRDefault="00AD072E" w:rsidP="00AD072E">
      <w:pP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（二）部门（单位）年度整体支出绩效目标，</w:t>
      </w:r>
      <w:r>
        <w:rPr>
          <w:rFonts w:eastAsia="楷体_GB2312" w:hint="eastAsia"/>
          <w:b/>
          <w:sz w:val="32"/>
          <w:szCs w:val="32"/>
        </w:rPr>
        <w:t>区</w:t>
      </w:r>
      <w:r>
        <w:rPr>
          <w:rFonts w:eastAsia="楷体_GB2312"/>
          <w:b/>
          <w:sz w:val="32"/>
          <w:szCs w:val="32"/>
        </w:rPr>
        <w:t>级专项资金绩效目标、其他项目支出（除</w:t>
      </w:r>
      <w:r>
        <w:rPr>
          <w:rFonts w:eastAsia="楷体_GB2312" w:hint="eastAsia"/>
          <w:b/>
          <w:sz w:val="32"/>
          <w:szCs w:val="32"/>
        </w:rPr>
        <w:t>区</w:t>
      </w:r>
      <w:r>
        <w:rPr>
          <w:rFonts w:eastAsia="楷体_GB2312"/>
          <w:b/>
          <w:sz w:val="32"/>
          <w:szCs w:val="32"/>
        </w:rPr>
        <w:t>级专项资金以外）绩效目标</w:t>
      </w:r>
    </w:p>
    <w:p w:rsidR="00AD072E" w:rsidRPr="00EF4D79" w:rsidRDefault="00AD072E" w:rsidP="00EF4D79">
      <w:pPr>
        <w:pStyle w:val="Style1"/>
        <w:spacing w:line="600" w:lineRule="exact"/>
        <w:ind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零陵区总工会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年度整体支出绩效目标为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482.96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万，其中基本支出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482.96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万元，项目支出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0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万元。</w:t>
      </w:r>
    </w:p>
    <w:p w:rsidR="00AD072E" w:rsidRDefault="00AD072E" w:rsidP="00AD072E">
      <w:pPr>
        <w:pStyle w:val="Style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AD072E" w:rsidRDefault="00AD072E" w:rsidP="00AD072E">
      <w:pPr>
        <w:widowControl/>
        <w:spacing w:beforeLines="50" w:before="156" w:afterLines="50" w:after="156" w:line="480" w:lineRule="auto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（一）基本支出情况</w:t>
      </w:r>
    </w:p>
    <w:p w:rsidR="00AD072E" w:rsidRPr="00EF4D79" w:rsidRDefault="00AD072E" w:rsidP="00EF4D79">
      <w:pPr>
        <w:pStyle w:val="Style1"/>
        <w:spacing w:line="60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EF4D79"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单位人员经费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支出</w:t>
      </w:r>
      <w:r w:rsidR="00EF4D79" w:rsidRPr="00EF4D79">
        <w:rPr>
          <w:rFonts w:ascii="Times New Roman" w:eastAsia="仿宋_GB2312" w:hAnsi="Times New Roman"/>
          <w:color w:val="000000"/>
          <w:sz w:val="32"/>
          <w:szCs w:val="32"/>
        </w:rPr>
        <w:t>133.7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万元，包括用于基本工资、津贴补贴、社保缴费等。</w:t>
      </w:r>
    </w:p>
    <w:p w:rsidR="00AD072E" w:rsidRPr="00EF4D79" w:rsidRDefault="00AD072E" w:rsidP="00EF4D79">
      <w:pPr>
        <w:pStyle w:val="Style1"/>
        <w:spacing w:line="600" w:lineRule="exact"/>
        <w:ind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）商品和服务支出</w:t>
      </w:r>
      <w:r w:rsidR="00EF4D79" w:rsidRPr="00EF4D79">
        <w:rPr>
          <w:rFonts w:ascii="Times New Roman" w:eastAsia="仿宋_GB2312" w:hAnsi="Times New Roman"/>
          <w:color w:val="000000"/>
          <w:sz w:val="32"/>
          <w:szCs w:val="32"/>
        </w:rPr>
        <w:t>349.26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万元，包括办公费、交通费、会议费、印刷费、水电费、物业费、办公设备购置、其他支出等日常公用经费。</w:t>
      </w:r>
    </w:p>
    <w:p w:rsidR="00AD072E" w:rsidRDefault="00AD072E" w:rsidP="00AD072E">
      <w:pPr>
        <w:pStyle w:val="Style1"/>
        <w:spacing w:line="60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（二）项目支出情况</w:t>
      </w:r>
    </w:p>
    <w:p w:rsidR="00EF4D79" w:rsidRPr="00EF4D79" w:rsidRDefault="00EF4D79" w:rsidP="00EF4D79">
      <w:pPr>
        <w:pStyle w:val="Style1"/>
        <w:spacing w:line="60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度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零陵区总工会无项目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总支出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AD072E" w:rsidRDefault="00AD072E" w:rsidP="00AD072E">
      <w:pPr>
        <w:pStyle w:val="Style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三、政府性基金预算支出情况</w:t>
      </w:r>
    </w:p>
    <w:p w:rsidR="00EF4D79" w:rsidRPr="00EF4D79" w:rsidRDefault="00EF4D79" w:rsidP="00AD072E">
      <w:pPr>
        <w:pStyle w:val="Style1"/>
        <w:spacing w:line="600" w:lineRule="exact"/>
        <w:ind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年度零陵区总工会无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政府性基金预算支出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EF4D79" w:rsidRDefault="00AD072E" w:rsidP="00EF4D79">
      <w:pPr>
        <w:pStyle w:val="Style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四、国有资本经营预算支出情况</w:t>
      </w:r>
    </w:p>
    <w:p w:rsidR="00AD072E" w:rsidRPr="00EF4D79" w:rsidRDefault="00EF4D79" w:rsidP="00EF4D79">
      <w:pPr>
        <w:pStyle w:val="Style1"/>
        <w:spacing w:line="600" w:lineRule="exact"/>
        <w:ind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年度零陵区总工会无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国有资本经营预算支出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AD072E" w:rsidRDefault="00AD072E" w:rsidP="00AD072E">
      <w:pPr>
        <w:pStyle w:val="Style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五、社会保险基金预算支出情况</w:t>
      </w:r>
    </w:p>
    <w:p w:rsidR="00EF4D79" w:rsidRPr="00EF4D79" w:rsidRDefault="00EF4D79" w:rsidP="00EF4D79">
      <w:pPr>
        <w:pStyle w:val="Style1"/>
        <w:spacing w:line="600" w:lineRule="exact"/>
        <w:ind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年度零陵区总工会无</w:t>
      </w:r>
      <w:r w:rsidRPr="00EF4D79">
        <w:rPr>
          <w:rFonts w:ascii="Times New Roman" w:eastAsia="仿宋_GB2312" w:hAnsi="Times New Roman"/>
          <w:color w:val="000000"/>
          <w:sz w:val="32"/>
          <w:szCs w:val="32"/>
        </w:rPr>
        <w:t>社会保险基金预算支出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AD072E" w:rsidRDefault="00AD072E" w:rsidP="00AD07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:rsidR="00EF4D79" w:rsidRPr="00EF4D79" w:rsidRDefault="00EF4D79" w:rsidP="00EF4D79">
      <w:pPr>
        <w:pStyle w:val="Style1"/>
        <w:spacing w:line="60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）深入推进工会系统党的建设。始终坚持“党建带工建”，深入学习贯彻党的二十大关于党的建设的重要精神，把全面从严治党、从严治会引向深入。深化“三表率一模范”机关建设，加强理论武装和政治学习。坚持和完善党的领导制度，严格执行重大事项请示报告制度，确保党中央重大决策和省委、全总工作部署在工会系统落实落地。一年来为职工购买学习《习近平新时代中国特色社会主义思想学习问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答》、《中国共产党简史》、《二十大精神精要解读》、《党的二十大文件汇编》等政治理论书籍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100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余册，特别是在零陵区“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11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·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02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”疫情大暴发全城静默管理中，区总工会机关党支部逆流而上、冲锋在防疫一线，被评为零陵区疫情防控“先进党支部”、多名干部职工被评为“优秀党员”“优秀工作者”。</w:t>
      </w:r>
    </w:p>
    <w:p w:rsidR="00EF4D79" w:rsidRPr="00EF4D79" w:rsidRDefault="00EF4D79" w:rsidP="00EF4D79">
      <w:pPr>
        <w:pStyle w:val="Style1"/>
        <w:spacing w:line="60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）加强职工服务阵地建设。进一步加大了对各基层工会职工服务阵地建设支持力度，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2022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年共支持扶助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17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个基层工会建设高标准职工服务阵地建设。筹集资金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万对工人文化宫进行防渗漏工程修护，对中央空调、电子显示屏等电子产品进行检修维护或更换，以确保为全区干部职工服务平台发挥正常功能；支持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万元用于园区企业职工文体活动阵地建设。</w:t>
      </w:r>
    </w:p>
    <w:p w:rsidR="00EF4D79" w:rsidRPr="00EF4D79" w:rsidRDefault="00EF4D79" w:rsidP="00EF4D79">
      <w:pPr>
        <w:pStyle w:val="Style1"/>
        <w:spacing w:line="60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）着力提升职工生活品质。城市困难职工解困脱困成果同提升职工生活品质衔接紧密，职工生活得到改善。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2022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年，成功帮助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户建档困难职工解困脱困；筹措各类帮扶资金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102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万元，帮扶各类困难职工群众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615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人；“金秋助学”帮助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69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名困难职工的子女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“圆梦就学”；为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1718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名室外高温下作业一线职工“送清凉”。强化户外劳动者服务站点建设，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2022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年新建户外劳动者服务站点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家，截止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11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月，共计建设户外劳动者服务站点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18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家，累计接待服务各类户外劳动者超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10000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人次；成功推荐获评省“百优食堂”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家、市“百优食堂”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家。</w:t>
      </w:r>
    </w:p>
    <w:p w:rsidR="00EF4D79" w:rsidRPr="00EF4D79" w:rsidRDefault="00EF4D79" w:rsidP="00EF4D79">
      <w:pPr>
        <w:pStyle w:val="Style1"/>
        <w:spacing w:line="600" w:lineRule="exact"/>
        <w:ind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）切实履行维权服务基本职责。推动和参与同职工利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益密切相关的法律法规和政策文件的制定和修改，组织学习新修订《工会法》、《湖南省工会劳动法律监督条例》等法律法规，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2022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年开展“尊法守法·携手筑梦”公益法律服务活动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场次。积极与区劳动监察大队协同开展保障农民工工资支付工作，开展对欠薪农民工的法律援助，追回农民工工资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37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万元。对新就业形态劳动者在劳动报酬、社会保险、休息休假、职业安全等方面的突出问题进行了调研。全区职工医疗互助参与连续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年超过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12000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人，大病关爱行动、女职工“两癌”筛查和救助工作得到职工称赞。持续推进就业创业服务，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2022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年“一户一产业工人”培养工程免费培训各类职业技能人才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560</w:t>
      </w:r>
      <w:r w:rsidRPr="00EF4D79">
        <w:rPr>
          <w:rFonts w:ascii="Times New Roman" w:eastAsia="仿宋_GB2312" w:hAnsi="Times New Roman" w:hint="eastAsia"/>
          <w:color w:val="000000"/>
          <w:sz w:val="32"/>
          <w:szCs w:val="32"/>
        </w:rPr>
        <w:t>名。</w:t>
      </w:r>
    </w:p>
    <w:p w:rsidR="00EF4D79" w:rsidRPr="00EF4D79" w:rsidRDefault="00EF4D79" w:rsidP="00EF4D79">
      <w:pPr>
        <w:pStyle w:val="Style1"/>
        <w:spacing w:line="600" w:lineRule="exact"/>
        <w:ind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:rsidR="00AD072E" w:rsidRDefault="00AD072E" w:rsidP="00AD072E">
      <w:pPr>
        <w:pStyle w:val="Style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AD072E" w:rsidRDefault="00EF4D79" w:rsidP="00AD072E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 w:hint="eastAsia"/>
          <w:sz w:val="32"/>
          <w:szCs w:val="32"/>
        </w:rPr>
        <w:t>年度</w:t>
      </w:r>
      <w:r>
        <w:rPr>
          <w:rFonts w:eastAsia="仿宋_GB2312"/>
          <w:sz w:val="32"/>
          <w:szCs w:val="32"/>
        </w:rPr>
        <w:t>人员经费</w:t>
      </w:r>
      <w:r>
        <w:rPr>
          <w:rFonts w:eastAsia="仿宋_GB2312" w:hint="eastAsia"/>
          <w:sz w:val="32"/>
          <w:szCs w:val="32"/>
        </w:rPr>
        <w:t>决算</w:t>
      </w:r>
      <w:r>
        <w:rPr>
          <w:rFonts w:eastAsia="仿宋_GB2312"/>
          <w:sz w:val="32"/>
          <w:szCs w:val="32"/>
        </w:rPr>
        <w:t>支出</w:t>
      </w:r>
      <w:r w:rsidRPr="00EF4D79">
        <w:rPr>
          <w:rFonts w:eastAsia="仿宋_GB2312"/>
          <w:color w:val="000000"/>
          <w:sz w:val="32"/>
          <w:szCs w:val="32"/>
        </w:rPr>
        <w:t>133.7</w:t>
      </w:r>
      <w:r>
        <w:rPr>
          <w:rFonts w:eastAsia="仿宋_GB2312" w:hint="eastAsia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，较预算</w:t>
      </w:r>
      <w:r>
        <w:rPr>
          <w:rFonts w:eastAsia="仿宋_GB2312" w:hint="eastAsia"/>
          <w:color w:val="000000"/>
          <w:sz w:val="32"/>
          <w:szCs w:val="32"/>
        </w:rPr>
        <w:t>支出</w:t>
      </w:r>
      <w:r>
        <w:rPr>
          <w:rFonts w:eastAsia="仿宋_GB2312"/>
          <w:color w:val="000000"/>
          <w:sz w:val="32"/>
          <w:szCs w:val="32"/>
        </w:rPr>
        <w:t>增加</w:t>
      </w:r>
      <w:r>
        <w:rPr>
          <w:rFonts w:eastAsia="仿宋_GB2312" w:hint="eastAsia"/>
          <w:color w:val="000000"/>
          <w:sz w:val="32"/>
          <w:szCs w:val="32"/>
        </w:rPr>
        <w:t>8.7</w:t>
      </w:r>
      <w:r>
        <w:rPr>
          <w:rFonts w:eastAsia="仿宋_GB2312" w:hint="eastAsia"/>
          <w:color w:val="000000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，主要原因是人员调整，人员经费调整</w:t>
      </w:r>
      <w:r>
        <w:rPr>
          <w:rFonts w:eastAsia="仿宋_GB2312" w:hint="eastAsia"/>
          <w:color w:val="000000"/>
          <w:sz w:val="32"/>
          <w:szCs w:val="32"/>
        </w:rPr>
        <w:t>。</w:t>
      </w:r>
      <w:r w:rsidR="001B61DA">
        <w:rPr>
          <w:rFonts w:eastAsia="仿宋_GB2312" w:hint="eastAsia"/>
          <w:color w:val="000000"/>
          <w:sz w:val="32"/>
          <w:szCs w:val="32"/>
        </w:rPr>
        <w:t>公用经费</w:t>
      </w:r>
      <w:r w:rsidR="001B61DA">
        <w:rPr>
          <w:rFonts w:eastAsia="仿宋_GB2312"/>
          <w:color w:val="000000"/>
          <w:sz w:val="32"/>
          <w:szCs w:val="32"/>
        </w:rPr>
        <w:t>决算支出</w:t>
      </w:r>
      <w:r w:rsidR="001B61DA">
        <w:rPr>
          <w:rFonts w:eastAsia="仿宋_GB2312" w:hint="eastAsia"/>
          <w:color w:val="000000"/>
          <w:sz w:val="32"/>
          <w:szCs w:val="32"/>
        </w:rPr>
        <w:t>349.26</w:t>
      </w:r>
      <w:r w:rsidR="001B61DA">
        <w:rPr>
          <w:rFonts w:eastAsia="仿宋_GB2312" w:hint="eastAsia"/>
          <w:color w:val="000000"/>
          <w:sz w:val="32"/>
          <w:szCs w:val="32"/>
        </w:rPr>
        <w:t>万元</w:t>
      </w:r>
      <w:r w:rsidR="001B61DA">
        <w:rPr>
          <w:rFonts w:eastAsia="仿宋_GB2312"/>
          <w:color w:val="000000"/>
          <w:sz w:val="32"/>
          <w:szCs w:val="32"/>
        </w:rPr>
        <w:t>，较预算支出增加</w:t>
      </w:r>
      <w:r w:rsidR="001B61DA">
        <w:rPr>
          <w:rFonts w:eastAsia="仿宋_GB2312" w:hint="eastAsia"/>
          <w:color w:val="000000"/>
          <w:sz w:val="32"/>
          <w:szCs w:val="32"/>
        </w:rPr>
        <w:t>343.95</w:t>
      </w:r>
      <w:r w:rsidR="001B61DA">
        <w:rPr>
          <w:rFonts w:eastAsia="仿宋_GB2312" w:hint="eastAsia"/>
          <w:color w:val="000000"/>
          <w:sz w:val="32"/>
          <w:szCs w:val="32"/>
        </w:rPr>
        <w:t>万元</w:t>
      </w:r>
      <w:r w:rsidR="001B61DA">
        <w:rPr>
          <w:rFonts w:eastAsia="仿宋_GB2312"/>
          <w:color w:val="000000"/>
          <w:sz w:val="32"/>
          <w:szCs w:val="32"/>
        </w:rPr>
        <w:t>，主要原因是</w:t>
      </w:r>
      <w:r w:rsidR="001B61DA">
        <w:rPr>
          <w:rFonts w:eastAsia="仿宋_GB2312" w:hint="eastAsia"/>
          <w:color w:val="000000"/>
          <w:sz w:val="32"/>
          <w:szCs w:val="32"/>
        </w:rPr>
        <w:t>2021</w:t>
      </w:r>
      <w:r w:rsidR="001B61DA">
        <w:rPr>
          <w:rFonts w:eastAsia="仿宋_GB2312" w:hint="eastAsia"/>
          <w:color w:val="000000"/>
          <w:sz w:val="32"/>
          <w:szCs w:val="32"/>
        </w:rPr>
        <w:t>年度</w:t>
      </w:r>
      <w:r w:rsidR="001B61DA">
        <w:rPr>
          <w:rFonts w:eastAsia="仿宋_GB2312"/>
          <w:color w:val="000000"/>
          <w:sz w:val="32"/>
          <w:szCs w:val="32"/>
        </w:rPr>
        <w:t>财政代扣工会经费</w:t>
      </w:r>
      <w:r w:rsidR="001B61DA">
        <w:rPr>
          <w:rFonts w:eastAsia="仿宋_GB2312"/>
          <w:color w:val="000000"/>
          <w:sz w:val="32"/>
          <w:szCs w:val="32"/>
        </w:rPr>
        <w:t>及以前年度</w:t>
      </w:r>
      <w:r w:rsidR="001B61DA">
        <w:rPr>
          <w:rFonts w:eastAsia="仿宋_GB2312" w:hint="eastAsia"/>
          <w:color w:val="000000"/>
          <w:sz w:val="32"/>
          <w:szCs w:val="32"/>
        </w:rPr>
        <w:t>结余</w:t>
      </w:r>
      <w:r w:rsidR="001B61DA">
        <w:rPr>
          <w:rFonts w:eastAsia="仿宋_GB2312"/>
          <w:color w:val="000000"/>
          <w:sz w:val="32"/>
          <w:szCs w:val="32"/>
        </w:rPr>
        <w:t>政代扣工会经费</w:t>
      </w:r>
      <w:r w:rsidR="001B61DA">
        <w:rPr>
          <w:rFonts w:eastAsia="仿宋_GB2312" w:hint="eastAsia"/>
          <w:color w:val="000000"/>
          <w:sz w:val="32"/>
          <w:szCs w:val="32"/>
        </w:rPr>
        <w:t>列入了本年</w:t>
      </w:r>
      <w:r w:rsidR="001B61DA">
        <w:rPr>
          <w:rFonts w:eastAsia="仿宋_GB2312"/>
          <w:color w:val="000000"/>
          <w:sz w:val="32"/>
          <w:szCs w:val="32"/>
        </w:rPr>
        <w:t>度收入支出</w:t>
      </w:r>
      <w:r w:rsidR="001B61DA">
        <w:rPr>
          <w:rFonts w:eastAsia="仿宋_GB2312" w:hint="eastAsia"/>
          <w:color w:val="000000"/>
          <w:sz w:val="32"/>
          <w:szCs w:val="32"/>
        </w:rPr>
        <w:t>。</w:t>
      </w:r>
    </w:p>
    <w:p w:rsidR="00AD072E" w:rsidRDefault="00AD072E" w:rsidP="00AD07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:rsidR="001B61DA" w:rsidRPr="001B61DA" w:rsidRDefault="001B61DA" w:rsidP="001B61D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B61DA">
        <w:rPr>
          <w:rFonts w:eastAsia="仿宋_GB2312" w:hint="eastAsia"/>
          <w:sz w:val="32"/>
          <w:szCs w:val="32"/>
        </w:rPr>
        <w:t>针对上述存在的问题及整体支出管理工作的需要，拟实施的改进措施如下：</w:t>
      </w:r>
    </w:p>
    <w:p w:rsidR="001B61DA" w:rsidRPr="001B61DA" w:rsidRDefault="001B61DA" w:rsidP="001B61D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B61DA">
        <w:rPr>
          <w:rFonts w:eastAsia="仿宋_GB2312" w:hint="eastAsia"/>
          <w:sz w:val="32"/>
          <w:szCs w:val="32"/>
        </w:rPr>
        <w:t xml:space="preserve">1. </w:t>
      </w:r>
      <w:r w:rsidRPr="001B61DA">
        <w:rPr>
          <w:rFonts w:eastAsia="仿宋_GB2312" w:hint="eastAsia"/>
          <w:sz w:val="32"/>
          <w:szCs w:val="32"/>
        </w:rPr>
        <w:t>细化预算编制工作，认真做好预算的编制。进一步加强内部预算管理意识，严格按照预算编制的相关制度和要求</w:t>
      </w:r>
      <w:r w:rsidRPr="001B61DA">
        <w:rPr>
          <w:rFonts w:eastAsia="仿宋_GB2312" w:hint="eastAsia"/>
          <w:sz w:val="32"/>
          <w:szCs w:val="32"/>
        </w:rPr>
        <w:lastRenderedPageBreak/>
        <w:t>进行预算编制，进一步提高预算编制的科学性、严谨性和可控性，提高预算的合理性和准确性。</w:t>
      </w:r>
    </w:p>
    <w:p w:rsidR="001B61DA" w:rsidRPr="001B61DA" w:rsidRDefault="001B61DA" w:rsidP="001B61D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B61DA">
        <w:rPr>
          <w:rFonts w:eastAsia="仿宋_GB2312" w:hint="eastAsia"/>
          <w:sz w:val="32"/>
          <w:szCs w:val="32"/>
        </w:rPr>
        <w:t xml:space="preserve">2. </w:t>
      </w:r>
      <w:r w:rsidRPr="001B61DA">
        <w:rPr>
          <w:rFonts w:eastAsia="仿宋_GB2312" w:hint="eastAsia"/>
          <w:sz w:val="32"/>
          <w:szCs w:val="32"/>
        </w:rPr>
        <w:t>加强财务管理，严格财务审核。在费用报账支付时，按照预算规定的费用项目和用途进行资金使用审核、列报支付、财务核算，杜绝超支现象的发生。</w:t>
      </w:r>
    </w:p>
    <w:p w:rsidR="001B61DA" w:rsidRPr="001B61DA" w:rsidRDefault="001B61DA" w:rsidP="001B61D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B61DA">
        <w:rPr>
          <w:rFonts w:eastAsia="仿宋_GB2312" w:hint="eastAsia"/>
          <w:sz w:val="32"/>
          <w:szCs w:val="32"/>
        </w:rPr>
        <w:t>3</w:t>
      </w:r>
      <w:r w:rsidRPr="001B61DA">
        <w:rPr>
          <w:rFonts w:eastAsia="仿宋_GB2312" w:hint="eastAsia"/>
          <w:sz w:val="32"/>
          <w:szCs w:val="32"/>
        </w:rPr>
        <w:t>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:rsidR="001B61DA" w:rsidRPr="001B61DA" w:rsidRDefault="001B61DA" w:rsidP="001B61DA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1B61DA">
        <w:rPr>
          <w:rFonts w:eastAsia="仿宋_GB2312" w:hint="eastAsia"/>
          <w:sz w:val="32"/>
          <w:szCs w:val="32"/>
        </w:rPr>
        <w:t>4</w:t>
      </w:r>
      <w:r w:rsidRPr="001B61DA">
        <w:rPr>
          <w:rFonts w:eastAsia="仿宋_GB2312" w:hint="eastAsia"/>
          <w:sz w:val="32"/>
          <w:szCs w:val="32"/>
        </w:rPr>
        <w:t>．进一步规范绩效目标编制。在编制项目资金绩效目标时要求指向明确、细化量化、合理可行、相应匹配；加强项目开展进度的跟踪，开展项目绩效评价，确保项目绩效目标的完成。</w:t>
      </w:r>
    </w:p>
    <w:p w:rsidR="001B61DA" w:rsidRDefault="00AD072E" w:rsidP="001B61DA">
      <w:pPr>
        <w:widowControl/>
        <w:ind w:firstLineChars="196" w:firstLine="627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:rsidR="00AD072E" w:rsidRPr="001B61DA" w:rsidRDefault="001B61DA" w:rsidP="001B61DA">
      <w:pPr>
        <w:widowControl/>
        <w:ind w:firstLineChars="196" w:firstLine="627"/>
        <w:jc w:val="left"/>
        <w:rPr>
          <w:rFonts w:eastAsia="仿宋_GB2312" w:hint="eastAsia"/>
          <w:sz w:val="32"/>
          <w:szCs w:val="32"/>
        </w:rPr>
      </w:pPr>
      <w:r w:rsidRPr="001B61DA">
        <w:rPr>
          <w:rFonts w:eastAsia="仿宋_GB2312" w:hint="eastAsia"/>
          <w:sz w:val="32"/>
          <w:szCs w:val="32"/>
        </w:rPr>
        <w:t>区总工会</w:t>
      </w:r>
      <w:r w:rsidRPr="001B61DA">
        <w:rPr>
          <w:rFonts w:eastAsia="仿宋_GB2312" w:hint="eastAsia"/>
          <w:sz w:val="32"/>
          <w:szCs w:val="32"/>
        </w:rPr>
        <w:t>单位无门户网站，请零陵区财政局代为公开。</w:t>
      </w:r>
    </w:p>
    <w:p w:rsidR="00AD072E" w:rsidRDefault="00AD072E" w:rsidP="00AD07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:rsidR="001B61DA" w:rsidRPr="001B61DA" w:rsidRDefault="001B61DA" w:rsidP="00AD072E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1B61DA">
        <w:rPr>
          <w:rFonts w:eastAsia="仿宋_GB2312" w:hint="eastAsia"/>
          <w:sz w:val="32"/>
          <w:szCs w:val="32"/>
        </w:rPr>
        <w:t>无</w:t>
      </w:r>
      <w:r>
        <w:rPr>
          <w:rFonts w:eastAsia="仿宋_GB2312" w:hint="eastAsia"/>
          <w:sz w:val="32"/>
          <w:szCs w:val="32"/>
        </w:rPr>
        <w:t>。</w:t>
      </w:r>
    </w:p>
    <w:p w:rsidR="00AD072E" w:rsidRDefault="00AD072E" w:rsidP="00AD07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:rsidR="00AD072E" w:rsidRDefault="00AD072E" w:rsidP="00AD07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:rsidR="00AD072E" w:rsidRDefault="00AD072E" w:rsidP="00AD072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1B61DA" w:rsidRDefault="001B61DA" w:rsidP="00AD072E">
      <w:pPr>
        <w:jc w:val="left"/>
        <w:rPr>
          <w:rFonts w:eastAsia="黑体"/>
          <w:kern w:val="0"/>
          <w:sz w:val="32"/>
          <w:szCs w:val="32"/>
        </w:rPr>
      </w:pPr>
    </w:p>
    <w:p w:rsidR="001B61DA" w:rsidRDefault="001B61DA" w:rsidP="00AD072E">
      <w:pPr>
        <w:jc w:val="left"/>
        <w:rPr>
          <w:rFonts w:eastAsia="黑体"/>
          <w:kern w:val="0"/>
          <w:sz w:val="32"/>
          <w:szCs w:val="32"/>
        </w:rPr>
      </w:pPr>
    </w:p>
    <w:p w:rsidR="00AD072E" w:rsidRDefault="00AD072E" w:rsidP="00AD072E">
      <w:pPr>
        <w:jc w:val="left"/>
        <w:rPr>
          <w:rFonts w:ascii="宋体" w:hAnsi="宋体" w:cs="宋体" w:hint="eastAsia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AD072E" w:rsidRDefault="00AD072E" w:rsidP="00AD072E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单位（部门）绩效自评公开网址统计表</w:t>
      </w:r>
    </w:p>
    <w:tbl>
      <w:tblPr>
        <w:tblpPr w:leftFromText="180" w:rightFromText="180" w:vertAnchor="text" w:horzAnchor="page" w:tblpX="1538" w:tblpY="67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1421"/>
        <w:gridCol w:w="684"/>
        <w:gridCol w:w="2784"/>
        <w:gridCol w:w="1092"/>
        <w:gridCol w:w="1440"/>
        <w:gridCol w:w="973"/>
      </w:tblGrid>
      <w:tr w:rsidR="00AD072E" w:rsidTr="00E05AF8">
        <w:trPr>
          <w:trHeight w:val="1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单位代码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 位 名 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自评报告公开是/否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公开网址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D072E" w:rsidTr="00E05AF8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1B61DA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116001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1B61DA" w:rsidP="001B61D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B61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零陵区总工会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1B61DA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BB3A8C" w:rsidP="00BB3A8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BB3A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零陵区财政局</w:t>
            </w:r>
            <w:r w:rsidRPr="00BB3A8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网址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BB3A8C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唐玲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BB3A8C" w:rsidP="00E05AF8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13974614278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D072E" w:rsidTr="00E05AF8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D072E" w:rsidTr="00E05AF8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D072E" w:rsidTr="00E05AF8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D072E" w:rsidTr="00E05AF8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D072E" w:rsidRDefault="00AD072E" w:rsidP="00E05AF8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AD072E" w:rsidRDefault="00AD072E" w:rsidP="00AD072E">
      <w:pPr>
        <w:rPr>
          <w:rFonts w:hint="eastAsia"/>
        </w:rPr>
      </w:pPr>
    </w:p>
    <w:p w:rsidR="00AD072E" w:rsidRDefault="00AD072E" w:rsidP="00AD072E">
      <w:pPr>
        <w:rPr>
          <w:rFonts w:ascii="仿宋" w:eastAsia="仿宋" w:hAnsi="仿宋" w:hint="eastAsia"/>
          <w:sz w:val="32"/>
          <w:szCs w:val="32"/>
        </w:rPr>
      </w:pPr>
    </w:p>
    <w:p w:rsidR="00AD072E" w:rsidRDefault="00AD072E" w:rsidP="00AD072E"/>
    <w:p w:rsidR="008F70D7" w:rsidRDefault="008F70D7"/>
    <w:sectPr w:rsidR="008F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BEA394"/>
    <w:multiLevelType w:val="singleLevel"/>
    <w:tmpl w:val="CEBEA39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4B90BA7"/>
    <w:multiLevelType w:val="singleLevel"/>
    <w:tmpl w:val="34B90BA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6899FAB"/>
    <w:multiLevelType w:val="singleLevel"/>
    <w:tmpl w:val="36899FAB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2E"/>
    <w:rsid w:val="001B61DA"/>
    <w:rsid w:val="007E042C"/>
    <w:rsid w:val="008F70D7"/>
    <w:rsid w:val="00AD072E"/>
    <w:rsid w:val="00BB3A8C"/>
    <w:rsid w:val="00E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8C6E"/>
  <w15:chartTrackingRefBased/>
  <w15:docId w15:val="{AF5022F8-2AFC-4517-9F6D-55BE3F3A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7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99"/>
    <w:qFormat/>
    <w:rsid w:val="00AD072E"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uiPriority w:val="34"/>
    <w:qFormat/>
    <w:rsid w:val="00AD0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2023-02-24T05:06:00Z</dcterms:created>
  <dcterms:modified xsi:type="dcterms:W3CDTF">2023-02-24T05:39:00Z</dcterms:modified>
</cp:coreProperties>
</file>