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2</w:t>
      </w:r>
      <w:r>
        <w:rPr>
          <w:rFonts w:hint="eastAsia" w:ascii="方正小标宋_GBK" w:hAnsi="方正小标宋_GBK" w:eastAsia="方正小标宋_GBK" w:cs="方正小标宋_GBK"/>
          <w:sz w:val="84"/>
          <w:szCs w:val="84"/>
        </w:rPr>
        <w:t>年度</w:t>
      </w:r>
    </w:p>
    <w:p>
      <w:pPr>
        <w:pStyle w:val="9"/>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XX部门（单位）部门决算</w:t>
      </w:r>
    </w:p>
    <w:p>
      <w:pPr>
        <w:pStyle w:val="9"/>
        <w:jc w:val="center"/>
        <w:rPr>
          <w:rFonts w:hint="eastAsia" w:ascii="方正小标宋_GBK" w:hAnsi="方正小标宋_GBK" w:eastAsia="方正小标宋_GBK" w:cs="方正小标宋_GBK"/>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both"/>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XX</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单位</w:t>
      </w:r>
      <w:r>
        <w:rPr>
          <w:rFonts w:hint="eastAsia" w:ascii="黑体" w:hAnsi="黑体" w:eastAsia="黑体" w:cs="黑体"/>
          <w:b w:val="0"/>
          <w:bCs/>
          <w:sz w:val="28"/>
          <w:szCs w:val="28"/>
          <w:lang w:eastAsia="zh-CN"/>
        </w:rPr>
        <w:t>）</w:t>
      </w:r>
      <w:r>
        <w:rPr>
          <w:rFonts w:hint="eastAsia" w:ascii="黑体" w:hAnsi="黑体" w:eastAsia="黑体" w:cs="黑体"/>
          <w:b w:val="0"/>
          <w:bCs/>
          <w:sz w:val="28"/>
          <w:szCs w:val="28"/>
        </w:rPr>
        <w:t>概况</w:t>
      </w:r>
    </w:p>
    <w:p>
      <w:pPr>
        <w:pStyle w:val="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9"/>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9"/>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9"/>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pPr>
        <w:pStyle w:val="9"/>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9"/>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9"/>
        <w:jc w:val="center"/>
        <w:rPr>
          <w:rFonts w:hint="eastAsia" w:ascii="方正小标宋_GBK" w:hAnsi="方正小标宋_GBK" w:eastAsia="方正小标宋_GBK" w:cs="方正小标宋_GBK"/>
          <w:sz w:val="84"/>
          <w:szCs w:val="84"/>
        </w:rPr>
      </w:pPr>
    </w:p>
    <w:p>
      <w:pPr>
        <w:pStyle w:val="9"/>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XX</w:t>
      </w: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单位</w:t>
      </w:r>
      <w:r>
        <w:rPr>
          <w:rFonts w:hint="eastAsia" w:ascii="方正小标宋_GBK" w:hAnsi="方正小标宋_GBK" w:eastAsia="方正小标宋_GBK" w:cs="方正小标宋_GBK"/>
          <w:sz w:val="84"/>
          <w:szCs w:val="84"/>
          <w:lang w:eastAsia="zh-CN"/>
        </w:rPr>
        <w:t>）</w:t>
      </w:r>
      <w:r>
        <w:rPr>
          <w:rFonts w:hint="eastAsia" w:ascii="方正小标宋_GBK" w:hAnsi="方正小标宋_GBK" w:eastAsia="方正小标宋_GBK" w:cs="方正小标宋_GBK"/>
          <w:sz w:val="84"/>
          <w:szCs w:val="84"/>
        </w:rPr>
        <w:t>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jc w:val="center"/>
        <w:rPr>
          <w:sz w:val="72"/>
          <w:szCs w:val="72"/>
        </w:rPr>
      </w:pPr>
    </w:p>
    <w:p>
      <w:pPr>
        <w:pStyle w:val="10"/>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w:t>
      </w:r>
    </w:p>
    <w:p>
      <w:pPr>
        <w:ind w:firstLine="1120" w:firstLineChars="3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（一）内设机构设置。××单位内设机构包括：……</w:t>
      </w:r>
    </w:p>
    <w:p>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（二）决算单位构成。××单位202</w:t>
      </w:r>
      <w:r>
        <w:rPr>
          <w:rFonts w:hint="eastAsia" w:ascii="Times New Roman" w:hAnsi="Times New Roman" w:eastAsia="仿宋_GB2312" w:cs="仿宋_GB2312"/>
          <w:bCs/>
          <w:kern w:val="0"/>
          <w:sz w:val="32"/>
          <w:szCs w:val="32"/>
          <w:lang w:val="en-US" w:eastAsia="zh-CN"/>
        </w:rPr>
        <w:t>2</w:t>
      </w:r>
      <w:r>
        <w:rPr>
          <w:rFonts w:hint="eastAsia" w:ascii="Times New Roman" w:hAnsi="Times New Roman" w:eastAsia="仿宋_GB2312" w:cs="仿宋_GB2312"/>
          <w:bCs/>
          <w:kern w:val="0"/>
          <w:sz w:val="32"/>
          <w:szCs w:val="32"/>
        </w:rPr>
        <w:t>年部门决算汇总公开单位构成包括：××单位本级以及……</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9"/>
        <w:jc w:val="center"/>
        <w:rPr>
          <w:rFonts w:hint="eastAsia" w:ascii="方正小标宋_GBK" w:hAnsi="方正小标宋_GBK" w:eastAsia="方正小标宋_GBK" w:cs="方正小标宋_GBK"/>
          <w:sz w:val="84"/>
          <w:szCs w:val="84"/>
        </w:rPr>
      </w:pPr>
    </w:p>
    <w:p>
      <w:pPr>
        <w:pStyle w:val="9"/>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9"/>
        <w:jc w:val="center"/>
        <w:rPr>
          <w:rFonts w:hint="eastAsia" w:ascii="方正小标宋_GBK" w:hAnsi="方正小标宋_GBK" w:eastAsia="方正小标宋_GBK" w:cs="方正小标宋_GBK"/>
          <w:sz w:val="84"/>
          <w:szCs w:val="84"/>
        </w:rPr>
      </w:pPr>
    </w:p>
    <w:p>
      <w:pPr>
        <w:pStyle w:val="9"/>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5"/>
        <w:tblW w:w="13900" w:type="dxa"/>
        <w:tblInd w:w="0" w:type="dxa"/>
        <w:tblLayout w:type="autofit"/>
        <w:tblCellMar>
          <w:top w:w="0" w:type="dxa"/>
          <w:left w:w="0" w:type="dxa"/>
          <w:bottom w:w="0" w:type="dxa"/>
          <w:right w:w="0" w:type="dxa"/>
        </w:tblCellMar>
      </w:tblPr>
      <w:tblGrid>
        <w:gridCol w:w="297"/>
        <w:gridCol w:w="297"/>
        <w:gridCol w:w="1474"/>
        <w:gridCol w:w="1801"/>
        <w:gridCol w:w="1801"/>
        <w:gridCol w:w="1801"/>
        <w:gridCol w:w="1801"/>
        <w:gridCol w:w="1801"/>
        <w:gridCol w:w="1801"/>
        <w:gridCol w:w="2554"/>
      </w:tblGrid>
      <w:tr>
        <w:tblPrEx>
          <w:tblCellMar>
            <w:top w:w="0" w:type="dxa"/>
            <w:left w:w="0" w:type="dxa"/>
            <w:bottom w:w="0" w:type="dxa"/>
            <w:right w:w="0" w:type="dxa"/>
          </w:tblCellMar>
        </w:tblPrEx>
        <w:trPr>
          <w:trHeight w:val="435" w:hRule="atLeast"/>
        </w:trPr>
        <w:tc>
          <w:tcPr>
            <w:tcW w:w="13900" w:type="dxa"/>
            <w:gridSpan w:val="10"/>
            <w:tcBorders>
              <w:top w:val="nil"/>
              <w:left w:val="nil"/>
              <w:bottom w:val="nil"/>
              <w:right w:val="nil"/>
            </w:tcBorders>
            <w:shd w:val="clear" w:color="auto" w:fill="auto"/>
            <w:noWrap/>
            <w:tcMar>
              <w:top w:w="15" w:type="dxa"/>
              <w:left w:w="15" w:type="dxa"/>
              <w:bottom w:w="0" w:type="dxa"/>
              <w:right w:w="15" w:type="dxa"/>
            </w:tcMar>
            <w:vAlign w:val="center"/>
          </w:tcPr>
          <w:tbl>
            <w:tblPr>
              <w:tblStyle w:val="5"/>
              <w:tblW w:w="14896" w:type="dxa"/>
              <w:tblInd w:w="-2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442"/>
              <w:gridCol w:w="603"/>
              <w:gridCol w:w="1399"/>
              <w:gridCol w:w="5033"/>
              <w:gridCol w:w="1165"/>
              <w:gridCol w:w="456"/>
              <w:gridCol w:w="456"/>
              <w:gridCol w:w="18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4582" w:type="dxa"/>
                  <w:tcBorders>
                    <w:top w:val="nil"/>
                    <w:left w:val="nil"/>
                    <w:bottom w:val="nil"/>
                    <w:right w:val="nil"/>
                  </w:tcBorders>
                  <w:shd w:val="clear" w:color="auto" w:fill="auto"/>
                  <w:noWrap/>
                  <w:vAlign w:val="center"/>
                </w:tcPr>
                <w:p>
                  <w:pPr>
                    <w:jc w:val="left"/>
                    <w:rPr>
                      <w:rFonts w:hint="eastAsia" w:ascii="黑体" w:hAnsi="宋体" w:eastAsia="黑体" w:cs="黑体"/>
                      <w:i w:val="0"/>
                      <w:color w:val="000000"/>
                      <w:sz w:val="24"/>
                      <w:szCs w:val="24"/>
                      <w:u w:val="none"/>
                    </w:rPr>
                  </w:pPr>
                </w:p>
              </w:tc>
              <w:tc>
                <w:tcPr>
                  <w:tcW w:w="590"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1438"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5193"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1196" w:type="dxa"/>
                  <w:gridSpan w:val="2"/>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1897" w:type="dxa"/>
                  <w:gridSpan w:val="2"/>
                  <w:tcBorders>
                    <w:top w:val="nil"/>
                    <w:left w:val="nil"/>
                    <w:bottom w:val="nil"/>
                    <w:right w:val="nil"/>
                  </w:tcBorders>
                  <w:shd w:val="clear" w:color="auto" w:fill="auto"/>
                  <w:noWrap/>
                  <w:vAlign w:val="center"/>
                </w:tcPr>
                <w:p>
                  <w:pPr>
                    <w:jc w:val="right"/>
                    <w:rPr>
                      <w:rFonts w:hint="eastAsia" w:ascii="黑体" w:hAnsi="宋体" w:eastAsia="黑体" w:cs="黑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0" w:type="auto"/>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0" w:type="auto"/>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0" w:type="auto"/>
                  <w:gridSpan w:val="2"/>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0" w:type="auto"/>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0" w:type="auto"/>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p>
              </w:tc>
              <w:tc>
                <w:tcPr>
                  <w:tcW w:w="0" w:type="auto"/>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0" w:type="auto"/>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0" w:type="auto"/>
                  <w:gridSpan w:val="2"/>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0" w:type="auto"/>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48" w:type="dxa"/>
                <w:trHeight w:val="448"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收入</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48" w:type="dxa"/>
                <w:trHeight w:val="62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    目</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行次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决算数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    目</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行次</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48" w:type="dxa"/>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    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    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4"/>
                      <w:szCs w:val="24"/>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48" w:type="dxa"/>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48" w:type="dxa"/>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48" w:type="dxa"/>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48" w:type="dxa"/>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48" w:type="dxa"/>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48" w:type="dxa"/>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48" w:type="dxa"/>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48" w:type="dxa"/>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48" w:type="dxa"/>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48" w:type="dxa"/>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48" w:type="dxa"/>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使用非财政拨款结余</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结余分配</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48" w:type="dxa"/>
                <w:trHeight w:val="62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年初结转和结余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年末结转和结余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48" w:type="dxa"/>
                <w:trHeight w:val="448"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5" w:hRule="atLeast"/>
              </w:trPr>
              <w:tc>
                <w:tcPr>
                  <w:tcW w:w="14896" w:type="dxa"/>
                  <w:gridSpan w:val="8"/>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注：1.本表反映部门本年度的总收支和年末结转结余情况。</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 xml:space="preserve">    2.本套报表金额单位转换时可能存在尾数误差。</w:t>
                  </w:r>
                </w:p>
              </w:tc>
            </w:tr>
          </w:tbl>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CellMar>
            <w:top w:w="0" w:type="dxa"/>
            <w:left w:w="0" w:type="dxa"/>
            <w:bottom w:w="0" w:type="dxa"/>
            <w:right w:w="0" w:type="dxa"/>
          </w:tblCellMar>
        </w:tblPrEx>
        <w:trPr>
          <w:trHeight w:val="285" w:hRule="atLeast"/>
        </w:trPr>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公开02表</w:t>
            </w:r>
          </w:p>
        </w:tc>
      </w:tr>
      <w:tr>
        <w:tblPrEx>
          <w:tblCellMar>
            <w:top w:w="0" w:type="dxa"/>
            <w:left w:w="0" w:type="dxa"/>
            <w:bottom w:w="0" w:type="dxa"/>
            <w:right w:w="0" w:type="dxa"/>
          </w:tblCellMar>
        </w:tblPrEx>
        <w:trPr>
          <w:trHeight w:val="285" w:hRule="atLeast"/>
        </w:trPr>
        <w:tc>
          <w:tcPr>
            <w:tcW w:w="0" w:type="auto"/>
            <w:gridSpan w:val="2"/>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000000"/>
                <w:sz w:val="20"/>
                <w:szCs w:val="20"/>
              </w:rPr>
            </w:pPr>
            <w:r>
              <w:rPr>
                <w:rFonts w:hint="eastAsia"/>
                <w:color w:val="000000"/>
                <w:sz w:val="20"/>
                <w:szCs w:val="20"/>
              </w:rPr>
              <w:t>部门：</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单位：万元</w:t>
            </w:r>
          </w:p>
        </w:tc>
      </w:tr>
      <w:tr>
        <w:tblPrEx>
          <w:tblCellMar>
            <w:top w:w="0" w:type="dxa"/>
            <w:left w:w="0" w:type="dxa"/>
            <w:bottom w:w="0" w:type="dxa"/>
            <w:right w:w="0" w:type="dxa"/>
          </w:tblCellMar>
        </w:tblPrEx>
        <w:trPr>
          <w:trHeight w:val="450" w:hRule="atLeast"/>
        </w:trPr>
        <w:tc>
          <w:tcPr>
            <w:tcW w:w="2420"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1640"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164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CellMar>
            <w:top w:w="0" w:type="dxa"/>
            <w:left w:w="0" w:type="dxa"/>
            <w:bottom w:w="0" w:type="dxa"/>
            <w:right w:w="0" w:type="dxa"/>
          </w:tblCellMar>
        </w:tblPrEx>
        <w:trPr>
          <w:trHeight w:val="450" w:hRule="atLeast"/>
        </w:trPr>
        <w:tc>
          <w:tcPr>
            <w:tcW w:w="1120"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1300"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450" w:hRule="atLeast"/>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0" w:type="auto"/>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450" w:hRule="atLeast"/>
        </w:trPr>
        <w:tc>
          <w:tcPr>
            <w:tcW w:w="0" w:type="auto"/>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2</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3</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4</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5</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6</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7</w:t>
            </w:r>
          </w:p>
        </w:tc>
      </w:tr>
      <w:tr>
        <w:tblPrEx>
          <w:tblCellMar>
            <w:top w:w="0" w:type="dxa"/>
            <w:left w:w="0" w:type="dxa"/>
            <w:bottom w:w="0" w:type="dxa"/>
            <w:right w:w="0" w:type="dxa"/>
          </w:tblCellMar>
        </w:tblPrEx>
        <w:trPr>
          <w:trHeight w:val="450" w:hRule="atLeast"/>
        </w:trPr>
        <w:tc>
          <w:tcPr>
            <w:tcW w:w="0" w:type="auto"/>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合计</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华文中宋" w:hAnsi="华文中宋" w:eastAsia="华文中宋" w:cs="宋体"/>
                <w:sz w:val="24"/>
                <w:szCs w:val="24"/>
              </w:rPr>
            </w:pPr>
            <w:r>
              <w:rPr>
                <w:rFonts w:hint="eastAsia" w:ascii="华文中宋" w:hAnsi="华文中宋" w:eastAsia="华文中宋"/>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450" w:hRule="atLeast"/>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r>
      <w:tr>
        <w:tblPrEx>
          <w:tblCellMar>
            <w:top w:w="0" w:type="dxa"/>
            <w:left w:w="0" w:type="dxa"/>
            <w:bottom w:w="0" w:type="dxa"/>
            <w:right w:w="0" w:type="dxa"/>
          </w:tblCellMar>
        </w:tblPrEx>
        <w:trPr>
          <w:trHeight w:val="615" w:hRule="atLeast"/>
        </w:trPr>
        <w:tc>
          <w:tcPr>
            <w:tcW w:w="13900" w:type="dxa"/>
            <w:gridSpan w:val="10"/>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rPr>
              <w:t>注：本表反映部门本年度取得的各项收入情况。</w:t>
            </w: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rPr>
          <w:rFonts w:ascii="Times New Roman" w:hAnsi="Times New Roman" w:eastAsia="方正小标宋_GBK" w:cs="Times New Roman"/>
          <w:color w:val="000000"/>
          <w:kern w:val="0"/>
          <w:sz w:val="36"/>
          <w:szCs w:val="36"/>
        </w:rPr>
      </w:pPr>
    </w:p>
    <w:tbl>
      <w:tblPr>
        <w:tblStyle w:val="5"/>
        <w:tblW w:w="15640" w:type="dxa"/>
        <w:tblInd w:w="93" w:type="dxa"/>
        <w:tblLayout w:type="autofit"/>
        <w:tblCellMar>
          <w:top w:w="0" w:type="dxa"/>
          <w:left w:w="108" w:type="dxa"/>
          <w:bottom w:w="0" w:type="dxa"/>
          <w:right w:w="108" w:type="dxa"/>
        </w:tblCellMar>
      </w:tblPr>
      <w:tblGrid>
        <w:gridCol w:w="1236"/>
        <w:gridCol w:w="263"/>
        <w:gridCol w:w="1481"/>
        <w:gridCol w:w="1952"/>
        <w:gridCol w:w="1991"/>
        <w:gridCol w:w="1991"/>
        <w:gridCol w:w="1991"/>
        <w:gridCol w:w="1991"/>
        <w:gridCol w:w="2744"/>
      </w:tblGrid>
      <w:tr>
        <w:tblPrEx>
          <w:tblCellMar>
            <w:top w:w="0" w:type="dxa"/>
            <w:left w:w="108" w:type="dxa"/>
            <w:bottom w:w="0" w:type="dxa"/>
            <w:right w:w="108" w:type="dxa"/>
          </w:tblCellMar>
        </w:tblPrEx>
        <w:trPr>
          <w:trHeight w:val="807" w:hRule="atLeast"/>
        </w:trPr>
        <w:tc>
          <w:tcPr>
            <w:tcW w:w="15640"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rPr>
          <w:trHeight w:val="403" w:hRule="atLeast"/>
        </w:trPr>
        <w:tc>
          <w:tcPr>
            <w:tcW w:w="12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6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8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5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CellMar>
            <w:top w:w="0" w:type="dxa"/>
            <w:left w:w="108" w:type="dxa"/>
            <w:bottom w:w="0" w:type="dxa"/>
            <w:right w:w="108" w:type="dxa"/>
          </w:tblCellMar>
        </w:tblPrEx>
        <w:trPr>
          <w:trHeight w:val="403" w:hRule="atLeast"/>
        </w:trPr>
        <w:tc>
          <w:tcPr>
            <w:tcW w:w="1236"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26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8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5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rPr>
          <w:trHeight w:val="595" w:hRule="atLeast"/>
        </w:trPr>
        <w:tc>
          <w:tcPr>
            <w:tcW w:w="2980"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952"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199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99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99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99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274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tblPrEx>
          <w:tblCellMar>
            <w:top w:w="0" w:type="dxa"/>
            <w:left w:w="108" w:type="dxa"/>
            <w:bottom w:w="0" w:type="dxa"/>
            <w:right w:w="108" w:type="dxa"/>
          </w:tblCellMar>
        </w:tblPrEx>
        <w:trPr>
          <w:trHeight w:val="595" w:hRule="atLeast"/>
        </w:trPr>
        <w:tc>
          <w:tcPr>
            <w:tcW w:w="1499"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1481"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19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7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rPr>
          <w:trHeight w:val="595" w:hRule="atLeast"/>
        </w:trPr>
        <w:tc>
          <w:tcPr>
            <w:tcW w:w="149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8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5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7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95" w:hRule="atLeast"/>
        </w:trPr>
        <w:tc>
          <w:tcPr>
            <w:tcW w:w="2980"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1952"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99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99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99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99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274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trPr>
          <w:trHeight w:val="595" w:hRule="atLeast"/>
        </w:trPr>
        <w:tc>
          <w:tcPr>
            <w:tcW w:w="2980"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9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48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195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744"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828" w:hRule="atLeast"/>
        </w:trPr>
        <w:tc>
          <w:tcPr>
            <w:tcW w:w="15640" w:type="dxa"/>
            <w:gridSpan w:val="9"/>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pPr>
        <w:widowControl/>
        <w:jc w:val="both"/>
        <w:rPr>
          <w:rFonts w:ascii="Times New Roman" w:hAnsi="Times New Roman" w:eastAsia="方正小标宋_GBK" w:cs="Times New Roman"/>
          <w:color w:val="000000"/>
          <w:kern w:val="0"/>
          <w:sz w:val="36"/>
          <w:szCs w:val="21"/>
        </w:rPr>
      </w:pPr>
    </w:p>
    <w:tbl>
      <w:tblPr>
        <w:tblStyle w:val="5"/>
        <w:tblW w:w="15521" w:type="dxa"/>
        <w:tblInd w:w="93" w:type="dxa"/>
        <w:tblLayout w:type="autofit"/>
        <w:tblCellMar>
          <w:top w:w="0" w:type="dxa"/>
          <w:left w:w="108" w:type="dxa"/>
          <w:bottom w:w="0" w:type="dxa"/>
          <w:right w:w="108" w:type="dxa"/>
        </w:tblCellMar>
      </w:tblPr>
      <w:tblGrid>
        <w:gridCol w:w="3595"/>
        <w:gridCol w:w="436"/>
        <w:gridCol w:w="1078"/>
        <w:gridCol w:w="496"/>
        <w:gridCol w:w="2915"/>
        <w:gridCol w:w="632"/>
        <w:gridCol w:w="435"/>
        <w:gridCol w:w="1573"/>
        <w:gridCol w:w="1394"/>
        <w:gridCol w:w="1394"/>
        <w:gridCol w:w="1573"/>
      </w:tblGrid>
      <w:tr>
        <w:tblPrEx>
          <w:tblCellMar>
            <w:top w:w="0" w:type="dxa"/>
            <w:left w:w="108" w:type="dxa"/>
            <w:bottom w:w="0" w:type="dxa"/>
            <w:right w:w="108" w:type="dxa"/>
          </w:tblCellMar>
        </w:tblPrEx>
        <w:trPr>
          <w:trHeight w:val="285" w:hRule="atLeast"/>
        </w:trPr>
        <w:tc>
          <w:tcPr>
            <w:tcW w:w="3596" w:type="dxa"/>
            <w:tcBorders>
              <w:top w:val="nil"/>
              <w:left w:val="nil"/>
              <w:bottom w:val="nil"/>
              <w:right w:val="nil"/>
            </w:tcBorders>
            <w:shd w:val="clear" w:color="auto" w:fill="auto"/>
            <w:noWrap/>
            <w:vAlign w:val="center"/>
          </w:tcPr>
          <w:p>
            <w:pPr>
              <w:widowControl/>
              <w:jc w:val="left"/>
              <w:rPr>
                <w:rFonts w:ascii="黑体" w:hAnsi="黑体" w:eastAsia="黑体" w:cs="宋体"/>
                <w:kern w:val="0"/>
                <w:sz w:val="24"/>
                <w:szCs w:val="24"/>
              </w:rPr>
            </w:pPr>
            <w:bookmarkStart w:id="0" w:name="RANGE!A1:I22"/>
            <w:bookmarkEnd w:id="0"/>
            <w:bookmarkStart w:id="1" w:name="RANGE!A1:F16"/>
          </w:p>
        </w:tc>
        <w:tc>
          <w:tcPr>
            <w:tcW w:w="43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4"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3547"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43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r>
      <w:tr>
        <w:tblPrEx>
          <w:tblCellMar>
            <w:top w:w="0" w:type="dxa"/>
            <w:left w:w="108" w:type="dxa"/>
            <w:bottom w:w="0" w:type="dxa"/>
            <w:right w:w="108" w:type="dxa"/>
          </w:tblCellMar>
        </w:tblPrEx>
        <w:trPr>
          <w:trHeight w:val="360" w:hRule="atLeast"/>
        </w:trPr>
        <w:tc>
          <w:tcPr>
            <w:tcW w:w="1552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CellMar>
            <w:top w:w="0" w:type="dxa"/>
            <w:left w:w="108" w:type="dxa"/>
            <w:bottom w:w="0" w:type="dxa"/>
            <w:right w:w="108" w:type="dxa"/>
          </w:tblCellMar>
        </w:tblPrEx>
        <w:trPr>
          <w:trHeight w:val="199" w:hRule="atLeast"/>
        </w:trPr>
        <w:tc>
          <w:tcPr>
            <w:tcW w:w="359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CellMar>
            <w:top w:w="0" w:type="dxa"/>
            <w:left w:w="108" w:type="dxa"/>
            <w:bottom w:w="0" w:type="dxa"/>
            <w:right w:w="108" w:type="dxa"/>
          </w:tblCellMar>
        </w:tblPrEx>
        <w:trPr>
          <w:trHeight w:val="300" w:hRule="atLeast"/>
        </w:trPr>
        <w:tc>
          <w:tcPr>
            <w:tcW w:w="3596"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510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412" w:type="dxa"/>
            <w:gridSpan w:val="8"/>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630"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9</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年初财政拨款结转和结余</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10</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年末财政拨款结转和结余</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一般公共预算财政拨款</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政府性基金预算财政拨款</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国有资本经营预算财政拨款</w:t>
            </w:r>
          </w:p>
        </w:tc>
        <w:tc>
          <w:tcPr>
            <w:tcW w:w="43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402" w:hRule="atLeast"/>
        </w:trPr>
        <w:tc>
          <w:tcPr>
            <w:tcW w:w="359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3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1067"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28</w:t>
            </w:r>
          </w:p>
        </w:tc>
        <w:tc>
          <w:tcPr>
            <w:tcW w:w="157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139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585" w:hRule="atLeast"/>
        </w:trPr>
        <w:tc>
          <w:tcPr>
            <w:tcW w:w="15521"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5"/>
        <w:tblW w:w="14219" w:type="dxa"/>
        <w:jc w:val="center"/>
        <w:tblLayout w:type="autofit"/>
        <w:tblCellMar>
          <w:top w:w="0" w:type="dxa"/>
          <w:left w:w="108" w:type="dxa"/>
          <w:bottom w:w="0" w:type="dxa"/>
          <w:right w:w="108" w:type="dxa"/>
        </w:tblCellMar>
      </w:tblPr>
      <w:tblGrid>
        <w:gridCol w:w="1200"/>
        <w:gridCol w:w="3527"/>
        <w:gridCol w:w="3000"/>
        <w:gridCol w:w="3492"/>
        <w:gridCol w:w="3000"/>
      </w:tblGrid>
      <w:tr>
        <w:tblPrEx>
          <w:tblCellMar>
            <w:top w:w="0" w:type="dxa"/>
            <w:left w:w="108" w:type="dxa"/>
            <w:bottom w:w="0" w:type="dxa"/>
            <w:right w:w="108" w:type="dxa"/>
          </w:tblCellMar>
        </w:tblPrEx>
        <w:trPr>
          <w:trHeight w:val="405"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492"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492"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3000" w:type="dxa"/>
            <w:tcBorders>
              <w:top w:val="nil"/>
              <w:left w:val="nil"/>
              <w:bottom w:val="single" w:color="auto" w:sz="8" w:space="0"/>
              <w:right w:val="single" w:color="auto" w:sz="8"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CellMar>
            <w:top w:w="0" w:type="dxa"/>
            <w:left w:w="108" w:type="dxa"/>
            <w:bottom w:w="0" w:type="dxa"/>
            <w:right w:w="108" w:type="dxa"/>
          </w:tblCellMar>
        </w:tblPrEx>
        <w:trPr>
          <w:trHeight w:val="645" w:hRule="atLeast"/>
          <w:jc w:val="center"/>
        </w:trPr>
        <w:tc>
          <w:tcPr>
            <w:tcW w:w="14219"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5"/>
        <w:tblW w:w="0" w:type="auto"/>
        <w:tblInd w:w="0" w:type="dxa"/>
        <w:tblLayout w:type="autofit"/>
        <w:tblCellMar>
          <w:top w:w="0" w:type="dxa"/>
          <w:left w:w="108" w:type="dxa"/>
          <w:bottom w:w="0" w:type="dxa"/>
          <w:right w:w="108" w:type="dxa"/>
        </w:tblCellMar>
      </w:tblPr>
      <w:tblGrid>
        <w:gridCol w:w="1003"/>
        <w:gridCol w:w="240"/>
        <w:gridCol w:w="95"/>
        <w:gridCol w:w="1307"/>
        <w:gridCol w:w="2059"/>
        <w:gridCol w:w="60"/>
        <w:gridCol w:w="587"/>
        <w:gridCol w:w="1222"/>
        <w:gridCol w:w="310"/>
        <w:gridCol w:w="2006"/>
        <w:gridCol w:w="113"/>
        <w:gridCol w:w="535"/>
        <w:gridCol w:w="1223"/>
        <w:gridCol w:w="361"/>
        <w:gridCol w:w="2119"/>
        <w:gridCol w:w="1726"/>
        <w:gridCol w:w="394"/>
        <w:gridCol w:w="254"/>
      </w:tblGrid>
      <w:tr>
        <w:tblPrEx>
          <w:tblCellMar>
            <w:top w:w="0" w:type="dxa"/>
            <w:left w:w="108" w:type="dxa"/>
            <w:bottom w:w="0" w:type="dxa"/>
            <w:right w:w="108" w:type="dxa"/>
          </w:tblCellMar>
        </w:tblPrEx>
        <w:trPr>
          <w:trHeight w:val="113" w:hRule="atLeast"/>
        </w:trPr>
        <w:tc>
          <w:tcPr>
            <w:tcW w:w="15614" w:type="dxa"/>
            <w:gridSpan w:val="18"/>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CellMar>
            <w:top w:w="0" w:type="dxa"/>
            <w:left w:w="108" w:type="dxa"/>
            <w:bottom w:w="0" w:type="dxa"/>
            <w:right w:w="108" w:type="dxa"/>
          </w:tblCellMar>
        </w:tblPrEx>
        <w:trPr>
          <w:trHeight w:val="113" w:hRule="atLeast"/>
        </w:trPr>
        <w:tc>
          <w:tcPr>
            <w:tcW w:w="133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22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3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6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2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420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6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39906</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赠与</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4704"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647"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615" w:type="dxa"/>
            <w:gridSpan w:val="9"/>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r>
      <w:tr>
        <w:tblPrEx>
          <w:tblCellMar>
            <w:top w:w="0" w:type="dxa"/>
            <w:left w:w="108" w:type="dxa"/>
            <w:bottom w:w="0" w:type="dxa"/>
            <w:right w:w="108" w:type="dxa"/>
          </w:tblCellMar>
        </w:tblPrEx>
        <w:trPr>
          <w:trHeight w:val="284" w:hRule="exact"/>
        </w:trPr>
        <w:tc>
          <w:tcPr>
            <w:tcW w:w="15614" w:type="dxa"/>
            <w:gridSpan w:val="18"/>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690" w:hRule="atLeast"/>
        </w:trPr>
        <w:tc>
          <w:tcPr>
            <w:tcW w:w="15360" w:type="dxa"/>
            <w:gridSpan w:val="17"/>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690" w:hRule="atLeast"/>
        </w:trPr>
        <w:tc>
          <w:tcPr>
            <w:tcW w:w="1003"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459" w:hRule="atLeast"/>
        </w:trPr>
        <w:tc>
          <w:tcPr>
            <w:tcW w:w="2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12"/>
                <w:lang w:val="en-US" w:eastAsia="zh-CN" w:bidi="ar"/>
              </w:rPr>
              <w:t xml:space="preserve">   </w:t>
            </w:r>
            <w:r>
              <w:rPr>
                <w:rStyle w:val="13"/>
                <w:lang w:val="en-US" w:eastAsia="zh-CN" w:bidi="ar"/>
              </w:rPr>
              <w:t>目</w:t>
            </w: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11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3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1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40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11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509" w:hRule="atLeast"/>
        </w:trPr>
        <w:tc>
          <w:tcPr>
            <w:tcW w:w="2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509" w:hRule="atLeast"/>
        </w:trPr>
        <w:tc>
          <w:tcPr>
            <w:tcW w:w="2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54" w:type="dxa"/>
          <w:trHeight w:val="725" w:hRule="atLeast"/>
        </w:trPr>
        <w:tc>
          <w:tcPr>
            <w:tcW w:w="15360" w:type="dxa"/>
            <w:gridSpan w:val="17"/>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说明：我单位没有政府性基金收入，也没有使用政府性基金安排的支出，故本表无数据。（当表格数据为空时，应有此说明）</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5"/>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0" w:type="auto"/>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14"/>
                <w:lang w:val="en-US" w:eastAsia="zh-CN"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说明：我单位没有使用国有资本经营预算安排的支出，故本表无数据。（当表格数据为空时，应有此说明）</w:t>
            </w:r>
          </w:p>
        </w:tc>
      </w:tr>
    </w:tbl>
    <w:p>
      <w:pPr>
        <w:widowControl/>
        <w:jc w:val="center"/>
        <w:rPr>
          <w:rFonts w:hint="eastAsia" w:ascii="Times New Roman" w:hAnsi="Times New Roman" w:eastAsia="方正小标宋_GBK" w:cs="Times New Roman"/>
          <w:color w:val="000000"/>
          <w:kern w:val="0"/>
          <w:sz w:val="36"/>
          <w:szCs w:val="36"/>
        </w:rPr>
      </w:pPr>
    </w:p>
    <w:tbl>
      <w:tblPr>
        <w:tblStyle w:val="5"/>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0" w:type="auto"/>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rFonts w:hint="eastAsia" w:ascii="方正小标宋_GBK" w:hAnsi="方正小标宋_GBK" w:eastAsia="方正小标宋_GBK" w:cs="方正小标宋_GBK"/>
          <w:sz w:val="72"/>
          <w:szCs w:val="72"/>
        </w:rPr>
      </w:pPr>
    </w:p>
    <w:p>
      <w:pPr>
        <w:pStyle w:val="9"/>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9"/>
        <w:jc w:val="center"/>
        <w:rPr>
          <w:rFonts w:hint="eastAsia" w:ascii="方正小标宋_GBK" w:hAnsi="方正小标宋_GBK" w:eastAsia="方正小标宋_GBK" w:cs="方正小标宋_GBK"/>
          <w:sz w:val="70"/>
          <w:szCs w:val="70"/>
        </w:rPr>
      </w:pPr>
    </w:p>
    <w:p>
      <w:pPr>
        <w:pStyle w:val="9"/>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2</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年度收、支总计XXXX万元。与上年相比，增加（减少）XXXX万元，增长（减少）XX%，主要是因为</w:t>
      </w:r>
      <w:r>
        <w:rPr>
          <w:rFonts w:ascii="Times New Roman" w:hAnsi="Times New Roman" w:eastAsia="仿宋_GB2312"/>
          <w:sz w:val="32"/>
          <w:szCs w:val="32"/>
        </w:rPr>
        <w:t>………</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年度收入合计XXXX万元，其中：财政拨款收入XXXX万元，占XX%；上级补助收入XXXX万元，占XX%；事业收入XXXX万元，占XX%；经营收入XXXX万元，占XX%；附属单位上缴收入XXXX万元，占XX%；其他收入XXXX万元，占XX%。</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年度支出合计XXXX万元，其中：基本支出XXXX万元，占XX%；项目支出XXXX万元，占XX%；上缴上级支出XXXX万元，占XX%；经营支出XXXX万元，占XX%；对附属单位补助支出XXXX万元，占XX%。</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9"/>
        <w:keepNext w:val="0"/>
        <w:keepLines w:val="0"/>
        <w:pageBreakBefore w:val="0"/>
        <w:widowControl w:val="0"/>
        <w:kinsoku/>
        <w:wordWrap/>
        <w:overflowPunct/>
        <w:topLinePunct w:val="0"/>
        <w:bidi w:val="0"/>
        <w:snapToGrid/>
        <w:spacing w:line="600" w:lineRule="exact"/>
        <w:textAlignment w:val="auto"/>
        <w:rPr>
          <w:rFonts w:ascii="Times New Roman" w:hAnsi="Times New Roman" w:eastAsia="仿宋_GB2312"/>
          <w:sz w:val="32"/>
          <w:szCs w:val="32"/>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年度财政拨款收、支总计XXXX万元，与上年相比，增加（减少）XXXX万元,增长（减少）XX%，主要是因为………</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（一）财政拨款支出决算总体情况</w:t>
      </w:r>
    </w:p>
    <w:p>
      <w:pPr>
        <w:pStyle w:val="9"/>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年度财政拨款支出XXXX万元，占本年支出合计的XX%，与上年相比，财政拨款支出增加（减少）XXXX万元，增长（减少）XX%，主要是因为</w:t>
      </w:r>
      <w:r>
        <w:rPr>
          <w:rFonts w:ascii="Times New Roman" w:hAnsi="Times New Roman" w:eastAsia="仿宋_GB2312"/>
          <w:sz w:val="32"/>
          <w:szCs w:val="32"/>
        </w:rPr>
        <w:t>……</w:t>
      </w:r>
    </w:p>
    <w:p>
      <w:pPr>
        <w:pStyle w:val="9"/>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（二）财政拨款支出决算结构情况</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年度财政拨款支出XXXX万元，主要用于以下方面：一般公共服务（类）支出XXXX万元，占XX%；教育（类）支出XXXX万元，占XX%;</w:t>
      </w:r>
      <w:r>
        <w:rPr>
          <w:rFonts w:ascii="Times New Roman" w:hAnsi="Times New Roman" w:eastAsia="仿宋_GB2312"/>
          <w:sz w:val="32"/>
          <w:szCs w:val="32"/>
        </w:rPr>
        <w:t>………</w:t>
      </w:r>
      <w:r>
        <w:rPr>
          <w:rFonts w:hint="eastAsia" w:ascii="楷体" w:hAnsi="楷体" w:eastAsia="楷体" w:cs="楷体"/>
          <w:b/>
          <w:bCs/>
          <w:i/>
          <w:color w:val="auto"/>
          <w:sz w:val="32"/>
          <w:szCs w:val="32"/>
        </w:rPr>
        <w:t>（可根据实际情况进行增减,要求到类级科目）</w:t>
      </w:r>
    </w:p>
    <w:p>
      <w:pPr>
        <w:pStyle w:val="9"/>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（三）财政拨款支出决算具体情况</w:t>
      </w:r>
    </w:p>
    <w:p>
      <w:pPr>
        <w:pStyle w:val="9"/>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年度财政拨款支出年初预算数为XXXX万元，支出决算数为XXXX万元，完成年初预算的XX%，其中：</w:t>
      </w:r>
    </w:p>
    <w:p>
      <w:pPr>
        <w:pStyle w:val="9"/>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1、一般公共服务（类）XXXX（款）XXXX（项）。</w:t>
      </w:r>
    </w:p>
    <w:p>
      <w:pPr>
        <w:pStyle w:val="9"/>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年初预算为XXXX万元，支出决算为XXXX万元，完成年初预算的XX%，决算数大于（小于）年初预算数的主要原因是：</w:t>
      </w:r>
      <w:r>
        <w:rPr>
          <w:rFonts w:ascii="Times New Roman" w:hAnsi="Times New Roman" w:eastAsia="仿宋_GB2312"/>
          <w:sz w:val="32"/>
          <w:szCs w:val="32"/>
        </w:rPr>
        <w:t>……</w:t>
      </w:r>
    </w:p>
    <w:p>
      <w:pPr>
        <w:pStyle w:val="9"/>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2、一般公共服务（类）XXXX（款）XXXX（项）。</w:t>
      </w:r>
    </w:p>
    <w:p>
      <w:pPr>
        <w:pStyle w:val="9"/>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年初预算为XXXX万元，支出决算为XXXX万元，完成年初预算的XX%，决算数大于（小于）年初预算数的主要原因是：……</w:t>
      </w:r>
    </w:p>
    <w:p>
      <w:pPr>
        <w:pStyle w:val="9"/>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ascii="Times New Roman" w:hAnsi="Times New Roman" w:eastAsia="仿宋_GB2312"/>
          <w:sz w:val="32"/>
          <w:szCs w:val="32"/>
        </w:rPr>
        <w:t>………</w:t>
      </w:r>
      <w:r>
        <w:rPr>
          <w:rFonts w:hint="eastAsia" w:ascii="楷体" w:hAnsi="楷体" w:eastAsia="楷体" w:cs="楷体"/>
          <w:b/>
          <w:bCs/>
          <w:i/>
          <w:color w:val="auto"/>
          <w:sz w:val="32"/>
          <w:szCs w:val="32"/>
        </w:rPr>
        <w:t>（可根据实际情况进行增减,要求到项级科目）</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年度财政拨款基本支出XXXX万元，其中：</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rPr>
        <w:t>XXXX万元，占基本支出的XX%,主要包括基本工资、津贴补贴、奖金、伙食补助费</w:t>
      </w:r>
      <w:r>
        <w:rPr>
          <w:rFonts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楷体" w:hAnsi="楷体" w:eastAsia="楷体" w:cs="楷体"/>
          <w:b/>
          <w:bCs/>
          <w:i/>
          <w:color w:val="auto"/>
          <w:sz w:val="32"/>
          <w:szCs w:val="32"/>
        </w:rPr>
        <w:t>（可根据实际情况进行增减）</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b/>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rPr>
        <w:t>XXXX万元，占基本支出的XX%，主要包括办公费、印刷费、咨询费、手续费</w:t>
      </w:r>
      <w:r>
        <w:rPr>
          <w:rFonts w:ascii="Times New Roman" w:hAnsi="Times New Roman" w:eastAsia="仿宋_GB2312"/>
          <w:sz w:val="32"/>
          <w:szCs w:val="32"/>
        </w:rPr>
        <w:t>……</w:t>
      </w:r>
      <w:r>
        <w:rPr>
          <w:rFonts w:hint="eastAsia" w:ascii="Times New Roman" w:hAnsi="Times New Roman" w:eastAsia="仿宋_GB2312"/>
          <w:sz w:val="32"/>
          <w:szCs w:val="32"/>
        </w:rPr>
        <w:t>。</w:t>
      </w:r>
      <w:r>
        <w:rPr>
          <w:rFonts w:hint="eastAsia" w:ascii="楷体" w:hAnsi="楷体" w:eastAsia="楷体" w:cs="楷体"/>
          <w:b/>
          <w:bCs/>
          <w:i/>
          <w:color w:val="auto"/>
          <w:sz w:val="32"/>
          <w:szCs w:val="32"/>
        </w:rPr>
        <w:t>（可根据实际情况进行增减）</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黑体" w:hAnsi="黑体" w:eastAsia="黑体" w:cs="黑体"/>
          <w:b w:val="0"/>
          <w:bCs/>
          <w:sz w:val="32"/>
          <w:szCs w:val="32"/>
        </w:rPr>
        <w:t>七、财政拨款三公经费支出决算情况说明</w:t>
      </w:r>
      <w:r>
        <w:rPr>
          <w:rFonts w:hint="eastAsia" w:ascii="楷体" w:hAnsi="楷体" w:eastAsia="楷体" w:cs="楷体"/>
          <w:b/>
          <w:bCs/>
          <w:i/>
          <w:color w:val="auto"/>
          <w:sz w:val="32"/>
          <w:szCs w:val="32"/>
          <w:lang w:eastAsia="zh-CN"/>
        </w:rPr>
        <w:t>（注意：三公经费情况说明，往年为一般公共预算财政拨款口径，今年为财政拨款口径）</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9"/>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“三公”经费财政拨款支出预算为XXXX万元，支出决算为XXXX万元，完成预算的XX%，其中：</w:t>
      </w:r>
    </w:p>
    <w:p>
      <w:pPr>
        <w:pStyle w:val="9"/>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因公出国（境）费支出预算为XXXX万元，支出决算为XXXX万元，完成预算的XX%，决算数大于（小于）预算数的主要原因是……，与上年相比减少（增加）XXXX万元，减少（增长）XX%,减少（增长）的主要原因是……。</w:t>
      </w:r>
    </w:p>
    <w:p>
      <w:pPr>
        <w:pStyle w:val="9"/>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公务接待费支出预算为XXXX万元，支出决算为XXXX万元，完成预算的XX%，决算数大于（小于）预算数的主要原因是……，与上年相比减少（增加）XXXX万元，减少（增长）XX%,减少（增长）的主要原因是……。</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公务用车购置费支出预算为XXXX万元，支出决算为XXXX万元，完成预算的XX%，决算数大于（小于）预算数的主要原因是……，与上年相比减少（增加）XXXX万元，减少（增长）XX%,减少（增长）的主要原因是……。</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XXXX万元，支出决算为XXXX万元，完成预算的XX%，决算数大于（小于）预算数的主要原因是……，与上年相比减少（增加）XXXX万元，减少（增长）XX%,减少（增长）的主要原因是……。</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年度“三公”经费财政拨款支出决算中，公务接待费支出决算XXXX万元，占XX%,因公出国（境）费支出决算XXXX万元，占XX%,公务用车购置费及运行维护费支出决算XXXX万元，占XX%。其中：</w:t>
      </w:r>
    </w:p>
    <w:p>
      <w:pPr>
        <w:pStyle w:val="9"/>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因公出国（境）费支出决算为XXXX万元，全年安排因公出国（境）团组XX个，累计XXXX人次</w:t>
      </w:r>
      <w:r>
        <w:rPr>
          <w:rFonts w:hint="eastAsia" w:ascii="楷体" w:hAnsi="楷体" w:eastAsia="楷体" w:cs="楷体"/>
          <w:b/>
          <w:bCs/>
          <w:i/>
          <w:color w:val="auto"/>
          <w:sz w:val="32"/>
          <w:szCs w:val="32"/>
        </w:rPr>
        <w:t>（精确到个位数）,</w:t>
      </w:r>
      <w:r>
        <w:rPr>
          <w:rFonts w:hint="eastAsia" w:ascii="Times New Roman" w:hAnsi="Times New Roman" w:eastAsia="仿宋_GB2312"/>
          <w:sz w:val="32"/>
          <w:szCs w:val="32"/>
        </w:rPr>
        <w:t>开支内容包括：</w:t>
      </w:r>
    </w:p>
    <w:p>
      <w:pPr>
        <w:pStyle w:val="9"/>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sz w:val="32"/>
          <w:szCs w:val="32"/>
        </w:rPr>
      </w:pPr>
      <w:r>
        <w:rPr>
          <w:rFonts w:ascii="Times New Roman" w:hAnsi="Times New Roman" w:eastAsia="仿宋_GB2312"/>
          <w:sz w:val="32"/>
          <w:szCs w:val="32"/>
        </w:rPr>
        <w:t>……</w:t>
      </w:r>
      <w:r>
        <w:rPr>
          <w:rFonts w:hint="eastAsia" w:ascii="楷体" w:hAnsi="楷体" w:eastAsia="楷体" w:cs="楷体"/>
          <w:b/>
          <w:bCs/>
          <w:i/>
          <w:color w:val="auto"/>
          <w:sz w:val="32"/>
          <w:szCs w:val="32"/>
        </w:rPr>
        <w:t>（活动名称）</w:t>
      </w:r>
      <w:r>
        <w:rPr>
          <w:rFonts w:hint="eastAsia" w:ascii="Times New Roman" w:hAnsi="Times New Roman" w:eastAsia="仿宋_GB2312"/>
          <w:sz w:val="32"/>
          <w:szCs w:val="32"/>
        </w:rPr>
        <w:t>支出XXXX万元，主要用于</w:t>
      </w:r>
      <w:r>
        <w:rPr>
          <w:rFonts w:ascii="Times New Roman" w:hAnsi="Times New Roman" w:eastAsia="仿宋_GB2312"/>
          <w:sz w:val="32"/>
          <w:szCs w:val="32"/>
        </w:rPr>
        <w:t>………</w:t>
      </w:r>
      <w:r>
        <w:rPr>
          <w:rFonts w:hint="eastAsia" w:ascii="楷体" w:hAnsi="楷体" w:eastAsia="楷体" w:cs="楷体"/>
          <w:b/>
          <w:bCs/>
          <w:i/>
          <w:color w:val="auto"/>
          <w:sz w:val="32"/>
          <w:szCs w:val="32"/>
        </w:rPr>
        <w:t>（活动内容）</w:t>
      </w:r>
    </w:p>
    <w:p>
      <w:pPr>
        <w:pStyle w:val="9"/>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sz w:val="32"/>
          <w:szCs w:val="32"/>
        </w:rPr>
      </w:pPr>
      <w:r>
        <w:rPr>
          <w:rFonts w:hint="eastAsia" w:ascii="楷体" w:hAnsi="楷体" w:eastAsia="楷体" w:cs="楷体"/>
          <w:b/>
          <w:bCs/>
          <w:i/>
          <w:color w:val="auto"/>
          <w:sz w:val="32"/>
          <w:szCs w:val="32"/>
        </w:rPr>
        <w:t xml:space="preserve">     </w:t>
      </w:r>
      <w:r>
        <w:rPr>
          <w:rFonts w:hint="eastAsia" w:ascii="Times New Roman" w:hAnsi="Times New Roman" w:eastAsia="仿宋_GB2312"/>
          <w:sz w:val="32"/>
          <w:szCs w:val="32"/>
        </w:rPr>
        <w:t>……</w:t>
      </w:r>
      <w:r>
        <w:rPr>
          <w:rFonts w:hint="eastAsia" w:ascii="楷体" w:hAnsi="楷体" w:eastAsia="楷体" w:cs="楷体"/>
          <w:b/>
          <w:bCs/>
          <w:i/>
          <w:color w:val="auto"/>
          <w:sz w:val="32"/>
          <w:szCs w:val="32"/>
        </w:rPr>
        <w:t>（可根据实际情况进行增减）</w:t>
      </w:r>
    </w:p>
    <w:p>
      <w:pPr>
        <w:pStyle w:val="9"/>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2、公务接待费支出决算为XXXX万元，全年共接待来访团组XX个、来宾XXXX人次</w:t>
      </w:r>
      <w:r>
        <w:rPr>
          <w:rFonts w:hint="eastAsia" w:ascii="楷体" w:hAnsi="楷体" w:eastAsia="楷体" w:cs="楷体"/>
          <w:b/>
          <w:bCs/>
          <w:i/>
          <w:color w:val="auto"/>
          <w:sz w:val="32"/>
          <w:szCs w:val="32"/>
        </w:rPr>
        <w:t>（精确到个位数）</w:t>
      </w:r>
      <w:r>
        <w:rPr>
          <w:rFonts w:hint="eastAsia" w:ascii="Times New Roman" w:hAnsi="Times New Roman" w:eastAsia="仿宋_GB2312"/>
          <w:sz w:val="32"/>
          <w:szCs w:val="32"/>
        </w:rPr>
        <w:t>，主要是</w:t>
      </w:r>
      <w:r>
        <w:rPr>
          <w:rFonts w:ascii="Times New Roman" w:hAnsi="Times New Roman" w:eastAsia="仿宋_GB2312"/>
          <w:sz w:val="32"/>
          <w:szCs w:val="32"/>
        </w:rPr>
        <w:t>………</w:t>
      </w:r>
      <w:r>
        <w:rPr>
          <w:rFonts w:hint="eastAsia" w:ascii="楷体" w:hAnsi="楷体" w:eastAsia="楷体" w:cs="楷体"/>
          <w:b/>
          <w:bCs/>
          <w:i/>
          <w:color w:val="auto"/>
          <w:sz w:val="32"/>
          <w:szCs w:val="32"/>
        </w:rPr>
        <w:t>（活动内容）</w:t>
      </w:r>
      <w:r>
        <w:rPr>
          <w:rFonts w:hint="eastAsia" w:ascii="Times New Roman" w:hAnsi="Times New Roman" w:eastAsia="仿宋_GB2312"/>
          <w:sz w:val="32"/>
          <w:szCs w:val="32"/>
        </w:rPr>
        <w:t>发生的接待支出。</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3、公务用车购置费及运行维护费支出决算为XXXX万元，其中：公务用车购置费XXXX万元，XXXX（单位本级或某二级机构）更新公务用车X辆</w:t>
      </w:r>
      <w:r>
        <w:rPr>
          <w:rFonts w:ascii="Times New Roman" w:hAnsi="Times New Roman" w:eastAsia="仿宋_GB2312"/>
          <w:sz w:val="32"/>
          <w:szCs w:val="32"/>
        </w:rPr>
        <w:t>……</w:t>
      </w:r>
      <w:r>
        <w:rPr>
          <w:rFonts w:hint="eastAsia" w:ascii="楷体" w:hAnsi="楷体" w:eastAsia="楷体" w:cs="楷体"/>
          <w:b/>
          <w:bCs/>
          <w:i/>
          <w:color w:val="auto"/>
          <w:kern w:val="0"/>
          <w:sz w:val="32"/>
          <w:szCs w:val="32"/>
          <w:lang w:val="en-US" w:eastAsia="zh-CN" w:bidi="ar-SA"/>
        </w:rPr>
        <w:t>（可根据实际情况进行增减）</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公务用车运行维护费XXXX万元，主要是</w:t>
      </w:r>
      <w:r>
        <w:rPr>
          <w:rFonts w:ascii="Times New Roman" w:hAnsi="Times New Roman" w:eastAsia="仿宋_GB2312"/>
          <w:sz w:val="32"/>
          <w:szCs w:val="32"/>
        </w:rPr>
        <w:t>……</w:t>
      </w:r>
      <w:r>
        <w:rPr>
          <w:rFonts w:hint="eastAsia" w:ascii="Times New Roman" w:hAnsi="Times New Roman" w:eastAsia="仿宋_GB2312"/>
          <w:sz w:val="32"/>
          <w:szCs w:val="32"/>
        </w:rPr>
        <w:t>支出，截止202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年12月31日，我单位开支财政拨款的公务用车保有量为XX辆。</w:t>
      </w:r>
      <w:r>
        <w:rPr>
          <w:rFonts w:hint="eastAsia" w:ascii="楷体" w:hAnsi="楷体" w:eastAsia="楷体" w:cs="楷体"/>
          <w:b/>
          <w:bCs/>
          <w:i/>
          <w:color w:val="auto"/>
          <w:kern w:val="0"/>
          <w:sz w:val="32"/>
          <w:szCs w:val="32"/>
          <w:lang w:val="en-US" w:eastAsia="zh-CN" w:bidi="ar-SA"/>
        </w:rPr>
        <w:t>（三公经费支出口径应在专业名词解释中予以说明）</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9"/>
        <w:keepNext w:val="0"/>
        <w:keepLines w:val="0"/>
        <w:pageBreakBefore w:val="0"/>
        <w:widowControl w:val="0"/>
        <w:kinsoku/>
        <w:wordWrap/>
        <w:overflowPunct/>
        <w:topLinePunct w:val="0"/>
        <w:bidi w:val="0"/>
        <w:snapToGrid/>
        <w:spacing w:line="600" w:lineRule="exact"/>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年度政府性基金预算财政拨款收入XXXX万元；年初结转和结余XXXX万元；支出XXXX万元，其中基本支出XXXX万元，项目支出XXXX万元；年末结转和结余XXXX万元。具体情况如下：</w:t>
      </w:r>
      <w:r>
        <w:rPr>
          <w:rFonts w:hint="eastAsia" w:ascii="楷体" w:hAnsi="楷体" w:eastAsia="楷体" w:cs="楷体"/>
          <w:b/>
          <w:bCs/>
          <w:i/>
          <w:color w:val="auto"/>
          <w:kern w:val="0"/>
          <w:sz w:val="32"/>
          <w:szCs w:val="32"/>
          <w:lang w:val="en-US" w:eastAsia="zh-CN" w:bidi="ar-SA"/>
        </w:rPr>
        <w:t>（无政府性基金收支也需要说明本单位无政府性基金收支）</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1、XXXX（类）XXXX（款）XXXX（项）。</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年初预算为XXXX万元，支出决算为XXXX万元，完成年初预算的XX%，决算数大于（小于）年初预算数的主要原因是：……</w:t>
      </w:r>
    </w:p>
    <w:p>
      <w:pPr>
        <w:pStyle w:val="9"/>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ascii="Times New Roman" w:hAnsi="Times New Roman" w:eastAsia="仿宋_GB2312"/>
          <w:sz w:val="32"/>
          <w:szCs w:val="32"/>
        </w:rPr>
        <w:t>………</w:t>
      </w:r>
      <w:r>
        <w:rPr>
          <w:rFonts w:hint="eastAsia" w:ascii="楷体" w:hAnsi="楷体" w:eastAsia="楷体" w:cs="楷体"/>
          <w:b/>
          <w:bCs/>
          <w:i/>
          <w:color w:val="auto"/>
          <w:kern w:val="0"/>
          <w:sz w:val="32"/>
          <w:szCs w:val="32"/>
          <w:lang w:val="en-US" w:eastAsia="zh-CN" w:bidi="ar-SA"/>
        </w:rPr>
        <w:t>（可根据实际情况进行增减,要求到项级科目）</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Times New Roman" w:hAnsi="Times New Roman" w:eastAsia="仿宋_GB2312"/>
          <w:b/>
          <w:sz w:val="32"/>
          <w:szCs w:val="32"/>
        </w:rPr>
        <w:t>九、关于机关运行经费支出说明</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年度机关运行经费支出XX万元</w:t>
      </w:r>
      <w:r>
        <w:rPr>
          <w:rFonts w:hint="eastAsia" w:ascii="楷体" w:hAnsi="楷体" w:eastAsia="楷体" w:cs="楷体"/>
          <w:b/>
          <w:bCs/>
          <w:i/>
          <w:color w:val="auto"/>
          <w:kern w:val="0"/>
          <w:sz w:val="32"/>
          <w:szCs w:val="32"/>
          <w:lang w:val="en-US" w:eastAsia="zh-CN" w:bidi="ar-SA"/>
        </w:rPr>
        <w:t>（与部门决算中行政单位和参照公务员法管理事业单位一般公共预算财政拨款基本支出中公用经费之和一致）</w:t>
      </w:r>
      <w:r>
        <w:rPr>
          <w:rFonts w:hint="eastAsia" w:ascii="Times New Roman" w:hAnsi="Times New Roman" w:eastAsia="仿宋_GB2312"/>
          <w:sz w:val="32"/>
          <w:szCs w:val="32"/>
        </w:rPr>
        <w:t>，比年初预算数（或者上年决算数）增加（减少）XX 万元，增长（降低）XX%。主要原因是：……</w:t>
      </w:r>
      <w:r>
        <w:rPr>
          <w:rFonts w:hint="eastAsia" w:ascii="楷体" w:hAnsi="楷体" w:eastAsia="楷体" w:cs="楷体"/>
          <w:b/>
          <w:bCs/>
          <w:i/>
          <w:color w:val="auto"/>
          <w:kern w:val="0"/>
          <w:sz w:val="32"/>
          <w:szCs w:val="32"/>
          <w:lang w:val="en-US" w:eastAsia="zh-CN" w:bidi="ar-SA"/>
        </w:rPr>
        <w:t>（具体增减原因由部门根据实际情况填列，机关运行经费支出口径应在专业名词解释中予以说明）</w:t>
      </w:r>
      <w:r>
        <w:rPr>
          <w:rFonts w:hint="eastAsia" w:ascii="Times New Roman" w:hAnsi="Times New Roman" w:eastAsia="仿宋_GB2312"/>
          <w:sz w:val="32"/>
          <w:szCs w:val="32"/>
        </w:rPr>
        <w:t>。</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本部门开支会议费XXXX万元，用于召开……会议，人数XX人，内容为……；开支培训费XXXX万元，用于开展……培训，人数XX人，内容为……；举办……等节庆、晚会、论坛、赛事活动，开支XXXX万元，主要是……。</w:t>
      </w:r>
      <w:r>
        <w:rPr>
          <w:rFonts w:hint="eastAsia" w:ascii="楷体" w:hAnsi="楷体" w:eastAsia="楷体" w:cs="楷体"/>
          <w:b/>
          <w:bCs/>
          <w:i/>
          <w:color w:val="auto"/>
          <w:kern w:val="0"/>
          <w:sz w:val="32"/>
          <w:szCs w:val="32"/>
          <w:lang w:val="en-US" w:eastAsia="zh-CN" w:bidi="ar-SA"/>
        </w:rPr>
        <w:t>（注：三类会议、培训活动，节庆、晚会、论坛、赛事等活动，请分项列明活动计划及经费预算情况）</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年度政府采购支出总额XX万元，其中：政府采购货物支出XX 万元、政府采购工程支出XX万元、政府采购服务支出XX万元。授予中小企业合同金额XX万元，占政府采购支出总额的XX%，其中：授予小微企业合同金额XX万元，占政府采购支出总额的XX%。货物采购授予中小企业合同金额占货物支出金额的XX%，工程采购授予中小企业合同金额占工程支出金额的XX%，服务采购授予中小企业合同金额占服务支出金额的XX%。</w:t>
      </w:r>
      <w:r>
        <w:rPr>
          <w:rFonts w:hint="eastAsia" w:ascii="楷体" w:hAnsi="楷体" w:eastAsia="楷体" w:cs="楷体"/>
          <w:b/>
          <w:bCs/>
          <w:i/>
          <w:color w:val="auto"/>
          <w:kern w:val="0"/>
          <w:sz w:val="32"/>
          <w:szCs w:val="32"/>
          <w:lang w:val="en-US" w:eastAsia="zh-CN" w:bidi="ar-SA"/>
        </w:rPr>
        <w:t>（政府采购金额的计算口径为：本部门纳入2022年度部门预算范围的各项政府采购支出金额之和，不包括涉密采购项目的支出金额）</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十二、关于国有资产占用情况说明</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截至202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12月31日，本单位共有车辆XX辆，其中，主要领导干部用车XX辆，机要通信用车XX辆、应急保障用车XX辆、执法执勤用车XX辆、特种专业技术用车XX辆、其他用车XX辆，其他用车主要是……；单位价值50万元以上通用设备XX台（套）；单位价值100万元以上专用设备XX台（套）。</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十三、关于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黑体" w:hAnsi="黑体" w:eastAsia="黑体" w:cs="黑体"/>
          <w:b w:val="0"/>
          <w:bCs/>
          <w:sz w:val="32"/>
          <w:szCs w:val="32"/>
        </w:rPr>
        <w:t>年度预算绩效情况的说明</w:t>
      </w:r>
    </w:p>
    <w:p>
      <w:pPr>
        <w:pStyle w:val="9"/>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（一）</w:t>
      </w:r>
      <w:r>
        <w:rPr>
          <w:rFonts w:hint="eastAsia" w:ascii="楷体" w:hAnsi="楷体" w:eastAsia="楷体" w:cs="楷体"/>
          <w:b/>
          <w:bCs/>
          <w:sz w:val="32"/>
          <w:szCs w:val="32"/>
        </w:rPr>
        <w:t>部门整体支出绩效情况</w:t>
      </w:r>
    </w:p>
    <w:p>
      <w:pPr>
        <w:pStyle w:val="9"/>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总结归纳本部门（单位）支出的绩效目标完成情况，实现产出和取得效益的情况。围绕部门（单位）职责、行业发展规划，以预算资金管理为主线，总结部门（单位）资产管理和开展业务情况，从运行成本、管理效率、履职效能、社会效应、可持续发展能力和服务对象满意度等方面，衡量部门（单位）整体及核心业务实施效果。</w:t>
      </w:r>
      <w:bookmarkStart w:id="3" w:name="_GoBack"/>
      <w:bookmarkEnd w:id="3"/>
    </w:p>
    <w:p>
      <w:pPr>
        <w:pStyle w:val="9"/>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存在的问题及原因分析</w:t>
      </w:r>
    </w:p>
    <w:p>
      <w:pPr>
        <w:pStyle w:val="9"/>
        <w:keepNext w:val="0"/>
        <w:keepLines w:val="0"/>
        <w:pageBreakBefore w:val="0"/>
        <w:widowControl w:val="0"/>
        <w:kinsoku/>
        <w:wordWrap/>
        <w:overflowPunct/>
        <w:topLinePunct w:val="0"/>
        <w:bidi w:val="0"/>
        <w:snapToGrid/>
        <w:spacing w:line="600" w:lineRule="exact"/>
        <w:ind w:firstLine="640" w:firstLineChars="200"/>
        <w:jc w:val="left"/>
        <w:textAlignment w:val="auto"/>
        <w:rPr>
          <w:sz w:val="72"/>
          <w:szCs w:val="72"/>
        </w:rPr>
      </w:pPr>
      <w:r>
        <w:rPr>
          <w:rFonts w:hint="eastAsia" w:ascii="Times New Roman" w:hAnsi="Times New Roman" w:eastAsia="仿宋_GB2312"/>
          <w:sz w:val="32"/>
          <w:szCs w:val="32"/>
        </w:rPr>
        <w:t>可以从预算和预算绩效管理，部门履职效能，资金分配、使用和管理，资产和财务管理、政府采购等方面归纳存在的问题；反映各种预算支出执行偏离绩效目标的情况，并分析其原因。</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both"/>
        <w:rPr>
          <w:rFonts w:hint="eastAsia" w:ascii="方正小标宋_GBK" w:hAnsi="方正小标宋_GBK" w:eastAsia="方正小标宋_GBK" w:cs="方正小标宋_GBK"/>
          <w:sz w:val="72"/>
          <w:szCs w:val="72"/>
        </w:rPr>
      </w:pPr>
    </w:p>
    <w:p>
      <w:pPr>
        <w:pStyle w:val="9"/>
        <w:jc w:val="center"/>
        <w:rPr>
          <w:rFonts w:hint="eastAsia" w:ascii="方正小标宋_GBK" w:hAnsi="方正小标宋_GBK" w:eastAsia="方正小标宋_GBK" w:cs="方正小标宋_GBK"/>
          <w:sz w:val="72"/>
          <w:szCs w:val="72"/>
        </w:rPr>
      </w:pPr>
    </w:p>
    <w:p>
      <w:pPr>
        <w:pStyle w:val="9"/>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一、</w:t>
      </w:r>
      <w:r>
        <w:rPr>
          <w:rFonts w:cs="黑体" w:asciiTheme="minorEastAsia" w:hAnsiTheme="minorEastAsia"/>
          <w:color w:val="000000"/>
          <w:kern w:val="0"/>
          <w:sz w:val="32"/>
          <w:szCs w:val="32"/>
        </w:rPr>
        <w:t>……</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二、</w:t>
      </w:r>
      <w:r>
        <w:rPr>
          <w:rFonts w:cs="黑体" w:asciiTheme="minorEastAsia" w:hAnsiTheme="minorEastAsia"/>
          <w:color w:val="000000"/>
          <w:kern w:val="0"/>
          <w:sz w:val="32"/>
          <w:szCs w:val="32"/>
        </w:rPr>
        <w:t>……</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三、</w:t>
      </w:r>
      <w:r>
        <w:rPr>
          <w:rFonts w:cs="黑体" w:asciiTheme="minorEastAsia" w:hAnsiTheme="minorEastAsia"/>
          <w:color w:val="000000"/>
          <w:kern w:val="0"/>
          <w:sz w:val="32"/>
          <w:szCs w:val="32"/>
        </w:rPr>
        <w:t>……</w:t>
      </w:r>
    </w:p>
    <w:p>
      <w:pPr>
        <w:pStyle w:val="9"/>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w:t>
      </w:r>
    </w:p>
    <w:p>
      <w:pPr>
        <w:pStyle w:val="9"/>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i/>
          <w:color w:val="auto"/>
          <w:kern w:val="0"/>
          <w:sz w:val="32"/>
          <w:szCs w:val="32"/>
          <w:lang w:val="en-US" w:eastAsia="zh-CN" w:bidi="ar-SA"/>
        </w:rPr>
      </w:pPr>
      <w:r>
        <w:rPr>
          <w:rFonts w:hint="eastAsia" w:ascii="楷体" w:hAnsi="楷体" w:eastAsia="楷体" w:cs="楷体"/>
          <w:b/>
          <w:bCs/>
          <w:i/>
          <w:color w:val="auto"/>
          <w:kern w:val="0"/>
          <w:sz w:val="32"/>
          <w:szCs w:val="32"/>
          <w:lang w:val="en-US" w:eastAsia="zh-CN" w:bidi="ar-SA"/>
        </w:rPr>
        <w:t>（名词解释应包含本部门专有名词，如省财政厅应有对“财政事务”科目的解释，可参考中央相关部门的名词解释）</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5777D4F5"/>
    <w:rsid w:val="5FC6BB1E"/>
    <w:rsid w:val="5FF720F1"/>
    <w:rsid w:val="737D59BA"/>
    <w:rsid w:val="77C37683"/>
    <w:rsid w:val="79FF515B"/>
    <w:rsid w:val="7E9F11B4"/>
    <w:rsid w:val="7FC69637"/>
    <w:rsid w:val="7FFDB408"/>
    <w:rsid w:val="CBFF70E0"/>
    <w:rsid w:val="EEABED75"/>
    <w:rsid w:val="FB36E1A6"/>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 w:type="character" w:customStyle="1" w:styleId="12">
    <w:name w:val="font01"/>
    <w:basedOn w:val="6"/>
    <w:qFormat/>
    <w:uiPriority w:val="0"/>
    <w:rPr>
      <w:rFonts w:hint="eastAsia" w:ascii="宋体" w:hAnsi="宋体" w:eastAsia="宋体" w:cs="宋体"/>
      <w:color w:val="000000"/>
      <w:sz w:val="22"/>
      <w:szCs w:val="22"/>
      <w:u w:val="none"/>
    </w:rPr>
  </w:style>
  <w:style w:type="character" w:customStyle="1" w:styleId="13">
    <w:name w:val="font21"/>
    <w:basedOn w:val="6"/>
    <w:qFormat/>
    <w:uiPriority w:val="0"/>
    <w:rPr>
      <w:rFonts w:hint="eastAsia" w:ascii="宋体" w:hAnsi="宋体" w:eastAsia="宋体" w:cs="宋体"/>
      <w:color w:val="000000"/>
      <w:sz w:val="24"/>
      <w:szCs w:val="24"/>
      <w:u w:val="none"/>
    </w:rPr>
  </w:style>
  <w:style w:type="character" w:customStyle="1" w:styleId="14">
    <w:name w:val="font11"/>
    <w:basedOn w:val="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