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rPr>
          <w:rFonts w:eastAsia="黑体"/>
          <w:sz w:val="32"/>
          <w:szCs w:val="32"/>
        </w:rPr>
      </w:pPr>
      <w:r>
        <w:rPr>
          <w:rFonts w:hint="eastAsia" w:eastAsia="黑体"/>
          <w:sz w:val="32"/>
          <w:szCs w:val="32"/>
        </w:rPr>
        <w:t>202</w:t>
      </w:r>
      <w:r>
        <w:rPr>
          <w:rFonts w:hint="eastAsia" w:eastAsia="黑体"/>
          <w:sz w:val="32"/>
          <w:szCs w:val="32"/>
          <w:lang w:val="en-US" w:eastAsia="zh-CN"/>
        </w:rPr>
        <w:t>2</w:t>
      </w:r>
      <w:r>
        <w:rPr>
          <w:rFonts w:hint="eastAsia" w:eastAsia="黑体"/>
          <w:sz w:val="32"/>
          <w:szCs w:val="32"/>
        </w:rPr>
        <w:t>年度部门整体支出绩效评价报告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r>
        <w:rPr>
          <w:rFonts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（一）单位基本情况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pacing w:line="560" w:lineRule="exact"/>
        <w:ind w:firstLine="320" w:firstLineChars="100"/>
        <w:rPr>
          <w:rFonts w:hint="eastAsia" w:ascii="仿宋_GB2312" w:hAnsi="仿宋" w:eastAsia="仿宋_GB2312" w:cs="Times New Roman"/>
          <w:color w:val="000000"/>
          <w:kern w:val="2"/>
          <w:sz w:val="32"/>
          <w:szCs w:val="32"/>
          <w:lang w:bidi="ar-SA"/>
        </w:rPr>
      </w:pPr>
      <w:r>
        <w:rPr>
          <w:rFonts w:hint="eastAsia" w:ascii="仿宋_GB2312" w:hAnsi="仿宋" w:eastAsia="仿宋_GB2312" w:cs="Times New Roman"/>
          <w:color w:val="000000"/>
          <w:kern w:val="2"/>
          <w:sz w:val="32"/>
          <w:szCs w:val="32"/>
          <w:lang w:eastAsia="zh-CN" w:bidi="ar-SA"/>
        </w:rPr>
        <w:t>（一）</w:t>
      </w:r>
      <w:r>
        <w:rPr>
          <w:rFonts w:hint="eastAsia" w:ascii="仿宋_GB2312" w:hAnsi="仿宋" w:eastAsia="仿宋_GB2312" w:cs="Times New Roman"/>
          <w:color w:val="000000"/>
          <w:kern w:val="2"/>
          <w:sz w:val="32"/>
          <w:szCs w:val="32"/>
          <w:lang w:bidi="ar-SA"/>
        </w:rPr>
        <w:t>、</w:t>
      </w:r>
      <w:r>
        <w:rPr>
          <w:rFonts w:hint="eastAsia" w:ascii="仿宋_GB2312" w:hAnsi="仿宋" w:eastAsia="仿宋_GB2312" w:cs="Times New Roman"/>
          <w:color w:val="000000"/>
          <w:kern w:val="2"/>
          <w:sz w:val="32"/>
          <w:szCs w:val="32"/>
          <w:lang w:val="en-US" w:eastAsia="zh-CN" w:bidi="ar-SA"/>
        </w:rPr>
        <w:t>参与拟订全区公路行业发展规划；参与编制全区公路路网发展规划，协助推进规划实施并开展公路项目前期工作审查和后评估工作。承担统筹协调公路产权保护的相关事务性工作。</w:t>
      </w:r>
    </w:p>
    <w:p>
      <w:pPr>
        <w:spacing w:line="560" w:lineRule="exact"/>
        <w:ind w:firstLine="320" w:firstLineChars="100"/>
        <w:rPr>
          <w:rFonts w:hint="eastAsia" w:ascii="仿宋_GB2312" w:hAnsi="仿宋" w:eastAsia="仿宋_GB2312" w:cs="Times New Roman"/>
          <w:color w:val="000000"/>
          <w:kern w:val="2"/>
          <w:sz w:val="32"/>
          <w:szCs w:val="32"/>
          <w:lang w:bidi="ar-SA"/>
        </w:rPr>
      </w:pPr>
      <w:r>
        <w:rPr>
          <w:rFonts w:hint="eastAsia" w:ascii="仿宋_GB2312" w:hAnsi="仿宋" w:eastAsia="仿宋_GB2312" w:cs="Times New Roman"/>
          <w:color w:val="000000"/>
          <w:kern w:val="2"/>
          <w:sz w:val="32"/>
          <w:szCs w:val="32"/>
          <w:lang w:eastAsia="zh-CN" w:bidi="ar-SA"/>
        </w:rPr>
        <w:t>（二）</w:t>
      </w:r>
      <w:r>
        <w:rPr>
          <w:rFonts w:hint="eastAsia" w:ascii="仿宋_GB2312" w:hAnsi="仿宋" w:eastAsia="仿宋_GB2312" w:cs="Times New Roman"/>
          <w:color w:val="000000"/>
          <w:kern w:val="2"/>
          <w:sz w:val="32"/>
          <w:szCs w:val="32"/>
          <w:lang w:val="en-US" w:eastAsia="zh-CN" w:bidi="ar-SA"/>
        </w:rPr>
        <w:t>负责拟订全区普通公路建设、改造、养护年度计划，并参与计划的组织实施、执行情况督查和评估等具体工作。</w:t>
      </w:r>
    </w:p>
    <w:p>
      <w:pPr>
        <w:spacing w:line="560" w:lineRule="exact"/>
        <w:ind w:firstLine="320" w:firstLineChars="1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eastAsia="zh-CN" w:bidi="ar-SA"/>
        </w:rPr>
        <w:t>（三）</w:t>
      </w:r>
      <w:r>
        <w:rPr>
          <w:rFonts w:hint="eastAsia" w:ascii="仿宋_GB2312" w:hAnsi="仿宋" w:eastAsia="仿宋_GB2312" w:cs="Times New Roman"/>
          <w:color w:val="000000"/>
          <w:kern w:val="2"/>
          <w:sz w:val="32"/>
          <w:szCs w:val="32"/>
          <w:lang w:val="en-US" w:eastAsia="zh-CN" w:bidi="ar-SA"/>
        </w:rPr>
        <w:t>参与全区普通公路建设行业管理相关工作,协助制订全区公路建设管理办法、公路养护管理办法；协助区交通运输局组织实施全区公路工程建设及交(竣)工验收。</w:t>
      </w:r>
    </w:p>
    <w:p>
      <w:pPr>
        <w:spacing w:line="560" w:lineRule="exact"/>
        <w:ind w:firstLine="320" w:firstLineChars="1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（四）承担普通公路养护行业管理和市场监管相关事务性、技术性工作，负责检查公路养护专项工程年度计划执行情况，承担全区公路路网技术状况监测相关工作和公路应急保通技术支持工作。</w:t>
      </w:r>
    </w:p>
    <w:p>
      <w:pPr>
        <w:spacing w:line="560" w:lineRule="exact"/>
        <w:ind w:firstLine="320" w:firstLineChars="1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（五）负责全区普通公路行业安全生产，应急处置、安全监督等事务性工作；负责全区普通公路路网重大突发事件和应急保通的组织、调度、检查、协调、技术指导等工作。</w:t>
      </w:r>
    </w:p>
    <w:p>
      <w:pPr>
        <w:spacing w:line="560" w:lineRule="exact"/>
        <w:ind w:firstLine="320" w:firstLineChars="1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（六）负责全区农村公路建设、养护、管理有关事务性工作,指导全区“四好农村路”建设工作。</w:t>
      </w:r>
    </w:p>
    <w:p>
      <w:pPr>
        <w:spacing w:line="560" w:lineRule="exact"/>
        <w:ind w:firstLine="320" w:firstLineChars="1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（七）承担全区公路行业统计、信息调查等工作；承担公路技术交流、科技成果转化、信息化等工作；协助组织开展公路环保节能减排工作。</w:t>
      </w:r>
    </w:p>
    <w:p>
      <w:pPr>
        <w:spacing w:line="560" w:lineRule="exact"/>
        <w:ind w:firstLine="320" w:firstLineChars="1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（八）负责中心的干部人事、劳动工资、职工教育、机构编制、离退休人员管理服务、财务会计、国有资产管理、党群 和精神文明建设等工作。</w:t>
      </w:r>
    </w:p>
    <w:p>
      <w:pPr>
        <w:spacing w:line="560" w:lineRule="exact"/>
        <w:ind w:firstLine="320" w:firstLineChars="1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（九）承办区交通运输局交办的其他事项。</w:t>
      </w:r>
    </w:p>
    <w:p>
      <w:pPr>
        <w:spacing w:line="560" w:lineRule="exact"/>
        <w:ind w:firstLine="320" w:firstLineChars="100"/>
        <w:rPr>
          <w:rFonts w:hint="eastAsia" w:ascii="仿宋_GB2312" w:hAnsi="宋体" w:eastAsia="仿宋_GB2312"/>
          <w:sz w:val="32"/>
          <w:szCs w:val="32"/>
        </w:rPr>
      </w:pPr>
    </w:p>
    <w:p>
      <w:pPr>
        <w:snapToGrid w:val="0"/>
        <w:spacing w:line="52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2．机构情况</w:t>
      </w:r>
    </w:p>
    <w:p>
      <w:pPr>
        <w:spacing w:line="560" w:lineRule="exact"/>
        <w:ind w:firstLine="640" w:firstLineChars="200"/>
        <w:rPr>
          <w:rFonts w:hint="eastAsia" w:ascii="仿宋_GB2312" w:hAnsi="仿宋" w:eastAsia="仿宋_GB2312" w:cs="Times New Roman"/>
          <w:color w:val="000000"/>
          <w:kern w:val="2"/>
          <w:sz w:val="32"/>
          <w:szCs w:val="32"/>
          <w:lang w:bidi="ar-SA"/>
        </w:rPr>
      </w:pPr>
      <w:r>
        <w:rPr>
          <w:rFonts w:hint="eastAsia" w:ascii="仿宋_GB2312" w:hAnsi="仿宋" w:eastAsia="仿宋_GB2312" w:cs="Times New Roman"/>
          <w:color w:val="000000"/>
          <w:kern w:val="2"/>
          <w:sz w:val="32"/>
          <w:szCs w:val="32"/>
          <w:lang w:bidi="ar-SA"/>
        </w:rPr>
        <w:t>零陵区公路局内设机构：</w:t>
      </w:r>
      <w:r>
        <w:rPr>
          <w:rFonts w:hint="eastAsia" w:ascii="仿宋_GB2312" w:hAnsi="仿宋" w:eastAsia="仿宋_GB2312" w:cs="Times New Roman"/>
          <w:color w:val="000000"/>
          <w:kern w:val="2"/>
          <w:sz w:val="32"/>
          <w:szCs w:val="32"/>
          <w:lang w:eastAsia="zh-CN" w:bidi="ar-SA"/>
        </w:rPr>
        <w:t>综合部、人力资源部、财务部、计划统计部、干线公路部、农村公路部、工程建设部、安全生产事务部、机务部。</w:t>
      </w:r>
      <w:r>
        <w:rPr>
          <w:rFonts w:hint="eastAsia" w:ascii="仿宋_GB2312" w:hAnsi="仿宋" w:eastAsia="仿宋_GB2312" w:cs="Times New Roman"/>
          <w:color w:val="000000"/>
          <w:kern w:val="2"/>
          <w:sz w:val="32"/>
          <w:szCs w:val="32"/>
          <w:lang w:bidi="ar-SA"/>
        </w:rPr>
        <w:t>直属事业机构：区公路</w:t>
      </w:r>
      <w:r>
        <w:rPr>
          <w:rFonts w:hint="eastAsia" w:ascii="仿宋_GB2312" w:hAnsi="仿宋" w:eastAsia="仿宋_GB2312" w:cs="Times New Roman"/>
          <w:color w:val="000000"/>
          <w:kern w:val="2"/>
          <w:sz w:val="32"/>
          <w:szCs w:val="32"/>
          <w:lang w:eastAsia="zh-CN" w:bidi="ar-SA"/>
        </w:rPr>
        <w:t>建设养护中心</w:t>
      </w:r>
      <w:r>
        <w:rPr>
          <w:rFonts w:hint="eastAsia" w:ascii="仿宋_GB2312" w:hAnsi="仿宋" w:eastAsia="仿宋_GB2312" w:cs="Times New Roman"/>
          <w:color w:val="000000"/>
          <w:kern w:val="2"/>
          <w:sz w:val="32"/>
          <w:szCs w:val="32"/>
          <w:lang w:bidi="ar-SA"/>
        </w:rPr>
        <w:t>东湘桥中心养护站、区公路</w:t>
      </w:r>
      <w:r>
        <w:rPr>
          <w:rFonts w:hint="eastAsia" w:ascii="仿宋_GB2312" w:hAnsi="仿宋" w:eastAsia="仿宋_GB2312" w:cs="Times New Roman"/>
          <w:color w:val="000000"/>
          <w:kern w:val="2"/>
          <w:sz w:val="32"/>
          <w:szCs w:val="32"/>
          <w:lang w:eastAsia="zh-CN" w:bidi="ar-SA"/>
        </w:rPr>
        <w:t>建设养护中心</w:t>
      </w:r>
      <w:r>
        <w:rPr>
          <w:rFonts w:hint="eastAsia" w:ascii="仿宋_GB2312" w:hAnsi="仿宋" w:eastAsia="仿宋_GB2312" w:cs="Times New Roman"/>
          <w:color w:val="000000"/>
          <w:kern w:val="2"/>
          <w:sz w:val="32"/>
          <w:szCs w:val="32"/>
          <w:lang w:bidi="ar-SA"/>
        </w:rPr>
        <w:t>公龙岭中心养护站。</w:t>
      </w:r>
    </w:p>
    <w:p>
      <w:pPr>
        <w:snapToGrid w:val="0"/>
        <w:spacing w:line="560" w:lineRule="exact"/>
        <w:ind w:firstLine="640" w:firstLineChars="200"/>
        <w:rPr>
          <w:rFonts w:hint="eastAsia" w:ascii="仿宋_GB2312" w:hAnsi="仿宋" w:eastAsia="仿宋_GB2312" w:cs="Times New Roman"/>
          <w:color w:val="000000"/>
          <w:kern w:val="2"/>
          <w:sz w:val="32"/>
          <w:szCs w:val="32"/>
          <w:lang w:bidi="ar-SA"/>
        </w:rPr>
      </w:pP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w:t>
      </w:r>
    </w:p>
    <w:p>
      <w:pPr>
        <w:spacing w:line="560" w:lineRule="exact"/>
        <w:ind w:firstLine="640" w:firstLineChars="200"/>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2022年本单位年末实有人数89人。2022年6月机构改革，我中心划转交通执法队63人。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楷体_GB2312"/>
          <w:b/>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单位年度整体支出绩效目标，</w:t>
      </w:r>
      <w:r>
        <w:rPr>
          <w:rFonts w:hint="eastAsia" w:eastAsia="楷体_GB2312"/>
          <w:b/>
          <w:sz w:val="32"/>
          <w:szCs w:val="32"/>
          <w:lang w:eastAsia="zh-CN"/>
        </w:rPr>
        <w:t>区</w:t>
      </w:r>
      <w:r>
        <w:rPr>
          <w:rFonts w:eastAsia="楷体_GB2312"/>
          <w:b/>
          <w:sz w:val="32"/>
          <w:szCs w:val="32"/>
        </w:rPr>
        <w:t>级专项资金绩效目标、其他项目支出（除</w:t>
      </w:r>
      <w:r>
        <w:rPr>
          <w:rFonts w:hint="eastAsia" w:eastAsia="楷体_GB2312"/>
          <w:b/>
          <w:sz w:val="32"/>
          <w:szCs w:val="32"/>
          <w:lang w:eastAsia="zh-CN"/>
        </w:rPr>
        <w:t>区</w:t>
      </w:r>
      <w:r>
        <w:rPr>
          <w:rFonts w:eastAsia="楷体_GB2312"/>
          <w:b/>
          <w:sz w:val="32"/>
          <w:szCs w:val="32"/>
        </w:rPr>
        <w:t>级专项资金以外）绩效目标</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目标1：组织实施所管养263.726公路的建设、养护和管理，在上级交通、公路部门的指导下负责国、省道干线公路的养护和管理工作；负责公路建设工程材料检测试验工作。</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目标2： 参与制定全区公路建设中长期发展规划和年度县乡公路改造计划；完成国省道G322线大中修工程。</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目标3：组织实施所管养公路水毁抢修、危桥改造、安保工程建设及公路应急抢险；负责所管养公路桥涵和其他公路附属设施的日常养护和维修工作；负责公路绿化和养护。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目标:4：依法依规组织全区公路路政管理和治理超限超载运输工作，按规定权限审批（核）全区公路行政许可事项。依法查处违反路政法律法规行为，保护公路路产路权和维护公路安全畅通。</w:t>
      </w:r>
    </w:p>
    <w:p>
      <w:pPr>
        <w:pStyle w:val="2"/>
      </w:pPr>
    </w:p>
    <w:p>
      <w:pPr>
        <w:pStyle w:val="7"/>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7"/>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spacing w:line="560" w:lineRule="exact"/>
        <w:ind w:firstLine="640" w:firstLineChars="2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2022年年初预算数为1845.45，调整预算数为1879.52万元，是指为保障单位机构正常运转、完成日常工作任务而发生的各项支出。其中：</w:t>
      </w:r>
    </w:p>
    <w:p>
      <w:pPr>
        <w:spacing w:line="560" w:lineRule="exact"/>
        <w:ind w:firstLine="640" w:firstLineChars="2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（1）工资福利支出1739.05万元，包括用于基本工资、津贴补贴、社保缴费等。</w:t>
      </w:r>
    </w:p>
    <w:p>
      <w:pPr>
        <w:spacing w:line="560" w:lineRule="exact"/>
        <w:ind w:firstLine="640" w:firstLineChars="2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商品和服务支出140.46万元，包括办公费、咨询费、会议费、印刷费、水电费、邮电费、差旅费、维修费、租赁费、会议费、培训费、公务接待费、专用材料费、被装购置费、劳务费、委托业务费、工会经费、福利费、公务用车运行维护费、其他交通工具运行维护、其他、办公设备购置等日常公用经费。</w:t>
      </w:r>
    </w:p>
    <w:p>
      <w:pPr>
        <w:pStyle w:val="7"/>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_GB2312"/>
          <w:b/>
          <w:sz w:val="32"/>
          <w:szCs w:val="32"/>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2022年年初预算数197.6万，调整预算数为954.55万元，是指单位为完成特定行政工作任务或事业发展目标而发生的支出。其中：</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（1）境内里程263.726公里的公路日常养护工作项目，年初预算145.35万元，调整预算数为197.6万元,主要用于零陵区境内里程263.726公里的公路日常养护和管理。</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（2）其他主管部门安排的基建项目（公路维修资金(石西线、X035、G322改线、零凼线、人何线）以及其他基础交通设施等）756.95万元。</w:t>
      </w:r>
      <w:bookmarkStart w:id="0" w:name="_GoBack"/>
      <w:bookmarkEnd w:id="0"/>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（3）综合治超经费年初预算52.25万元，调整预算为0万元。调整预算支出由交通执法大队列支。</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ascii="Times New Roman" w:hAnsi="Times New Roman" w:eastAsia="楷体_GB2312"/>
          <w:b/>
          <w:sz w:val="32"/>
          <w:szCs w:val="32"/>
        </w:rPr>
      </w:pPr>
    </w:p>
    <w:p>
      <w:pPr>
        <w:pStyle w:val="7"/>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pPr>
        <w:numPr>
          <w:ilvl w:val="0"/>
          <w:numId w:val="0"/>
        </w:numPr>
        <w:snapToGrid w:val="0"/>
        <w:spacing w:line="560" w:lineRule="exact"/>
        <w:ind w:firstLine="640" w:firstLineChars="2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val="0"/>
          <w:bCs w:val="0"/>
          <w:sz w:val="32"/>
          <w:szCs w:val="32"/>
          <w:lang w:val="en-US" w:eastAsia="zh-CN"/>
        </w:rPr>
        <w:t>2022年没有使用政府性基金拨款安排支出。</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无</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六、部门整体支出绩效情况</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2022年，根据年初工作规划和重点性工作，通过加强预算收支管理，不断建立健全内部管理制度，梳理内部管理流程，部门整体支出管理情况得到提升。部门整体支出绩效情况如下：</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（一）经济效益评价</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1. 预算执行方面，支出总额控制在预算总额以内，“三公经费”从严把控，与上年降低。</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2、预算管理方面，制度执行总体较为有效。</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3、资产管理方面，建立了资产管理制度，定期进行了盘点和资产清理，总体执行较好。</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（二）效率性评价和有效性评价</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预算安排的基本支出保障了正常的工作运转，预算安排的项目支出是非常必要的，在执行上是严格遵守各项财经纪律的，在项目资金的使用上也是放的心的，严守法律底线、纪律底线、道德底线。</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（三）社会公众满意度评价</w:t>
      </w:r>
    </w:p>
    <w:p>
      <w:pPr>
        <w:numPr>
          <w:ilvl w:val="0"/>
          <w:numId w:val="0"/>
        </w:numPr>
        <w:snapToGrid w:val="0"/>
        <w:spacing w:line="560" w:lineRule="exact"/>
        <w:ind w:firstLine="640" w:firstLineChars="200"/>
        <w:rPr>
          <w:rFonts w:hint="eastAsia" w:ascii="仿宋_GB2312" w:hAnsi="仿宋" w:eastAsia="仿宋_GB2312" w:cs="Times New Roman"/>
          <w:b w:val="0"/>
          <w:bCs w:val="0"/>
          <w:sz w:val="32"/>
          <w:szCs w:val="32"/>
          <w:lang w:val="en-US" w:eastAsia="zh-CN"/>
        </w:rPr>
      </w:pPr>
      <w:r>
        <w:rPr>
          <w:rFonts w:hint="eastAsia" w:ascii="仿宋_GB2312" w:hAnsi="仿宋" w:eastAsia="仿宋_GB2312" w:cs="Times New Roman"/>
          <w:b w:val="0"/>
          <w:bCs w:val="0"/>
          <w:sz w:val="32"/>
          <w:szCs w:val="32"/>
          <w:lang w:val="en-US" w:eastAsia="zh-CN"/>
        </w:rPr>
        <w:t>我中心完成了多处水毁抢修工程、危桥改造工程以及多条线路的安保工程。水毁抢修工程能及时恢复交通，保障人身、车辆及其他财产的安全；安保工程及危桥改造工程的实施，有效改善道路运行环境，从一定程度上避免了重特大交通安全事故的发生，减轻了交通事故的危害程度，保证了人民生命财产的安全，提升了社会公众对公路行业的认同感。</w:t>
      </w:r>
    </w:p>
    <w:p>
      <w:pPr>
        <w:pStyle w:val="7"/>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560"/>
        <w:jc w:val="left"/>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我单位管养的国省干线公路桥梁的日常养护，每年资金缺口达百余万元。希望各级各部门能给予安排。</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下一步改进措施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560"/>
        <w:jc w:val="left"/>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为了进一步提高本部门整体绩效水平，在预算编制和预算执行过程中，我们采取如下建议：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560"/>
        <w:jc w:val="left"/>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①继续加强组织领导。统一思想，明确责任，明确由局主要负责人、分管负责人牵头的绩效评价管理制度，为绩效评价工作开展创造好的条件。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560"/>
        <w:jc w:val="left"/>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②继续加强队伍建设。要抓好绩效评价的队伍建设和业务学习，培育各部门的绩效评价管理人才，并加强业务培训。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560"/>
        <w:jc w:val="left"/>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③建立和完善长效机制。把绩效评价作为公路部门的日常性工作，建立绩效评价管理工作考核的长效机制。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eastAsia="黑体"/>
          <w:sz w:val="32"/>
          <w:szCs w:val="32"/>
        </w:rPr>
      </w:pPr>
      <w:r>
        <w:rPr>
          <w:rFonts w:eastAsia="黑体"/>
          <w:sz w:val="32"/>
          <w:szCs w:val="32"/>
        </w:rPr>
        <w:t>绩效自评结果拟应用和公开情况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560"/>
        <w:jc w:val="left"/>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按时完成绩效自评并在日常工作中进行反馈提升，已在零陵区政府网公开</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eastAsia="黑体"/>
          <w:sz w:val="32"/>
          <w:szCs w:val="32"/>
        </w:rPr>
      </w:pPr>
      <w:r>
        <w:rPr>
          <w:rFonts w:eastAsia="黑体"/>
          <w:sz w:val="32"/>
          <w:szCs w:val="32"/>
        </w:rPr>
        <w:t>其他需要说明的情况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560"/>
        <w:jc w:val="left"/>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无</w:t>
      </w:r>
    </w:p>
    <w:p>
      <w:pPr>
        <w:pStyle w:val="4"/>
        <w:rPr>
          <w:rFonts w:hint="default" w:eastAsia="黑体"/>
          <w:sz w:val="32"/>
          <w:szCs w:val="32"/>
          <w:lang w:val="en-US" w:eastAsia="zh-CN"/>
        </w:rPr>
      </w:pPr>
      <w:r>
        <w:rPr>
          <w:rFonts w:hint="eastAsia" w:eastAsia="黑体"/>
          <w:sz w:val="32"/>
          <w:szCs w:val="32"/>
          <w:lang w:val="en-US" w:eastAsia="zh-CN"/>
        </w:rPr>
        <w:t xml:space="preserve">  </w:t>
      </w: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eastAsia="黑体"/>
          <w:sz w:val="32"/>
          <w:szCs w:val="32"/>
        </w:rPr>
      </w:pPr>
    </w:p>
    <w:p>
      <w:pPr>
        <w:pStyle w:val="4"/>
        <w:rPr>
          <w:rFonts w:hint="eastAsia" w:eastAsia="黑体"/>
          <w:sz w:val="32"/>
          <w:szCs w:val="32"/>
          <w:lang w:val="en-US" w:eastAsia="zh-CN"/>
        </w:rPr>
      </w:pPr>
      <w:r>
        <w:rPr>
          <w:rFonts w:hint="eastAsia" w:eastAsia="黑体"/>
          <w:sz w:val="32"/>
          <w:szCs w:val="32"/>
          <w:lang w:val="en-US" w:eastAsia="zh-CN"/>
        </w:rPr>
        <w:t xml:space="preserve">     </w:t>
      </w:r>
    </w:p>
    <w:p>
      <w:pPr>
        <w:pStyle w:val="4"/>
        <w:rPr>
          <w:rFonts w:hint="eastAsia" w:eastAsia="黑体"/>
          <w:sz w:val="32"/>
          <w:szCs w:val="32"/>
          <w:lang w:val="en-US" w:eastAsia="zh-CN"/>
        </w:rPr>
      </w:pPr>
    </w:p>
    <w:p>
      <w:pPr>
        <w:pStyle w:val="4"/>
        <w:rPr>
          <w:rFonts w:hint="default" w:eastAsia="黑体"/>
          <w:sz w:val="32"/>
          <w:szCs w:val="32"/>
          <w:lang w:val="en-US" w:eastAsia="zh-CN"/>
        </w:rPr>
      </w:pPr>
    </w:p>
    <w:p>
      <w:pPr>
        <w:pStyle w:val="4"/>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区</w:t>
            </w:r>
            <w:r>
              <w:rPr>
                <w:rFonts w:eastAsia="仿宋_GB2312"/>
                <w:color w:val="000000"/>
                <w:kern w:val="0"/>
                <w:szCs w:val="21"/>
              </w:rPr>
              <w:t>级预算</w:t>
            </w:r>
            <w:r>
              <w:rPr>
                <w:rFonts w:hint="eastAsia" w:eastAsia="仿宋_GB2312"/>
                <w:color w:val="000000"/>
                <w:kern w:val="0"/>
                <w:szCs w:val="21"/>
                <w:lang w:eastAsia="zh-CN"/>
              </w:rPr>
              <w:t>单位</w:t>
            </w:r>
            <w:r>
              <w:rPr>
                <w:rFonts w:eastAsia="仿宋_GB2312"/>
                <w:color w:val="000000"/>
                <w:kern w:val="0"/>
                <w:szCs w:val="21"/>
              </w:rPr>
              <w:t>名称</w:t>
            </w:r>
          </w:p>
        </w:tc>
        <w:tc>
          <w:tcPr>
            <w:tcW w:w="9243" w:type="dxa"/>
            <w:gridSpan w:val="9"/>
            <w:noWrap w:val="0"/>
            <w:vAlign w:val="center"/>
          </w:tcPr>
          <w:p>
            <w:pPr>
              <w:widowControl/>
              <w:tabs>
                <w:tab w:val="left" w:pos="746"/>
                <w:tab w:val="center" w:pos="4678"/>
              </w:tabs>
              <w:ind w:firstLine="210" w:firstLineChars="100"/>
              <w:jc w:val="left"/>
              <w:rPr>
                <w:rFonts w:eastAsia="仿宋_GB2312"/>
                <w:color w:val="000000"/>
                <w:kern w:val="0"/>
                <w:szCs w:val="21"/>
              </w:rPr>
            </w:pPr>
            <w:r>
              <w:rPr>
                <w:rFonts w:hint="eastAsia" w:eastAsia="仿宋_GB2312"/>
                <w:color w:val="000000"/>
                <w:kern w:val="0"/>
                <w:szCs w:val="21"/>
                <w:lang w:eastAsia="zh-CN"/>
              </w:rPr>
              <w:t>永州市零陵区公路建设养护中心</w:t>
            </w:r>
            <w:r>
              <w:rPr>
                <w:rFonts w:hint="eastAsia" w:eastAsia="仿宋_GB2312"/>
                <w:color w:val="000000"/>
                <w:kern w:val="0"/>
                <w:szCs w:val="21"/>
                <w:lang w:eastAsia="zh-CN"/>
              </w:rPr>
              <w:tab/>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hint="eastAsia" w:eastAsia="仿宋_GB2312"/>
                <w:color w:val="000000"/>
                <w:kern w:val="0"/>
                <w:szCs w:val="21"/>
                <w:lang w:eastAsia="zh-CN"/>
              </w:rPr>
            </w:pPr>
            <w:r>
              <w:rPr>
                <w:rFonts w:eastAsia="仿宋_GB2312"/>
                <w:color w:val="000000"/>
                <w:kern w:val="0"/>
                <w:szCs w:val="21"/>
              </w:rPr>
              <w:t>算申请</w:t>
            </w:r>
          </w:p>
          <w:p>
            <w:pPr>
              <w:widowControl/>
              <w:jc w:val="center"/>
              <w:rPr>
                <w:rFonts w:eastAsia="仿宋_GB2312"/>
                <w:color w:val="000000"/>
                <w:kern w:val="0"/>
                <w:szCs w:val="21"/>
              </w:rPr>
            </w:pPr>
            <w:r>
              <w:rPr>
                <w:rFonts w:eastAsia="仿宋_GB2312"/>
                <w:color w:val="000000"/>
                <w:kern w:val="0"/>
                <w:szCs w:val="21"/>
              </w:rPr>
              <w:t>（万元）</w:t>
            </w:r>
          </w:p>
        </w:tc>
        <w:tc>
          <w:tcPr>
            <w:tcW w:w="2647" w:type="dxa"/>
            <w:gridSpan w:val="2"/>
            <w:noWrap w:val="0"/>
            <w:vAlign w:val="center"/>
          </w:tcPr>
          <w:p>
            <w:pPr>
              <w:jc w:val="center"/>
              <w:rPr>
                <w:rFonts w:eastAsia="仿宋_GB2312"/>
                <w:szCs w:val="21"/>
              </w:rPr>
            </w:pPr>
          </w:p>
        </w:tc>
        <w:tc>
          <w:tcPr>
            <w:tcW w:w="1114"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95" w:type="dxa"/>
            <w:gridSpan w:val="2"/>
            <w:noWrap w:val="0"/>
            <w:vAlign w:val="center"/>
          </w:tcPr>
          <w:p>
            <w:pPr>
              <w:jc w:val="center"/>
              <w:rPr>
                <w:rFonts w:eastAsia="仿宋_GB2312"/>
                <w:szCs w:val="21"/>
              </w:rPr>
            </w:pPr>
            <w:r>
              <w:rPr>
                <w:rFonts w:eastAsia="仿宋_GB2312"/>
                <w:szCs w:val="21"/>
              </w:rPr>
              <w:t>全年预算数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9" w:type="dxa"/>
            <w:noWrap w:val="0"/>
            <w:vAlign w:val="center"/>
          </w:tcPr>
          <w:p>
            <w:pPr>
              <w:jc w:val="center"/>
              <w:rPr>
                <w:rFonts w:eastAsia="仿宋_GB2312"/>
                <w:szCs w:val="21"/>
              </w:rPr>
            </w:pPr>
            <w:r>
              <w:rPr>
                <w:rFonts w:eastAsia="仿宋_GB2312"/>
                <w:szCs w:val="21"/>
              </w:rPr>
              <w:t>分值</w:t>
            </w:r>
          </w:p>
        </w:tc>
        <w:tc>
          <w:tcPr>
            <w:tcW w:w="898" w:type="dxa"/>
            <w:noWrap w:val="0"/>
            <w:vAlign w:val="center"/>
          </w:tcPr>
          <w:p>
            <w:pPr>
              <w:jc w:val="center"/>
              <w:rPr>
                <w:rFonts w:eastAsia="仿宋_GB2312"/>
                <w:szCs w:val="21"/>
              </w:rPr>
            </w:pPr>
            <w:r>
              <w:rPr>
                <w:rFonts w:eastAsia="仿宋_GB2312"/>
                <w:szCs w:val="21"/>
              </w:rPr>
              <w:t>执行率</w:t>
            </w:r>
          </w:p>
        </w:tc>
        <w:tc>
          <w:tcPr>
            <w:tcW w:w="1446"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2647" w:type="dxa"/>
            <w:gridSpan w:val="2"/>
            <w:noWrap w:val="0"/>
            <w:vAlign w:val="center"/>
          </w:tcPr>
          <w:p>
            <w:pPr>
              <w:jc w:val="center"/>
              <w:rPr>
                <w:rFonts w:eastAsia="仿宋_GB2312"/>
                <w:szCs w:val="21"/>
              </w:rPr>
            </w:pPr>
            <w:r>
              <w:rPr>
                <w:rFonts w:eastAsia="仿宋_GB2312"/>
                <w:color w:val="000000"/>
                <w:kern w:val="0"/>
                <w:szCs w:val="21"/>
              </w:rPr>
              <w:t>年度资金总额</w:t>
            </w:r>
          </w:p>
        </w:tc>
        <w:tc>
          <w:tcPr>
            <w:tcW w:w="1114" w:type="dxa"/>
            <w:noWrap w:val="0"/>
            <w:vAlign w:val="center"/>
          </w:tcPr>
          <w:p>
            <w:pPr>
              <w:jc w:val="center"/>
              <w:rPr>
                <w:rFonts w:hint="default" w:eastAsia="仿宋_GB2312"/>
                <w:szCs w:val="21"/>
                <w:lang w:val="en-US" w:eastAsia="zh-CN"/>
              </w:rPr>
            </w:pPr>
            <w:r>
              <w:rPr>
                <w:rFonts w:hint="eastAsia" w:eastAsia="仿宋_GB2312"/>
                <w:szCs w:val="21"/>
                <w:lang w:val="en-US" w:eastAsia="zh-CN"/>
              </w:rPr>
              <w:t>2527.59</w:t>
            </w:r>
          </w:p>
        </w:tc>
        <w:tc>
          <w:tcPr>
            <w:tcW w:w="1295"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2834.07</w:t>
            </w:r>
          </w:p>
        </w:tc>
        <w:tc>
          <w:tcPr>
            <w:tcW w:w="1134" w:type="dxa"/>
            <w:noWrap w:val="0"/>
            <w:vAlign w:val="center"/>
          </w:tcPr>
          <w:p>
            <w:pPr>
              <w:jc w:val="center"/>
              <w:rPr>
                <w:rFonts w:eastAsia="仿宋_GB2312"/>
                <w:szCs w:val="21"/>
              </w:rPr>
            </w:pPr>
            <w:r>
              <w:rPr>
                <w:rFonts w:hint="eastAsia" w:eastAsia="仿宋_GB2312"/>
                <w:szCs w:val="21"/>
                <w:lang w:val="en-US" w:eastAsia="zh-CN"/>
              </w:rPr>
              <w:t>2834.07</w:t>
            </w:r>
          </w:p>
        </w:tc>
        <w:tc>
          <w:tcPr>
            <w:tcW w:w="709" w:type="dxa"/>
            <w:noWrap w:val="0"/>
            <w:vAlign w:val="center"/>
          </w:tcPr>
          <w:p>
            <w:pPr>
              <w:jc w:val="center"/>
              <w:rPr>
                <w:rFonts w:eastAsia="仿宋_GB2312"/>
                <w:szCs w:val="21"/>
              </w:rPr>
            </w:pPr>
            <w:r>
              <w:rPr>
                <w:rFonts w:eastAsia="仿宋_GB2312"/>
                <w:szCs w:val="21"/>
              </w:rPr>
              <w:t>10</w:t>
            </w:r>
          </w:p>
        </w:tc>
        <w:tc>
          <w:tcPr>
            <w:tcW w:w="898" w:type="dxa"/>
            <w:noWrap w:val="0"/>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1446" w:type="dxa"/>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187" w:type="dxa"/>
            <w:gridSpan w:val="4"/>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szCs w:val="21"/>
                <w:lang w:val="en-US" w:eastAsia="zh-CN"/>
              </w:rPr>
              <w:t>2834.07</w:t>
            </w:r>
          </w:p>
        </w:tc>
        <w:tc>
          <w:tcPr>
            <w:tcW w:w="4187"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1879.51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840" w:firstLineChars="400"/>
              <w:jc w:val="left"/>
              <w:rPr>
                <w:rFonts w:hint="default" w:eastAsia="仿宋_GB2312"/>
                <w:color w:val="000000"/>
                <w:kern w:val="0"/>
                <w:szCs w:val="21"/>
                <w:lang w:val="en-US" w:eastAsia="zh-CN"/>
              </w:rPr>
            </w:pPr>
            <w:r>
              <w:rPr>
                <w:rFonts w:eastAsia="仿宋_GB2312"/>
                <w:color w:val="000000"/>
                <w:kern w:val="0"/>
                <w:szCs w:val="21"/>
              </w:rPr>
              <w:t>政府性基金拨款：</w:t>
            </w:r>
          </w:p>
        </w:tc>
        <w:tc>
          <w:tcPr>
            <w:tcW w:w="4187" w:type="dxa"/>
            <w:gridSpan w:val="4"/>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954.55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纳入专户管理的非税收入拨款：</w:t>
            </w:r>
            <w:r>
              <w:rPr>
                <w:rFonts w:hint="eastAsia" w:eastAsia="仿宋_GB2312"/>
                <w:color w:val="000000"/>
                <w:kern w:val="0"/>
                <w:szCs w:val="21"/>
                <w:lang w:val="en-US" w:eastAsia="zh-CN"/>
              </w:rPr>
              <w:t>0.00</w:t>
            </w:r>
          </w:p>
        </w:tc>
        <w:tc>
          <w:tcPr>
            <w:tcW w:w="4187"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1470" w:firstLineChars="700"/>
              <w:jc w:val="left"/>
              <w:rPr>
                <w:rFonts w:hint="default" w:eastAsia="仿宋_GB2312"/>
                <w:color w:val="000000"/>
                <w:kern w:val="0"/>
                <w:szCs w:val="21"/>
                <w:lang w:val="en-US" w:eastAsia="zh-CN"/>
              </w:rPr>
            </w:pPr>
            <w:r>
              <w:rPr>
                <w:rFonts w:eastAsia="仿宋_GB2312"/>
                <w:color w:val="000000"/>
                <w:kern w:val="0"/>
                <w:szCs w:val="21"/>
              </w:rPr>
              <w:t>其他资金：</w:t>
            </w:r>
            <w:r>
              <w:rPr>
                <w:rFonts w:hint="eastAsia" w:eastAsia="仿宋_GB2312"/>
                <w:color w:val="000000"/>
                <w:kern w:val="0"/>
                <w:szCs w:val="21"/>
                <w:lang w:val="en-US" w:eastAsia="zh-CN"/>
              </w:rPr>
              <w:t>0.00</w:t>
            </w:r>
          </w:p>
        </w:tc>
        <w:tc>
          <w:tcPr>
            <w:tcW w:w="4187"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tabs>
                <w:tab w:val="left" w:pos="720"/>
                <w:tab w:val="left" w:pos="900"/>
              </w:tabs>
              <w:spacing w:line="360" w:lineRule="exact"/>
              <w:rPr>
                <w:rFonts w:hint="eastAsia" w:ascii="仿宋_GB2312" w:eastAsia="仿宋_GB2312"/>
                <w:kern w:val="2"/>
                <w:sz w:val="24"/>
                <w:szCs w:val="24"/>
              </w:rPr>
            </w:pPr>
            <w:r>
              <w:rPr>
                <w:rFonts w:hint="eastAsia" w:ascii="仿宋_GB2312" w:eastAsia="仿宋_GB2312"/>
                <w:kern w:val="2"/>
                <w:sz w:val="24"/>
                <w:szCs w:val="24"/>
              </w:rPr>
              <w:t>目标</w:t>
            </w:r>
            <w:r>
              <w:rPr>
                <w:rFonts w:hint="eastAsia" w:ascii="仿宋_GB2312" w:eastAsia="仿宋_GB2312"/>
                <w:kern w:val="2"/>
                <w:sz w:val="24"/>
                <w:szCs w:val="24"/>
                <w:lang w:val="en-US" w:eastAsia="zh-CN"/>
              </w:rPr>
              <w:t>1</w:t>
            </w:r>
            <w:r>
              <w:rPr>
                <w:rFonts w:hint="eastAsia" w:ascii="仿宋_GB2312" w:eastAsia="仿宋_GB2312"/>
                <w:kern w:val="2"/>
                <w:sz w:val="24"/>
                <w:szCs w:val="24"/>
              </w:rPr>
              <w:t>：</w:t>
            </w:r>
            <w:r>
              <w:rPr>
                <w:rFonts w:hint="eastAsia" w:ascii="仿宋_GB2312" w:eastAsia="仿宋_GB2312"/>
                <w:sz w:val="24"/>
                <w:szCs w:val="24"/>
              </w:rPr>
              <w:t>参与制定全区公路建设中长期发展规划和年度县乡公路改造计划；组织实施所管养263.726</w:t>
            </w:r>
            <w:r>
              <w:rPr>
                <w:rFonts w:hint="eastAsia" w:ascii="仿宋_GB2312" w:eastAsia="仿宋_GB2312"/>
                <w:sz w:val="24"/>
                <w:szCs w:val="24"/>
                <w:lang w:eastAsia="zh-CN"/>
              </w:rPr>
              <w:t>公里</w:t>
            </w:r>
            <w:r>
              <w:rPr>
                <w:rFonts w:hint="eastAsia" w:ascii="仿宋_GB2312" w:eastAsia="仿宋_GB2312"/>
                <w:sz w:val="24"/>
                <w:szCs w:val="24"/>
              </w:rPr>
              <w:t>公路的建设、养护和管理，在上级交通、公路部门的指导下负责国、省道干线公路的养护和管理工作；负责公路建设工程材料检测试验工作。</w:t>
            </w:r>
          </w:p>
          <w:p>
            <w:pPr>
              <w:spacing w:line="360" w:lineRule="exact"/>
              <w:rPr>
                <w:rFonts w:hint="eastAsia" w:ascii="仿宋_GB2312" w:eastAsia="仿宋_GB2312"/>
                <w:sz w:val="24"/>
                <w:szCs w:val="24"/>
              </w:rPr>
            </w:pPr>
            <w:r>
              <w:rPr>
                <w:rFonts w:hint="eastAsia" w:ascii="仿宋_GB2312" w:eastAsia="仿宋_GB2312"/>
                <w:kern w:val="2"/>
                <w:sz w:val="24"/>
                <w:szCs w:val="24"/>
              </w:rPr>
              <w:t>目标</w:t>
            </w:r>
            <w:r>
              <w:rPr>
                <w:rFonts w:hint="eastAsia" w:ascii="仿宋_GB2312" w:eastAsia="仿宋_GB2312"/>
                <w:kern w:val="2"/>
                <w:sz w:val="24"/>
                <w:szCs w:val="24"/>
                <w:lang w:val="en-US" w:eastAsia="zh-CN"/>
              </w:rPr>
              <w:t>2</w:t>
            </w:r>
            <w:r>
              <w:rPr>
                <w:rFonts w:hint="eastAsia" w:ascii="仿宋_GB2312" w:eastAsia="仿宋_GB2312"/>
                <w:kern w:val="2"/>
                <w:sz w:val="24"/>
                <w:szCs w:val="24"/>
              </w:rPr>
              <w:t>：</w:t>
            </w:r>
            <w:r>
              <w:rPr>
                <w:rFonts w:hint="eastAsia" w:ascii="仿宋_GB2312" w:eastAsia="仿宋_GB2312"/>
                <w:sz w:val="24"/>
                <w:szCs w:val="24"/>
              </w:rPr>
              <w:t>组织实施所管养公路水毁抢修、危桥改造、安保工程建设及公路应急抢险；负责所管养公路桥涵和其他公路附属设施的日常养护和维修工作；负责公路绿化和养护。</w:t>
            </w:r>
          </w:p>
          <w:p>
            <w:pPr>
              <w:widowControl/>
              <w:jc w:val="center"/>
              <w:rPr>
                <w:rFonts w:eastAsia="仿宋_GB2312"/>
                <w:color w:val="000000"/>
                <w:kern w:val="0"/>
                <w:szCs w:val="21"/>
              </w:rPr>
            </w:pPr>
            <w:r>
              <w:rPr>
                <w:rFonts w:hint="eastAsia" w:ascii="仿宋_GB2312" w:eastAsia="仿宋_GB2312"/>
                <w:kern w:val="2"/>
                <w:sz w:val="24"/>
                <w:szCs w:val="24"/>
              </w:rPr>
              <w:t>目标</w:t>
            </w:r>
            <w:r>
              <w:rPr>
                <w:rFonts w:hint="eastAsia" w:ascii="仿宋_GB2312" w:eastAsia="仿宋_GB2312"/>
                <w:kern w:val="2"/>
                <w:sz w:val="24"/>
                <w:szCs w:val="24"/>
                <w:lang w:val="en-US" w:eastAsia="zh-CN"/>
              </w:rPr>
              <w:t>3</w:t>
            </w:r>
            <w:r>
              <w:rPr>
                <w:rFonts w:hint="eastAsia" w:ascii="仿宋_GB2312" w:eastAsia="仿宋_GB2312"/>
                <w:kern w:val="2"/>
                <w:sz w:val="24"/>
                <w:szCs w:val="24"/>
              </w:rPr>
              <w:t>：</w:t>
            </w:r>
            <w:r>
              <w:rPr>
                <w:rFonts w:hint="eastAsia" w:ascii="仿宋_GB2312" w:eastAsia="仿宋_GB2312"/>
                <w:sz w:val="24"/>
                <w:szCs w:val="24"/>
              </w:rPr>
              <w:t>依法依规组织全区公路路政管理和治理超限超载运输工作，按规定权限审批（核）全区公路行政许可事项。依法查处违反路政法律法规行为，保护公路路产路权和维护公路安全畅通。</w:t>
            </w:r>
            <w:r>
              <w:rPr>
                <w:rFonts w:eastAsia="仿宋_GB2312"/>
                <w:color w:val="000000"/>
                <w:kern w:val="0"/>
                <w:szCs w:val="21"/>
              </w:rPr>
              <w:t>　　</w:t>
            </w:r>
          </w:p>
        </w:tc>
        <w:tc>
          <w:tcPr>
            <w:tcW w:w="4187" w:type="dxa"/>
            <w:gridSpan w:val="4"/>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基本完成</w:t>
            </w:r>
            <w:r>
              <w:rPr>
                <w:rFonts w:eastAsia="仿宋_GB2312"/>
                <w:color w:val="000000"/>
                <w:kern w:val="0"/>
                <w:szCs w:val="21"/>
              </w:rPr>
              <w:t>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9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52"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09"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9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数量</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tc>
        <w:tc>
          <w:tcPr>
            <w:tcW w:w="1209" w:type="dxa"/>
            <w:gridSpan w:val="2"/>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养护公路里程数</w:t>
            </w:r>
          </w:p>
        </w:tc>
        <w:tc>
          <w:tcPr>
            <w:tcW w:w="1200" w:type="dxa"/>
            <w:noWrap w:val="0"/>
            <w:vAlign w:val="center"/>
          </w:tcPr>
          <w:p>
            <w:pPr>
              <w:widowControl/>
              <w:spacing w:line="24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263.726公里</w:t>
            </w:r>
          </w:p>
        </w:tc>
        <w:tc>
          <w:tcPr>
            <w:tcW w:w="1134" w:type="dxa"/>
            <w:noWrap w:val="0"/>
            <w:vAlign w:val="center"/>
          </w:tcPr>
          <w:p>
            <w:pPr>
              <w:widowControl/>
              <w:spacing w:line="24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263.726公里</w:t>
            </w:r>
          </w:p>
        </w:tc>
        <w:tc>
          <w:tcPr>
            <w:tcW w:w="709"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15</w:t>
            </w:r>
          </w:p>
        </w:tc>
        <w:tc>
          <w:tcPr>
            <w:tcW w:w="898"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15</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质量</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tc>
        <w:tc>
          <w:tcPr>
            <w:tcW w:w="1209" w:type="dxa"/>
            <w:gridSpan w:val="2"/>
            <w:noWrap w:val="0"/>
            <w:vAlign w:val="center"/>
          </w:tcPr>
          <w:p>
            <w:pPr>
              <w:widowControl/>
              <w:spacing w:line="240" w:lineRule="exact"/>
              <w:jc w:val="center"/>
              <w:rPr>
                <w:rFonts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eastAsia="zh-CN"/>
              </w:rPr>
              <w:t>好路率</w:t>
            </w:r>
          </w:p>
        </w:tc>
        <w:tc>
          <w:tcPr>
            <w:tcW w:w="1200" w:type="dxa"/>
            <w:noWrap w:val="0"/>
            <w:vAlign w:val="center"/>
          </w:tcPr>
          <w:p>
            <w:pPr>
              <w:widowControl/>
              <w:spacing w:line="240" w:lineRule="exact"/>
              <w:jc w:val="center"/>
              <w:rPr>
                <w:rFonts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90%</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90%</w:t>
            </w:r>
          </w:p>
        </w:tc>
        <w:tc>
          <w:tcPr>
            <w:tcW w:w="709"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15</w:t>
            </w:r>
          </w:p>
        </w:tc>
        <w:tc>
          <w:tcPr>
            <w:tcW w:w="898"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15</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时效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tc>
        <w:tc>
          <w:tcPr>
            <w:tcW w:w="1209" w:type="dxa"/>
            <w:gridSpan w:val="2"/>
            <w:noWrap w:val="0"/>
            <w:vAlign w:val="center"/>
          </w:tcPr>
          <w:p>
            <w:pPr>
              <w:widowControl/>
              <w:spacing w:line="24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公路养护或建设项目</w:t>
            </w:r>
            <w:r>
              <w:rPr>
                <w:rFonts w:hint="eastAsia" w:ascii="Times New Roman" w:hAnsi="Times New Roman" w:eastAsia="仿宋_GB2312" w:cs="Times New Roman"/>
                <w:color w:val="000000"/>
                <w:kern w:val="0"/>
                <w:szCs w:val="21"/>
                <w:lang w:eastAsia="zh-CN"/>
              </w:rPr>
              <w:t>完成及时率</w:t>
            </w:r>
          </w:p>
        </w:tc>
        <w:tc>
          <w:tcPr>
            <w:tcW w:w="1200"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90%</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90%</w:t>
            </w:r>
          </w:p>
        </w:tc>
        <w:tc>
          <w:tcPr>
            <w:tcW w:w="709"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898"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成本</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tc>
        <w:tc>
          <w:tcPr>
            <w:tcW w:w="1209" w:type="dxa"/>
            <w:gridSpan w:val="2"/>
            <w:noWrap w:val="0"/>
            <w:vAlign w:val="center"/>
          </w:tcPr>
          <w:p>
            <w:pPr>
              <w:widowControl/>
              <w:spacing w:line="24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整体支出资金</w:t>
            </w:r>
          </w:p>
        </w:tc>
        <w:tc>
          <w:tcPr>
            <w:tcW w:w="1200"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eastAsia="仿宋_GB2312"/>
                <w:szCs w:val="21"/>
                <w:lang w:val="en-US" w:eastAsia="zh-CN"/>
              </w:rPr>
              <w:t>2834.07</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eastAsia="仿宋_GB2312"/>
                <w:szCs w:val="21"/>
                <w:lang w:val="en-US" w:eastAsia="zh-CN"/>
              </w:rPr>
              <w:t>2834.07</w:t>
            </w:r>
          </w:p>
        </w:tc>
        <w:tc>
          <w:tcPr>
            <w:tcW w:w="709"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898"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经济效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209" w:type="dxa"/>
            <w:gridSpan w:val="2"/>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公路畅通率</w:t>
            </w:r>
          </w:p>
        </w:tc>
        <w:tc>
          <w:tcPr>
            <w:tcW w:w="1200" w:type="dxa"/>
            <w:noWrap w:val="0"/>
            <w:vAlign w:val="center"/>
          </w:tcPr>
          <w:p>
            <w:pPr>
              <w:widowControl/>
              <w:spacing w:line="240" w:lineRule="exact"/>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709"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898"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社会效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209" w:type="dxa"/>
            <w:gridSpan w:val="2"/>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便利道路周边居民出行</w:t>
            </w:r>
          </w:p>
        </w:tc>
        <w:tc>
          <w:tcPr>
            <w:tcW w:w="1200"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便利</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便利</w:t>
            </w:r>
          </w:p>
        </w:tc>
        <w:tc>
          <w:tcPr>
            <w:tcW w:w="709"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898"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209" w:type="dxa"/>
            <w:gridSpan w:val="2"/>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促进环境可持续发展</w:t>
            </w:r>
          </w:p>
        </w:tc>
        <w:tc>
          <w:tcPr>
            <w:tcW w:w="1200"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促进</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促进</w:t>
            </w:r>
          </w:p>
        </w:tc>
        <w:tc>
          <w:tcPr>
            <w:tcW w:w="709" w:type="dxa"/>
            <w:noWrap w:val="0"/>
            <w:vAlign w:val="center"/>
          </w:tcPr>
          <w:p>
            <w:pPr>
              <w:widowControl/>
              <w:spacing w:line="240" w:lineRule="exact"/>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5</w:t>
            </w:r>
          </w:p>
        </w:tc>
        <w:tc>
          <w:tcPr>
            <w:tcW w:w="898" w:type="dxa"/>
            <w:noWrap w:val="0"/>
            <w:vAlign w:val="center"/>
          </w:tcPr>
          <w:p>
            <w:pPr>
              <w:widowControl/>
              <w:spacing w:line="240" w:lineRule="exact"/>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5</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395" w:type="dxa"/>
            <w:vMerge w:val="continue"/>
            <w:noWrap w:val="0"/>
            <w:vAlign w:val="center"/>
          </w:tcPr>
          <w:p>
            <w:pPr>
              <w:widowControl/>
              <w:jc w:val="left"/>
              <w:rPr>
                <w:rFonts w:eastAsia="仿宋_GB2312"/>
                <w:color w:val="000000"/>
                <w:kern w:val="0"/>
                <w:szCs w:val="21"/>
              </w:rPr>
            </w:pP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可持续影响指标</w:t>
            </w:r>
          </w:p>
        </w:tc>
        <w:tc>
          <w:tcPr>
            <w:tcW w:w="1209" w:type="dxa"/>
            <w:gridSpan w:val="2"/>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对环境造成的压力</w:t>
            </w:r>
          </w:p>
        </w:tc>
        <w:tc>
          <w:tcPr>
            <w:tcW w:w="1200"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轻微</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轻微</w:t>
            </w:r>
          </w:p>
        </w:tc>
        <w:tc>
          <w:tcPr>
            <w:tcW w:w="709" w:type="dxa"/>
            <w:noWrap w:val="0"/>
            <w:vAlign w:val="center"/>
          </w:tcPr>
          <w:p>
            <w:pPr>
              <w:widowControl/>
              <w:spacing w:line="240" w:lineRule="exact"/>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5</w:t>
            </w:r>
          </w:p>
        </w:tc>
        <w:tc>
          <w:tcPr>
            <w:tcW w:w="898" w:type="dxa"/>
            <w:noWrap w:val="0"/>
            <w:vAlign w:val="center"/>
          </w:tcPr>
          <w:p>
            <w:pPr>
              <w:widowControl/>
              <w:spacing w:line="240" w:lineRule="exact"/>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5</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395"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252"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服务对象满意度指标</w:t>
            </w:r>
          </w:p>
        </w:tc>
        <w:tc>
          <w:tcPr>
            <w:tcW w:w="1209" w:type="dxa"/>
            <w:gridSpan w:val="2"/>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服务对象满意度</w:t>
            </w:r>
          </w:p>
        </w:tc>
        <w:tc>
          <w:tcPr>
            <w:tcW w:w="1200"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1134" w:type="dxa"/>
            <w:noWrap w:val="0"/>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709"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898" w:type="dxa"/>
            <w:noWrap w:val="0"/>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10</w:t>
            </w:r>
          </w:p>
        </w:tc>
        <w:tc>
          <w:tcPr>
            <w:tcW w:w="1446" w:type="dxa"/>
            <w:noWrap w:val="0"/>
            <w:vAlign w:val="center"/>
          </w:tcPr>
          <w:p>
            <w:pPr>
              <w:widowControl/>
              <w:spacing w:line="24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709"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p>
    <w:p/>
    <w:p>
      <w:pPr>
        <w:pStyle w:val="4"/>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right"/>
      </w:pPr>
    </w:p>
    <w:p>
      <w:pPr>
        <w:pStyle w:val="4"/>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077"/>
        <w:gridCol w:w="885"/>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ind w:firstLine="210" w:firstLineChars="100"/>
              <w:jc w:val="both"/>
              <w:rPr>
                <w:rFonts w:eastAsia="仿宋_GB2312"/>
                <w:color w:val="000000"/>
                <w:kern w:val="0"/>
                <w:szCs w:val="21"/>
              </w:rPr>
            </w:pPr>
            <w:r>
              <w:rPr>
                <w:rFonts w:hint="eastAsia" w:ascii="Times New Roman" w:hAnsi="Times New Roman" w:eastAsia="仿宋_GB2312" w:cs="Times New Roman"/>
                <w:color w:val="000000"/>
                <w:kern w:val="0"/>
                <w:szCs w:val="21"/>
                <w:lang w:val="en-US" w:eastAsia="zh-CN"/>
              </w:rPr>
              <w:t>境内里程263.726公里的公路日常养护</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永州市零陵区交通局</w:t>
            </w:r>
          </w:p>
        </w:tc>
        <w:tc>
          <w:tcPr>
            <w:tcW w:w="1077"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76" w:type="dxa"/>
            <w:gridSpan w:val="3"/>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永州市零陵区公路建设养护中心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eastAsia="仿宋_GB2312"/>
                <w:color w:val="000000"/>
                <w:kern w:val="0"/>
                <w:szCs w:val="21"/>
                <w:lang w:eastAsia="zh-CN"/>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077"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85" w:type="dxa"/>
            <w:noWrap w:val="0"/>
            <w:vAlign w:val="center"/>
          </w:tcPr>
          <w:p>
            <w:pPr>
              <w:jc w:val="center"/>
              <w:rPr>
                <w:rFonts w:eastAsia="仿宋_GB2312"/>
                <w:szCs w:val="21"/>
              </w:rPr>
            </w:pPr>
            <w:r>
              <w:rPr>
                <w:rFonts w:eastAsia="仿宋_GB2312"/>
                <w:szCs w:val="21"/>
              </w:rPr>
              <w:t>分值</w:t>
            </w:r>
          </w:p>
        </w:tc>
        <w:tc>
          <w:tcPr>
            <w:tcW w:w="873" w:type="dxa"/>
            <w:noWrap w:val="0"/>
            <w:vAlign w:val="center"/>
          </w:tcPr>
          <w:p>
            <w:pPr>
              <w:jc w:val="center"/>
              <w:rPr>
                <w:rFonts w:eastAsia="仿宋_GB2312"/>
                <w:szCs w:val="21"/>
              </w:rPr>
            </w:pPr>
            <w:r>
              <w:rPr>
                <w:rFonts w:eastAsia="仿宋_GB2312"/>
                <w:szCs w:val="21"/>
              </w:rPr>
              <w:t>执行率</w:t>
            </w:r>
          </w:p>
        </w:tc>
        <w:tc>
          <w:tcPr>
            <w:tcW w:w="1418"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197.6</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954.55</w:t>
            </w:r>
          </w:p>
        </w:tc>
        <w:tc>
          <w:tcPr>
            <w:tcW w:w="1077"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954.55</w:t>
            </w:r>
          </w:p>
        </w:tc>
        <w:tc>
          <w:tcPr>
            <w:tcW w:w="885"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954.55</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954.55</w:t>
            </w:r>
          </w:p>
        </w:tc>
        <w:tc>
          <w:tcPr>
            <w:tcW w:w="1077"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954.55</w:t>
            </w:r>
          </w:p>
        </w:tc>
        <w:tc>
          <w:tcPr>
            <w:tcW w:w="88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209"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077"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88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209"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077"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88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tabs>
                <w:tab w:val="left" w:pos="720"/>
                <w:tab w:val="left" w:pos="900"/>
              </w:tabs>
              <w:spacing w:line="360" w:lineRule="exact"/>
              <w:rPr>
                <w:rFonts w:hint="eastAsia" w:ascii="仿宋_GB2312" w:eastAsia="仿宋_GB2312"/>
                <w:kern w:val="2"/>
                <w:sz w:val="24"/>
                <w:szCs w:val="24"/>
              </w:rPr>
            </w:pPr>
            <w:r>
              <w:rPr>
                <w:rFonts w:hint="eastAsia" w:ascii="仿宋_GB2312" w:eastAsia="仿宋_GB2312"/>
                <w:kern w:val="2"/>
                <w:sz w:val="24"/>
                <w:szCs w:val="24"/>
              </w:rPr>
              <w:t>目标</w:t>
            </w:r>
            <w:r>
              <w:rPr>
                <w:rFonts w:hint="eastAsia" w:ascii="仿宋_GB2312" w:eastAsia="仿宋_GB2312"/>
                <w:kern w:val="2"/>
                <w:sz w:val="24"/>
                <w:szCs w:val="24"/>
                <w:lang w:val="en-US" w:eastAsia="zh-CN"/>
              </w:rPr>
              <w:t>1</w:t>
            </w:r>
            <w:r>
              <w:rPr>
                <w:rFonts w:hint="eastAsia" w:ascii="仿宋_GB2312" w:eastAsia="仿宋_GB2312"/>
                <w:kern w:val="2"/>
                <w:sz w:val="24"/>
                <w:szCs w:val="24"/>
              </w:rPr>
              <w:t>：</w:t>
            </w:r>
            <w:r>
              <w:rPr>
                <w:rFonts w:hint="eastAsia" w:ascii="仿宋_GB2312" w:eastAsia="仿宋_GB2312"/>
                <w:sz w:val="24"/>
                <w:szCs w:val="24"/>
              </w:rPr>
              <w:t>参与制定全区公路建设中长期发展规划和年度县乡公路改造计划；组织实施所管养263.726</w:t>
            </w:r>
            <w:r>
              <w:rPr>
                <w:rFonts w:hint="eastAsia" w:ascii="仿宋_GB2312" w:eastAsia="仿宋_GB2312"/>
                <w:sz w:val="24"/>
                <w:szCs w:val="24"/>
                <w:lang w:eastAsia="zh-CN"/>
              </w:rPr>
              <w:t>公里</w:t>
            </w:r>
            <w:r>
              <w:rPr>
                <w:rFonts w:hint="eastAsia" w:ascii="仿宋_GB2312" w:eastAsia="仿宋_GB2312"/>
                <w:sz w:val="24"/>
                <w:szCs w:val="24"/>
              </w:rPr>
              <w:t>公路的建设、养护和管理，在上级交通、公路部门的指导下负责国、省道干线公路的养护和管理工作；负责公路建设工程材料检测试验工作。</w:t>
            </w:r>
          </w:p>
          <w:p>
            <w:pPr>
              <w:spacing w:line="360" w:lineRule="exact"/>
              <w:rPr>
                <w:rFonts w:hint="eastAsia" w:ascii="仿宋_GB2312" w:eastAsia="仿宋_GB2312"/>
                <w:sz w:val="24"/>
                <w:szCs w:val="24"/>
              </w:rPr>
            </w:pPr>
            <w:r>
              <w:rPr>
                <w:rFonts w:hint="eastAsia" w:ascii="仿宋_GB2312" w:eastAsia="仿宋_GB2312"/>
                <w:kern w:val="2"/>
                <w:sz w:val="24"/>
                <w:szCs w:val="24"/>
              </w:rPr>
              <w:t>目标</w:t>
            </w:r>
            <w:r>
              <w:rPr>
                <w:rFonts w:hint="eastAsia" w:ascii="仿宋_GB2312" w:eastAsia="仿宋_GB2312"/>
                <w:kern w:val="2"/>
                <w:sz w:val="24"/>
                <w:szCs w:val="24"/>
                <w:lang w:val="en-US" w:eastAsia="zh-CN"/>
              </w:rPr>
              <w:t>2</w:t>
            </w:r>
            <w:r>
              <w:rPr>
                <w:rFonts w:hint="eastAsia" w:ascii="仿宋_GB2312" w:eastAsia="仿宋_GB2312"/>
                <w:kern w:val="2"/>
                <w:sz w:val="24"/>
                <w:szCs w:val="24"/>
              </w:rPr>
              <w:t>：</w:t>
            </w:r>
            <w:r>
              <w:rPr>
                <w:rFonts w:hint="eastAsia" w:ascii="仿宋_GB2312" w:eastAsia="仿宋_GB2312"/>
                <w:sz w:val="24"/>
                <w:szCs w:val="24"/>
              </w:rPr>
              <w:t>组织实施所管养公路水毁抢修、危桥改造、安保工程建设及公路应急抢险；负责所管养公路桥涵和其他公路附属设施的日常养护和维修工作；负责公路绿化和养护。</w:t>
            </w:r>
          </w:p>
          <w:p>
            <w:pPr>
              <w:widowControl/>
              <w:jc w:val="center"/>
              <w:rPr>
                <w:rFonts w:eastAsia="仿宋_GB2312"/>
                <w:color w:val="000000"/>
                <w:kern w:val="0"/>
                <w:sz w:val="21"/>
                <w:szCs w:val="21"/>
                <w:lang w:val="en-US" w:eastAsia="zh-CN" w:bidi="ar-SA"/>
              </w:rPr>
            </w:pPr>
            <w:r>
              <w:rPr>
                <w:rFonts w:hint="eastAsia" w:ascii="仿宋_GB2312" w:eastAsia="仿宋_GB2312"/>
                <w:kern w:val="2"/>
                <w:sz w:val="24"/>
                <w:szCs w:val="24"/>
              </w:rPr>
              <w:t>目标</w:t>
            </w:r>
            <w:r>
              <w:rPr>
                <w:rFonts w:hint="eastAsia" w:ascii="仿宋_GB2312" w:eastAsia="仿宋_GB2312"/>
                <w:kern w:val="2"/>
                <w:sz w:val="24"/>
                <w:szCs w:val="24"/>
                <w:lang w:val="en-US" w:eastAsia="zh-CN"/>
              </w:rPr>
              <w:t>3</w:t>
            </w:r>
            <w:r>
              <w:rPr>
                <w:rFonts w:hint="eastAsia" w:ascii="仿宋_GB2312" w:eastAsia="仿宋_GB2312"/>
                <w:kern w:val="2"/>
                <w:sz w:val="24"/>
                <w:szCs w:val="24"/>
              </w:rPr>
              <w:t>：</w:t>
            </w:r>
            <w:r>
              <w:rPr>
                <w:rFonts w:hint="eastAsia" w:ascii="仿宋_GB2312" w:eastAsia="仿宋_GB2312"/>
                <w:sz w:val="24"/>
                <w:szCs w:val="24"/>
              </w:rPr>
              <w:t>依法依规组织全区公路路政管理和治理超限超载运输工作，按规定权限审批（核）全区公路行政许可事项。依法查处违反路政法律法规行为，保护公路路产路权和维护公路安全畅通。</w:t>
            </w:r>
            <w:r>
              <w:rPr>
                <w:rFonts w:eastAsia="仿宋_GB2312"/>
                <w:color w:val="000000"/>
                <w:kern w:val="0"/>
                <w:szCs w:val="21"/>
              </w:rPr>
              <w:t>　　</w:t>
            </w:r>
          </w:p>
        </w:tc>
        <w:tc>
          <w:tcPr>
            <w:tcW w:w="4253" w:type="dxa"/>
            <w:gridSpan w:val="4"/>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eastAsia="zh-CN"/>
              </w:rPr>
              <w:t>基本完成</w:t>
            </w:r>
            <w:r>
              <w:rPr>
                <w:rFonts w:eastAsia="仿宋_GB2312"/>
                <w:color w:val="000000"/>
                <w:kern w:val="0"/>
                <w:szCs w:val="21"/>
              </w:rPr>
              <w:t>年度总体目标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77"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8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eastAsia="zh-CN"/>
              </w:rPr>
              <w:t>养护公路里程数</w:t>
            </w:r>
          </w:p>
        </w:tc>
        <w:tc>
          <w:tcPr>
            <w:tcW w:w="1209"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eastAsia="zh-CN"/>
              </w:rPr>
              <w:t>263.726公里</w:t>
            </w:r>
          </w:p>
        </w:tc>
        <w:tc>
          <w:tcPr>
            <w:tcW w:w="1077"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eastAsia="zh-CN"/>
              </w:rPr>
              <w:t>263.726公里</w:t>
            </w:r>
          </w:p>
        </w:tc>
        <w:tc>
          <w:tcPr>
            <w:tcW w:w="885"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15</w:t>
            </w:r>
          </w:p>
        </w:tc>
        <w:tc>
          <w:tcPr>
            <w:tcW w:w="873"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15</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eastAsia="zh-CN"/>
              </w:rPr>
              <w:t>好路率</w:t>
            </w:r>
          </w:p>
        </w:tc>
        <w:tc>
          <w:tcPr>
            <w:tcW w:w="120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90%</w:t>
            </w:r>
          </w:p>
        </w:tc>
        <w:tc>
          <w:tcPr>
            <w:tcW w:w="1077"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90%</w:t>
            </w:r>
          </w:p>
        </w:tc>
        <w:tc>
          <w:tcPr>
            <w:tcW w:w="885"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15</w:t>
            </w:r>
          </w:p>
        </w:tc>
        <w:tc>
          <w:tcPr>
            <w:tcW w:w="873"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15</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公路养护或建设项目</w:t>
            </w:r>
            <w:r>
              <w:rPr>
                <w:rFonts w:hint="eastAsia" w:ascii="Times New Roman" w:hAnsi="Times New Roman" w:eastAsia="仿宋_GB2312" w:cs="Times New Roman"/>
                <w:color w:val="000000"/>
                <w:kern w:val="0"/>
                <w:szCs w:val="21"/>
                <w:lang w:eastAsia="zh-CN"/>
              </w:rPr>
              <w:t>完成及时率</w:t>
            </w:r>
          </w:p>
        </w:tc>
        <w:tc>
          <w:tcPr>
            <w:tcW w:w="120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90%</w:t>
            </w:r>
          </w:p>
        </w:tc>
        <w:tc>
          <w:tcPr>
            <w:tcW w:w="1077"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90%</w:t>
            </w:r>
          </w:p>
        </w:tc>
        <w:tc>
          <w:tcPr>
            <w:tcW w:w="885"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873"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eastAsia="zh-CN"/>
              </w:rPr>
              <w:t>项目支出资金</w:t>
            </w:r>
          </w:p>
        </w:tc>
        <w:tc>
          <w:tcPr>
            <w:tcW w:w="1209"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954.55</w:t>
            </w:r>
          </w:p>
        </w:tc>
        <w:tc>
          <w:tcPr>
            <w:tcW w:w="1077"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954.55</w:t>
            </w:r>
          </w:p>
        </w:tc>
        <w:tc>
          <w:tcPr>
            <w:tcW w:w="885"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873"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公路畅通率</w:t>
            </w:r>
          </w:p>
        </w:tc>
        <w:tc>
          <w:tcPr>
            <w:tcW w:w="1209"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1077"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885"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873"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便利道路周边居民出行</w:t>
            </w:r>
          </w:p>
        </w:tc>
        <w:tc>
          <w:tcPr>
            <w:tcW w:w="120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便利</w:t>
            </w:r>
          </w:p>
        </w:tc>
        <w:tc>
          <w:tcPr>
            <w:tcW w:w="1077"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便利</w:t>
            </w:r>
          </w:p>
        </w:tc>
        <w:tc>
          <w:tcPr>
            <w:tcW w:w="885"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873"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9</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促进环境可持续发展</w:t>
            </w:r>
          </w:p>
        </w:tc>
        <w:tc>
          <w:tcPr>
            <w:tcW w:w="120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促进</w:t>
            </w:r>
          </w:p>
        </w:tc>
        <w:tc>
          <w:tcPr>
            <w:tcW w:w="1077"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促进</w:t>
            </w:r>
          </w:p>
        </w:tc>
        <w:tc>
          <w:tcPr>
            <w:tcW w:w="885"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5</w:t>
            </w:r>
          </w:p>
        </w:tc>
        <w:tc>
          <w:tcPr>
            <w:tcW w:w="873"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5</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Cs w:val="21"/>
              </w:rPr>
              <w:t>对环境造成的压力</w:t>
            </w:r>
          </w:p>
        </w:tc>
        <w:tc>
          <w:tcPr>
            <w:tcW w:w="120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eastAsia="zh-CN"/>
              </w:rPr>
              <w:t>轻微</w:t>
            </w:r>
          </w:p>
        </w:tc>
        <w:tc>
          <w:tcPr>
            <w:tcW w:w="1077"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eastAsia="zh-CN"/>
              </w:rPr>
              <w:t>轻微</w:t>
            </w:r>
          </w:p>
        </w:tc>
        <w:tc>
          <w:tcPr>
            <w:tcW w:w="885"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5</w:t>
            </w:r>
          </w:p>
        </w:tc>
        <w:tc>
          <w:tcPr>
            <w:tcW w:w="873" w:type="dxa"/>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5</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服务对象满意度</w:t>
            </w:r>
          </w:p>
        </w:tc>
        <w:tc>
          <w:tcPr>
            <w:tcW w:w="1209"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1077" w:type="dxa"/>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rPr>
              <w:t>95</w:t>
            </w:r>
            <w:r>
              <w:rPr>
                <w:rFonts w:hint="eastAsia" w:ascii="Times New Roman" w:hAnsi="Times New Roman" w:eastAsia="仿宋_GB2312" w:cs="Times New Roman"/>
                <w:color w:val="000000"/>
                <w:kern w:val="0"/>
                <w:szCs w:val="21"/>
                <w:lang w:val="en-US" w:eastAsia="zh-CN"/>
              </w:rPr>
              <w:t>%</w:t>
            </w:r>
          </w:p>
        </w:tc>
        <w:tc>
          <w:tcPr>
            <w:tcW w:w="885"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873" w:type="dxa"/>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9</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75"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85"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autoSpaceDE w:val="0"/>
        <w:autoSpaceDN w:val="0"/>
        <w:adjustRightInd w:val="0"/>
        <w:ind w:firstLine="640" w:firstLineChars="200"/>
        <w:jc w:val="left"/>
        <w:rPr>
          <w:rFonts w:cs="黑体" w:asciiTheme="minorEastAsia" w:hAnsiTheme="minorEastAsia"/>
          <w:color w:val="000000"/>
          <w:kern w:val="0"/>
          <w:sz w:val="32"/>
          <w:szCs w:val="32"/>
        </w:rPr>
      </w:pP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75D93"/>
    <w:multiLevelType w:val="singleLevel"/>
    <w:tmpl w:val="BF275D93"/>
    <w:lvl w:ilvl="0" w:tentative="0">
      <w:start w:val="8"/>
      <w:numFmt w:val="chineseCounting"/>
      <w:suff w:val="nothing"/>
      <w:lvlText w:val="%1、"/>
      <w:lvlJc w:val="left"/>
      <w:rPr>
        <w:rFonts w:hint="eastAsia"/>
      </w:rPr>
    </w:lvl>
  </w:abstractNum>
  <w:abstractNum w:abstractNumId="1">
    <w:nsid w:val="30ABC058"/>
    <w:multiLevelType w:val="singleLevel"/>
    <w:tmpl w:val="30ABC058"/>
    <w:lvl w:ilvl="0" w:tentative="0">
      <w:start w:val="3"/>
      <w:numFmt w:val="chineseCounting"/>
      <w:suff w:val="nothing"/>
      <w:lvlText w:val="%1、"/>
      <w:lvlJc w:val="left"/>
      <w:rPr>
        <w:rFonts w:hint="eastAsia"/>
      </w:rPr>
    </w:lvl>
  </w:abstractNum>
  <w:abstractNum w:abstractNumId="2">
    <w:nsid w:val="4211BE6B"/>
    <w:multiLevelType w:val="singleLevel"/>
    <w:tmpl w:val="4211BE6B"/>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MTEwOTZkNjZjOTQwNzE3NWFkYjAxZGMxOWQ5YzMifQ=="/>
  </w:docVars>
  <w:rsids>
    <w:rsidRoot w:val="00000000"/>
    <w:rsid w:val="0F7A22A7"/>
    <w:rsid w:val="14264FE0"/>
    <w:rsid w:val="20EA1B5B"/>
    <w:rsid w:val="2E10536F"/>
    <w:rsid w:val="37AD78B7"/>
    <w:rsid w:val="3D8B460F"/>
    <w:rsid w:val="46E36166"/>
    <w:rsid w:val="54EB6A0A"/>
    <w:rsid w:val="63E57580"/>
    <w:rsid w:val="6B091C24"/>
    <w:rsid w:val="7CEC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4">
    <w:name w:val="Body Text 3"/>
    <w:basedOn w:val="1"/>
    <w:qFormat/>
    <w:uiPriority w:val="0"/>
    <w:pPr>
      <w:spacing w:after="120"/>
    </w:pPr>
    <w:rPr>
      <w:sz w:val="16"/>
    </w:rPr>
  </w:style>
  <w:style w:type="paragraph" w:customStyle="1" w:styleId="7">
    <w:name w:val="_Style 1"/>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2023-09-12T07:37:19Z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CC890637422F41FD8E4EA5D0003A785F_13</vt:lpwstr>
  </property>
</Properties>
</file>