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92" w:rsidRPr="00574692" w:rsidRDefault="00574692" w:rsidP="00574692">
      <w:pPr>
        <w:ind w:firstLineChars="200" w:firstLine="720"/>
        <w:jc w:val="center"/>
        <w:rPr>
          <w:rFonts w:ascii="宋体" w:hAnsi="宋体" w:cs="黑体"/>
          <w:b/>
          <w:color w:val="000000"/>
          <w:sz w:val="36"/>
          <w:szCs w:val="36"/>
        </w:rPr>
      </w:pPr>
      <w:r w:rsidRPr="00574692">
        <w:rPr>
          <w:rFonts w:ascii="宋体" w:hAnsi="宋体" w:cs="黑体" w:hint="eastAsia"/>
          <w:b/>
          <w:color w:val="000000"/>
          <w:sz w:val="36"/>
          <w:szCs w:val="36"/>
        </w:rPr>
        <w:t>2022</w:t>
      </w:r>
      <w:r w:rsidRPr="00574692">
        <w:rPr>
          <w:rFonts w:ascii="宋体" w:hAnsi="宋体" w:cs="黑体" w:hint="eastAsia"/>
          <w:b/>
          <w:color w:val="000000"/>
          <w:sz w:val="36"/>
          <w:szCs w:val="36"/>
        </w:rPr>
        <w:t>年度零陵区机关事务管理局部门整体支出绩效评价报告</w:t>
      </w:r>
    </w:p>
    <w:p w:rsidR="00574692" w:rsidRDefault="00574692" w:rsidP="00574692">
      <w:pPr>
        <w:spacing w:line="520" w:lineRule="atLeast"/>
        <w:ind w:firstLine="640"/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</w:pPr>
    </w:p>
    <w:p w:rsidR="00574692" w:rsidRDefault="00574692" w:rsidP="00574692">
      <w:pPr>
        <w:spacing w:line="520" w:lineRule="atLeast"/>
        <w:ind w:firstLine="640"/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一、基本情况</w:t>
      </w:r>
    </w:p>
    <w:p w:rsidR="00574692" w:rsidRDefault="00574692" w:rsidP="00574692">
      <w:pPr>
        <w:spacing w:line="520" w:lineRule="atLeast"/>
        <w:ind w:firstLine="643"/>
      </w:pPr>
      <w:r>
        <w:rPr>
          <w:rFonts w:ascii="楷体_GB2312" w:eastAsia="楷体_GB2312" w:cs="楷体_GB2312"/>
          <w:b/>
          <w:bCs/>
          <w:color w:val="535353"/>
          <w:sz w:val="32"/>
          <w:szCs w:val="32"/>
          <w:shd w:val="clear" w:color="auto" w:fill="FFFFFF"/>
        </w:rPr>
        <w:t>（一）单位基本情况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3"/>
      </w:pPr>
      <w:r>
        <w:rPr>
          <w:rFonts w:ascii="仿宋_GB2312" w:eastAsia="仿宋_GB2312" w:hAnsi="微软雅黑" w:cs="仿宋_GB2312"/>
          <w:b/>
          <w:bCs/>
          <w:color w:val="535353"/>
          <w:sz w:val="32"/>
          <w:szCs w:val="32"/>
          <w:shd w:val="clear" w:color="auto" w:fill="FFFFFF"/>
        </w:rPr>
        <w:t>1.人员编制。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零陵区机关事务管理局(正科级)本部门核定编制人数3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名，全额编制3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名，实有人数3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名。其中：在职人员3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名，退休人员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7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名。</w:t>
      </w:r>
    </w:p>
    <w:p w:rsidR="00574692" w:rsidRDefault="00574692" w:rsidP="00574692">
      <w:pPr>
        <w:spacing w:line="540" w:lineRule="atLeast"/>
        <w:ind w:firstLine="643"/>
      </w:pPr>
      <w:r>
        <w:rPr>
          <w:rFonts w:ascii="仿宋_GB2312" w:eastAsia="仿宋_GB2312" w:hAnsi="微软雅黑" w:cs="仿宋_GB2312"/>
          <w:b/>
          <w:bCs/>
          <w:color w:val="535353"/>
          <w:sz w:val="32"/>
          <w:szCs w:val="32"/>
          <w:shd w:val="clear" w:color="auto" w:fill="FFFFFF"/>
        </w:rPr>
        <w:t>2.机构设置。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设有内设股室8个，分别为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综合部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、物业管理部、公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务用车管理部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、公共机构节能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管理部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财务部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机关大院维护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部、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国有资产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管理、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文明创建办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，无二级机构。</w:t>
      </w:r>
    </w:p>
    <w:p w:rsidR="00574692" w:rsidRDefault="00574692" w:rsidP="00574692">
      <w:pPr>
        <w:spacing w:line="540" w:lineRule="atLeast"/>
        <w:ind w:firstLine="643"/>
      </w:pPr>
      <w:r>
        <w:rPr>
          <w:rFonts w:ascii="仿宋_GB2312" w:eastAsia="仿宋_GB2312" w:hAnsi="微软雅黑" w:cs="仿宋_GB2312"/>
          <w:b/>
          <w:bCs/>
          <w:color w:val="535353"/>
          <w:sz w:val="32"/>
          <w:szCs w:val="32"/>
          <w:shd w:val="clear" w:color="auto" w:fill="FFFFFF"/>
        </w:rPr>
        <w:t>3.主要职能。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1、指导全区机关事务工作，2、负责区直党政机关单位办公用房清理整改、调剂使用工作。3、根据区政府授权负责区直行政事业单位国有资产统一集中管理，承担配置计划审核、产权界定、清查登记、资产处置工作。4统筹区直机关单位住房建设与管理工作。5、负责统筹协调全区公共机构节能工作，会同有关部门制定推动全区公共机构节能规划、制度并组织实施，负责公共机构节约能源管理工作，组织开展能耗统计、监测和评价、节能技术改造及专项资金管理等工作。6参与并监督管理全区党政机关厉行节约反对浪费工作。7按规定指导并组织实施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lastRenderedPageBreak/>
        <w:t>区直机关单位后勤员工培训工作。8、负责统筹协调全区党政机关公务用车正常运行工作。</w:t>
      </w:r>
    </w:p>
    <w:p w:rsidR="00574692" w:rsidRDefault="00574692" w:rsidP="00574692">
      <w:pPr>
        <w:spacing w:line="540" w:lineRule="atLeast"/>
        <w:ind w:firstLine="643"/>
      </w:pPr>
      <w:r>
        <w:rPr>
          <w:rFonts w:ascii="楷体_GB2312" w:eastAsia="楷体_GB2312" w:cs="楷体_GB2312"/>
          <w:b/>
          <w:bCs/>
          <w:color w:val="535353"/>
          <w:sz w:val="32"/>
          <w:szCs w:val="32"/>
          <w:shd w:val="clear" w:color="auto" w:fill="FFFFFF"/>
        </w:rPr>
        <w:t>（二）单位年度整体支出绩效目标，</w:t>
      </w:r>
      <w:r>
        <w:rPr>
          <w:rFonts w:ascii="楷体_GB2312" w:eastAsia="楷体_GB2312" w:hAnsi="微软雅黑" w:cs="楷体_GB2312"/>
          <w:b/>
          <w:bCs/>
          <w:color w:val="535353"/>
          <w:sz w:val="32"/>
          <w:szCs w:val="32"/>
          <w:shd w:val="clear" w:color="auto" w:fill="FFFFFF"/>
        </w:rPr>
        <w:t>区</w:t>
      </w:r>
      <w:r>
        <w:rPr>
          <w:rFonts w:ascii="楷体_GB2312" w:eastAsia="楷体_GB2312" w:cs="楷体_GB2312"/>
          <w:b/>
          <w:bCs/>
          <w:color w:val="535353"/>
          <w:sz w:val="32"/>
          <w:szCs w:val="32"/>
          <w:shd w:val="clear" w:color="auto" w:fill="FFFFFF"/>
        </w:rPr>
        <w:t>级专项资金绩效目标</w:t>
      </w:r>
    </w:p>
    <w:p w:rsidR="00574692" w:rsidRDefault="00574692" w:rsidP="00574692">
      <w:pPr>
        <w:spacing w:line="540" w:lineRule="atLeast"/>
        <w:ind w:firstLine="643"/>
      </w:pPr>
      <w:r>
        <w:rPr>
          <w:rFonts w:ascii="仿宋_GB2312" w:eastAsia="仿宋_GB2312" w:hAnsi="微软雅黑" w:cs="仿宋_GB2312"/>
          <w:b/>
          <w:bCs/>
          <w:color w:val="535353"/>
          <w:sz w:val="32"/>
          <w:szCs w:val="32"/>
          <w:shd w:val="clear" w:color="auto" w:fill="FFFFFF"/>
        </w:rPr>
        <w:t>1.单位整体支出绩效目标：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（1）进一步推进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指导全区机关事务工作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。（2）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负责区直党政机关单位办公用房清理整改、调剂使用工作。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（3）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根据区政府授权负责区直行政事业单位国有资产统一集中管理，承担配置计划审核、产权界定、清查登记、资产处置工作。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（4）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负责统筹协调全区公共机构节能工作，会同有关部门制定推动全区公共机构节能规划、制度并组织实施，负责公共机构节约能源管理工作，组织开展能耗统计、监测和评价、节能技术改造及专项资金管理等工作，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提升整体素质（5）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参与并监督管理全区党政机关厉行节约反对浪费工作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。（6）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负责统筹协调全区党政机关公务用车正常运行工作。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 xml:space="preserve">　</w:t>
      </w:r>
    </w:p>
    <w:p w:rsidR="00574692" w:rsidRDefault="00574692" w:rsidP="00574692">
      <w:pPr>
        <w:spacing w:line="540" w:lineRule="atLeast"/>
        <w:ind w:firstLine="951"/>
      </w:pPr>
      <w:r>
        <w:rPr>
          <w:rFonts w:ascii="仿宋_GB2312" w:eastAsia="仿宋_GB2312" w:hAnsi="微软雅黑" w:cs="仿宋_GB2312"/>
          <w:b/>
          <w:bCs/>
          <w:color w:val="000000"/>
          <w:sz w:val="32"/>
          <w:szCs w:val="32"/>
          <w:shd w:val="clear" w:color="auto" w:fill="FFFFFF"/>
        </w:rPr>
        <w:t>2.区级专项资金绩效目标：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专项经费：</w:t>
      </w:r>
      <w:r>
        <w:rPr>
          <w:rFonts w:ascii="仿宋_GB2312" w:eastAsia="仿宋_GB2312" w:hAnsi="微软雅黑" w:cs="仿宋_GB2312"/>
          <w:color w:val="535353"/>
          <w:sz w:val="30"/>
          <w:szCs w:val="30"/>
          <w:shd w:val="clear" w:color="auto" w:fill="FFFFFF"/>
        </w:rPr>
        <w:t>机关食堂职工餐补贴、临时工工资、养老保险保险及大院部分单位会计集中核实经费、水电费及日常维修、公车运行经费等</w:t>
      </w:r>
      <w:r>
        <w:rPr>
          <w:rFonts w:ascii="仿宋_GB2312" w:eastAsia="仿宋_GB2312" w:hAnsi="微软雅黑" w:cs="仿宋_GB2312" w:hint="eastAsia"/>
          <w:color w:val="535353"/>
          <w:sz w:val="30"/>
          <w:szCs w:val="30"/>
          <w:shd w:val="clear" w:color="auto" w:fill="FFFFFF"/>
        </w:rPr>
        <w:t>。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黑体" w:eastAsia="黑体" w:cs="黑体" w:hint="eastAsia"/>
          <w:color w:val="535353"/>
          <w:sz w:val="32"/>
          <w:szCs w:val="32"/>
          <w:shd w:val="clear" w:color="auto" w:fill="FFFFFF"/>
        </w:rPr>
        <w:t>二、一般公共预算支出情况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3"/>
      </w:pPr>
      <w:r>
        <w:rPr>
          <w:rFonts w:ascii="楷体_GB2312" w:eastAsia="楷体_GB2312" w:hAnsi="Times New Roman" w:cs="楷体_GB2312"/>
          <w:b/>
          <w:bCs/>
          <w:color w:val="535353"/>
          <w:sz w:val="32"/>
          <w:szCs w:val="32"/>
          <w:shd w:val="clear" w:color="auto" w:fill="FFFFFF"/>
        </w:rPr>
        <w:t>（一）基本支出情况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介绍基本支出的主要用途、范围，尤其是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三公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经费的使用情况。</w:t>
      </w:r>
    </w:p>
    <w:p w:rsidR="00574692" w:rsidRDefault="00574692" w:rsidP="00574692">
      <w:pPr>
        <w:pStyle w:val="18"/>
        <w:spacing w:before="0" w:beforeAutospacing="0" w:after="2" w:afterAutospacing="0"/>
        <w:ind w:firstLine="641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t>2022年度财政拨款基本支出899.09万元，其中：</w:t>
      </w:r>
    </w:p>
    <w:p w:rsidR="00574692" w:rsidRDefault="00574692" w:rsidP="00574692">
      <w:pPr>
        <w:pStyle w:val="18"/>
        <w:spacing w:before="0" w:beforeAutospacing="0" w:after="2" w:afterAutospacing="0"/>
        <w:ind w:firstLine="641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lastRenderedPageBreak/>
        <w:t>1.人员经费374.79万元，占基本支出的41.69%，主要包括：基本工资、津贴补贴、奖金、绩效工资、机关事业单位基本养老保险缴费、职工基本医疗保险缴费、其他社会保障缴费、其他工资福利支出、生活补助、其他对个人和家庭的补助。</w:t>
      </w:r>
    </w:p>
    <w:p w:rsidR="00574692" w:rsidRDefault="00574692" w:rsidP="00574692">
      <w:pPr>
        <w:pStyle w:val="18"/>
        <w:spacing w:before="0" w:beforeAutospacing="0" w:after="2" w:afterAutospacing="0"/>
        <w:ind w:firstLine="640"/>
        <w:rPr>
          <w:rFonts w:cs="Tahoma" w:hint="eastAsia"/>
          <w:color w:val="000000"/>
          <w:sz w:val="32"/>
          <w:szCs w:val="32"/>
        </w:rPr>
      </w:pPr>
      <w:r>
        <w:rPr>
          <w:rFonts w:cs="Tahoma" w:hint="eastAsia"/>
          <w:color w:val="000000"/>
          <w:sz w:val="32"/>
          <w:szCs w:val="32"/>
        </w:rPr>
        <w:t>2.公用经费524.3万元，占基本支出的58.31%，主要包括：办公设备购置、办公费、水费、电费、邮电费、物业管理费、差旅费、维修（护）费、租赁费、培训费、公务接待费、专用材料费、劳务费、委托业务费、工会经费、其他交通费用、其他商品和服务支出。</w:t>
      </w:r>
    </w:p>
    <w:p w:rsidR="00574692" w:rsidRDefault="00574692" w:rsidP="00574692">
      <w:pPr>
        <w:pStyle w:val="18"/>
        <w:spacing w:before="0" w:beforeAutospacing="0" w:after="2" w:afterAutospacing="0"/>
        <w:ind w:firstLine="64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t>3.2022年度“三公”经费财政拨款支出决算中，公务接待费支出决算0.62万元，占100%，因公出国（境）费支出决算0万元，占0%，公务用车购置费及运行维护费支出决算0万元，占0%。其中：</w:t>
      </w:r>
    </w:p>
    <w:p w:rsidR="00574692" w:rsidRDefault="00574692" w:rsidP="00574692">
      <w:pPr>
        <w:pStyle w:val="18"/>
        <w:spacing w:before="0" w:beforeAutospacing="0" w:after="2" w:afterAutospacing="0"/>
        <w:ind w:firstLine="64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t>（1）因公出国（境）费支出决算为0万元，全年安排因公出国（境）团组0个，累计0人次，我单位2022年度无因公出国（境）费支出。</w:t>
      </w:r>
    </w:p>
    <w:p w:rsidR="00574692" w:rsidRDefault="00574692" w:rsidP="00574692">
      <w:pPr>
        <w:pStyle w:val="18"/>
        <w:spacing w:before="0" w:beforeAutospacing="0" w:after="2" w:afterAutospacing="0"/>
        <w:ind w:firstLine="64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t>（2）公务接待费支出决算为0.62万元，全年共接待来访团组9个、来宾65人次，主要是</w:t>
      </w:r>
      <w:r>
        <w:rPr>
          <w:rStyle w:val="peoplefilling"/>
          <w:rFonts w:cs="Tahoma" w:hint="eastAsia"/>
          <w:color w:val="000000"/>
          <w:sz w:val="32"/>
          <w:szCs w:val="32"/>
        </w:rPr>
        <w:t>用于接待上级机关部门指导及乡镇、村交流学习</w:t>
      </w:r>
      <w:r>
        <w:rPr>
          <w:rFonts w:cs="Tahoma" w:hint="eastAsia"/>
          <w:color w:val="000000"/>
          <w:sz w:val="32"/>
          <w:szCs w:val="32"/>
        </w:rPr>
        <w:t>发生的接待支出。</w:t>
      </w:r>
    </w:p>
    <w:p w:rsidR="00574692" w:rsidRDefault="00574692" w:rsidP="00574692">
      <w:pPr>
        <w:pStyle w:val="18"/>
        <w:spacing w:before="0" w:beforeAutospacing="0" w:after="2" w:afterAutospacing="0"/>
        <w:ind w:firstLine="641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hint="eastAsia"/>
          <w:color w:val="000000"/>
          <w:sz w:val="32"/>
          <w:szCs w:val="32"/>
        </w:rPr>
        <w:t>（3）公务用车购置费及运行维护费支出决算为0万元，其中：公务用车购置费0万元。公务用车运行维护费0万元，截至2022年12月31日，我单位开支财政拨款的公务用车保有量为0辆。我单位2022年度无公务用车购置费及运行维护费支出。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Chars="150" w:firstLine="482"/>
      </w:pPr>
      <w:r>
        <w:rPr>
          <w:rFonts w:ascii="楷体_GB2312" w:eastAsia="楷体_GB2312" w:hAnsi="Times New Roman" w:cs="楷体_GB2312"/>
          <w:b/>
          <w:bCs/>
          <w:color w:val="535353"/>
          <w:sz w:val="32"/>
          <w:szCs w:val="32"/>
          <w:shd w:val="clear" w:color="auto" w:fill="FFFFFF"/>
        </w:rPr>
        <w:t>（二）项目支出情况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年区机关事务管理局项目支出年初预算为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支出决算为10万元，主要用于节能环保支出和能源节约利用支出。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Chars="300" w:firstLine="960"/>
      </w:pPr>
      <w:r>
        <w:rPr>
          <w:rFonts w:ascii="黑体" w:eastAsia="黑体" w:cs="黑体" w:hint="eastAsia"/>
          <w:color w:val="535353"/>
          <w:sz w:val="32"/>
          <w:szCs w:val="32"/>
          <w:shd w:val="clear" w:color="auto" w:fill="FFFFFF"/>
        </w:rPr>
        <w:t>三、政府性基金预算支出情况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无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黑体" w:eastAsia="黑体" w:cs="黑体" w:hint="eastAsia"/>
          <w:color w:val="535353"/>
          <w:sz w:val="32"/>
          <w:szCs w:val="32"/>
          <w:shd w:val="clear" w:color="auto" w:fill="FFFFFF"/>
        </w:rPr>
        <w:lastRenderedPageBreak/>
        <w:t>四、国有资本经营预算支出情况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仿宋" w:eastAsia="仿宋" w:hAnsi="仿宋" w:cs="仿宋"/>
          <w:color w:val="535353"/>
          <w:sz w:val="32"/>
          <w:szCs w:val="32"/>
          <w:shd w:val="clear" w:color="auto" w:fill="FFFFFF"/>
        </w:rPr>
        <w:t>无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黑体" w:eastAsia="黑体" w:cs="黑体" w:hint="eastAsia"/>
          <w:color w:val="535353"/>
          <w:sz w:val="32"/>
          <w:szCs w:val="32"/>
          <w:shd w:val="clear" w:color="auto" w:fill="FFFFFF"/>
        </w:rPr>
        <w:t>五、社会保险基金预算支出情况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仿宋" w:eastAsia="仿宋" w:hAnsi="仿宋" w:cs="仿宋" w:hint="eastAsia"/>
          <w:color w:val="535353"/>
          <w:sz w:val="32"/>
          <w:szCs w:val="32"/>
          <w:shd w:val="clear" w:color="auto" w:fill="FFFFFF"/>
        </w:rPr>
        <w:t>无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六、部门整体支出绩效情况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年，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我单位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紧紧围绕区委、区政府的中心工作，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较好地完成了年度工作目标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同时加强预算收支管理，建立健全内部管理制度，严格内部管理流程，部门整体支出绩效总体较好。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1.在预算配置控制方面，财政供养人员控制在预算编制以内，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三公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经费支出总额较上年减少。在预算执行方面，支出总额控制在预算总额以内，本年单位预算未进行预算相关事项的调整，单位预算资金均按规定管理使用。在预算管理方面，制定了切实有效的内部财务、公务接待等内部管理制度，执行总体较好。在严格执行财政有关法律法规的同时，先后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制定了预算资金管理办法，内部财务管理制度、会计核算制度、内部控制制度及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三重一大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事项集体决策制度等专项经费管理制度，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明确了经费审批权限及程序，经费预算管理、财务经费管理、资产购置与处置、财务监督，开展公用经费使用监督和绩效评估，进一步落实厉行节约的各项规定，确保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三公经费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使用合理合规。</w:t>
      </w:r>
    </w:p>
    <w:p w:rsidR="00574692" w:rsidRDefault="00574692" w:rsidP="00574692">
      <w:pPr>
        <w:shd w:val="clear" w:color="auto" w:fill="FFFFFF"/>
        <w:wordWrap w:val="0"/>
        <w:spacing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2.落实中央、省、市、区规定，节约型机关建设扎实推进公务用车有序正常运转。一是做好公务用车建立公务用车数据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lastRenderedPageBreak/>
        <w:t>库。二是结合零陵区实际组建了公务用车服务管理中心，运转正常。</w:t>
      </w:r>
    </w:p>
    <w:p w:rsidR="00574692" w:rsidRDefault="00574692" w:rsidP="00574692">
      <w:pPr>
        <w:shd w:val="clear" w:color="auto" w:fill="FFFFFF"/>
        <w:wordWrap w:val="0"/>
        <w:spacing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3.办公用房整改规范到位。一是继续做好办公用房清理整改。严格控制区直党政机关、领导干部个人办公用房面积，并对已腾退移交的办公用房进行不定期地督查，加大暗访监督力度，防止问题反弹，巩固整改成果。二是提高办公用房使用效益。</w:t>
      </w:r>
    </w:p>
    <w:p w:rsidR="00574692" w:rsidRDefault="00574692" w:rsidP="00574692">
      <w:pPr>
        <w:shd w:val="clear" w:color="auto" w:fill="FFFFFF"/>
        <w:wordWrap w:val="0"/>
        <w:spacing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4.公共机构节能成效明显。超额完成节能产品推广应用任务。广泛开展公共机构节能宣传。组织节能宣传周系列活动，通过电子显示屏、展板、条幅、报纸、网络等载体，今年来，全区公共机构水、电、油同比下降明显，提前完成了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十二五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公共机构节能目标任务。</w:t>
      </w:r>
    </w:p>
    <w:p w:rsidR="00574692" w:rsidRDefault="00574692" w:rsidP="00574692">
      <w:pPr>
        <w:shd w:val="clear" w:color="auto" w:fill="FFFFFF"/>
        <w:wordWrap w:val="0"/>
        <w:spacing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5、综治维稳保障有力。严格大院安全监管，完善安全制度，加强技防、人防、物防三个层次的防控体系建设，层层签订安全责任状，形成群防群治网络，做好日常安全保卫尤其是重大活动期间的安全保卫工作；认真开展安全隐患排查和整改，及时补充、更换监控设备等安保设施和消防器材；以维护稳定为目标，积极配合做好信访维稳工作，截至目前，共协助处置突发性事件、群体性上访事件1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80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批次，协助处置疏导、接待上访人员达1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9000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人次，其中20人以上的群访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62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次，实现了可防性案件的零发案。</w:t>
      </w:r>
    </w:p>
    <w:p w:rsidR="00574692" w:rsidRDefault="00574692" w:rsidP="00574692">
      <w:pPr>
        <w:shd w:val="clear" w:color="auto" w:fill="FFFFFF"/>
        <w:wordWrap w:val="0"/>
        <w:spacing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6、服务、保障质量有效提升。维修维护方面，全年累计大小维修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480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余次，及时、准确完成了202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年度财务决算、票据年审及202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年度的预算编制工作；严格物业监管，餐饮保障、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lastRenderedPageBreak/>
        <w:t>会务服务、大院绿化、卫生保洁水平不断提高，承办各类会议1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420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余次，服务人数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52630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人。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00"/>
      </w:pP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7、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乡村振兴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工作成效明显。根据区委、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区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政府的统一部署，继续挂点服务富家桥镇，全力搞好服务工作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。区机关事务局党组书记、局长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唐九智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同志带领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多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名工作队员深入富家桥镇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灵仙观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村开展行动，期间共召开座谈会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次、走访贫困户4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户、走访非贫困户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22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户、实地察看现场1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处，收到群众反映的问题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个。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认真做好基层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乡村振兴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工作，驻点富家桥镇</w:t>
      </w:r>
      <w:r>
        <w:rPr>
          <w:rFonts w:ascii="仿宋_GB2312" w:eastAsia="仿宋_GB2312" w:hAnsi="微软雅黑" w:cs="仿宋_GB2312" w:hint="eastAsia"/>
          <w:color w:val="000000"/>
          <w:sz w:val="30"/>
          <w:szCs w:val="30"/>
          <w:shd w:val="clear" w:color="auto" w:fill="FFFFFF"/>
        </w:rPr>
        <w:t>灵仙观</w:t>
      </w:r>
      <w:r>
        <w:rPr>
          <w:rFonts w:ascii="仿宋_GB2312" w:eastAsia="仿宋_GB2312" w:hAnsi="微软雅黑" w:cs="仿宋_GB2312"/>
          <w:color w:val="000000"/>
          <w:sz w:val="30"/>
          <w:szCs w:val="30"/>
          <w:shd w:val="clear" w:color="auto" w:fill="FFFFFF"/>
        </w:rPr>
        <w:t>村开展精准扶贫，积极协调落实各类帮扶资金，扶贫工作取得明显成效。</w:t>
      </w:r>
    </w:p>
    <w:p w:rsidR="00574692" w:rsidRDefault="00574692" w:rsidP="00574692">
      <w:pPr>
        <w:pStyle w:val="a3"/>
        <w:spacing w:before="0" w:beforeAutospacing="0" w:after="0" w:afterAutospacing="0" w:line="540" w:lineRule="atLeast"/>
        <w:ind w:firstLine="640"/>
      </w:pPr>
      <w:r>
        <w:rPr>
          <w:rFonts w:ascii="黑体" w:eastAsia="黑体" w:cs="黑体" w:hint="eastAsia"/>
          <w:color w:val="535353"/>
          <w:sz w:val="32"/>
          <w:szCs w:val="32"/>
          <w:shd w:val="clear" w:color="auto" w:fill="FFFFFF"/>
        </w:rPr>
        <w:t>七、存在的问题及原因分析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年我单位年初预算数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909.09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万元，执行数为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944.82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万元，增加城乡社会支出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35.73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万元，主要原因在于临时人员工资、养老保险预算偏低，机关大院成立时间久，设备设施陈旧需要更新修补的地方多。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八、下一步改进措施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不断提高编制预算的意识，严格按照预算编制的相关制度和要求以及下一年度的工作计划，细化编制部门预算，提高预算编制的科学性、合理性、严谨性。</w:t>
      </w:r>
    </w:p>
    <w:p w:rsidR="00574692" w:rsidRDefault="00574692" w:rsidP="00574692">
      <w:pPr>
        <w:spacing w:line="540" w:lineRule="atLeast"/>
        <w:ind w:firstLine="640"/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九、绩效自评结果拟应用和公开情况</w:t>
      </w:r>
    </w:p>
    <w:p w:rsidR="00574692" w:rsidRDefault="00574692" w:rsidP="00574692">
      <w:pPr>
        <w:spacing w:line="540" w:lineRule="atLeast"/>
        <w:ind w:firstLine="640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我单位部门整体支出绩效总体较好，各项目标基本达到了相应时期执行进度，专项经费按预算实施，使财政收支预算执行都得了较好的制度保障和实施效果。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进一步建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lastRenderedPageBreak/>
        <w:t>立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健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全绩效评价相关的规章制度，要不断加强绩效评价工作的管理水平，建立专门的绩效评价机构，制定科学的绩效评价方法。有效提升单位的实际工作效率，并在此基础上，进一步提升对单位财政资金的管理和监督，加强对资金的使用效率和效果的重视。</w:t>
      </w:r>
    </w:p>
    <w:p w:rsidR="00574692" w:rsidRDefault="00574692" w:rsidP="00574692">
      <w:pPr>
        <w:spacing w:line="540" w:lineRule="atLeast"/>
        <w:ind w:firstLine="640"/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我局2022年部门整体支出绩效评价结果为100分，零陵区机关事务局无门户网站，请零陵区财政局</w:t>
      </w:r>
      <w:r>
        <w:rPr>
          <w:rFonts w:ascii="仿宋_GB2312" w:eastAsia="仿宋_GB2312" w:hAnsi="微软雅黑" w:cs="仿宋_GB2312" w:hint="eastAsia"/>
          <w:color w:val="535353"/>
          <w:sz w:val="32"/>
          <w:szCs w:val="32"/>
          <w:shd w:val="clear" w:color="auto" w:fill="FFFFFF"/>
        </w:rPr>
        <w:t>代为</w:t>
      </w:r>
      <w:r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  <w:t>公开。</w:t>
      </w:r>
    </w:p>
    <w:p w:rsidR="00574692" w:rsidRDefault="00574692" w:rsidP="00574692">
      <w:pPr>
        <w:spacing w:line="540" w:lineRule="atLeast"/>
        <w:ind w:firstLine="640"/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十、其他需要说明的情况</w:t>
      </w:r>
    </w:p>
    <w:p w:rsidR="00574692" w:rsidRDefault="00574692" w:rsidP="00574692">
      <w:pPr>
        <w:spacing w:line="540" w:lineRule="atLeast"/>
        <w:ind w:firstLineChars="200" w:firstLine="640"/>
        <w:rPr>
          <w:rFonts w:ascii="仿宋_GB2312" w:eastAsia="仿宋_GB2312" w:hAnsi="微软雅黑" w:cs="仿宋_GB2312"/>
          <w:color w:val="535353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535353"/>
          <w:sz w:val="32"/>
          <w:szCs w:val="32"/>
          <w:shd w:val="clear" w:color="auto" w:fill="FFFFFF"/>
        </w:rPr>
        <w:t>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979EB"/>
    <w:rsid w:val="003D37D8"/>
    <w:rsid w:val="00426133"/>
    <w:rsid w:val="004358AB"/>
    <w:rsid w:val="0057469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46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8">
    <w:name w:val="18"/>
    <w:basedOn w:val="a"/>
    <w:rsid w:val="005746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peoplefilling">
    <w:name w:val="peoplefilling"/>
    <w:basedOn w:val="a0"/>
    <w:rsid w:val="00574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2023-09-11T00:57:00Z</dcterms:modified>
</cp:coreProperties>
</file>