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5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95"/>
        <w:gridCol w:w="1252"/>
        <w:gridCol w:w="1114"/>
        <w:gridCol w:w="95"/>
        <w:gridCol w:w="1200"/>
        <w:gridCol w:w="1134"/>
        <w:gridCol w:w="709"/>
        <w:gridCol w:w="898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243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零陵产业开发区管理委员会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预算数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全年预算数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执行数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分值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执行率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年度资金总额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344.28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3165.19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3165.19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按收入性质分：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Cs w:val="21"/>
                <w:highlight w:val="none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3105.44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eastAsia="仿宋_GB2312"/>
                <w:color w:val="auto"/>
                <w:kern w:val="0"/>
                <w:szCs w:val="21"/>
                <w:highlight w:val="none"/>
              </w:rPr>
              <w:t>其中：基本支出：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lang w:val="en-US" w:eastAsia="zh-CN"/>
              </w:rPr>
              <w:t>449.87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default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59.75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eastAsia="仿宋_GB2312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eastAsia="仿宋_GB2312"/>
                <w:color w:val="auto"/>
                <w:kern w:val="0"/>
                <w:szCs w:val="21"/>
                <w:highlight w:val="none"/>
              </w:rPr>
              <w:t>项目支出：</w:t>
            </w:r>
            <w:r>
              <w:rPr>
                <w:rFonts w:hint="eastAsia" w:eastAsia="仿宋_GB2312"/>
                <w:color w:val="auto"/>
                <w:kern w:val="0"/>
                <w:szCs w:val="21"/>
                <w:highlight w:val="none"/>
                <w:lang w:val="en-US" w:eastAsia="zh-CN"/>
              </w:rPr>
              <w:t>2715.32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纳入专户管理的非税收入拨款：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hint="default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其他资金：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Cs w:val="21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5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、完成上级交办的工作任务；2、园区规模工业总产值增长30%及以上；3、园区规模工业实缴税收3亿元；4、新入统规模企业20家以上；5、新签约工业项目30个以上，新开工项目20个以上，新竣工投产项目16个及以上。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18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较好地完成了预期目标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，详见《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年度整体支出绩效自评报告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》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5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税收3亿元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3亿元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3.6亿元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新入统规模企业20家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20家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新签约工业项目30个及以上，新开工项目20个及以上，新竣工投产项目16个及以上。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增加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增加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企业收入相应增加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spacing w:val="-20"/>
                <w:kern w:val="0"/>
                <w:sz w:val="21"/>
                <w:szCs w:val="21"/>
                <w:lang w:val="en-US" w:eastAsia="zh-CN" w:bidi="ar-SA"/>
              </w:rPr>
              <w:t>增加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增加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spacing w:val="-2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371"/>
              </w:tabs>
              <w:jc w:val="left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ab/>
              <w:t>提供就业岗位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1500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1660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生态环境保护程度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98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98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spacing w:val="-2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本部门可持续正常运转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持续正常运转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持续正常运转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spacing w:val="-2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000000"/>
                <w:spacing w:val="-2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企业满意度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%及以上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%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70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Cs w:val="21"/>
                <w:highlight w:val="none"/>
              </w:rPr>
              <w:t>总分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Cs w:val="21"/>
                <w:highlight w:val="none"/>
              </w:rPr>
              <w:t>100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Cs w:val="21"/>
                <w:highlight w:val="none"/>
              </w:rPr>
              <w:t>　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jc w:val="center"/>
        <w:rPr>
          <w:rFonts w:hint="eastAsia" w:eastAsia="方正小标宋_GBK"/>
          <w:sz w:val="48"/>
          <w:szCs w:val="48"/>
          <w:lang w:val="en-US" w:eastAsia="zh-CN"/>
        </w:rPr>
      </w:pP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2022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eastAsia="zh-CN"/>
        </w:rPr>
        <w:t>零陵区</w:t>
      </w:r>
      <w:r>
        <w:rPr>
          <w:rFonts w:hint="eastAsia" w:eastAsia="方正小标宋_GBK"/>
          <w:sz w:val="48"/>
          <w:szCs w:val="48"/>
          <w:lang w:val="en-US" w:eastAsia="zh-CN"/>
        </w:rPr>
        <w:t>产业开发区管理委员会</w:t>
      </w:r>
      <w:r>
        <w:rPr>
          <w:rFonts w:eastAsia="方正小标宋_GBK"/>
          <w:sz w:val="48"/>
          <w:szCs w:val="48"/>
        </w:rPr>
        <w:t>整体支出绩效自评报告</w:t>
      </w: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720" w:firstLineChars="200"/>
        <w:jc w:val="center"/>
        <w:rPr>
          <w:rFonts w:hint="default" w:eastAsia="黑体"/>
          <w:sz w:val="36"/>
          <w:szCs w:val="36"/>
          <w:lang w:val="en-US" w:eastAsia="zh-CN"/>
        </w:rPr>
      </w:pPr>
      <w:r>
        <w:rPr>
          <w:rFonts w:eastAsia="黑体"/>
          <w:sz w:val="36"/>
          <w:szCs w:val="36"/>
        </w:rPr>
        <w:t>单位名称（盖章）：</w:t>
      </w:r>
      <w:r>
        <w:rPr>
          <w:rFonts w:hint="eastAsia" w:eastAsia="黑体"/>
          <w:sz w:val="36"/>
          <w:szCs w:val="36"/>
          <w:lang w:val="en-US" w:eastAsia="zh-CN"/>
        </w:rPr>
        <w:t>零陵产业开发区管理委员会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AndChars" w:linePitch="312" w:charSpace="0"/>
        </w:sectPr>
      </w:pPr>
    </w:p>
    <w:p>
      <w:pPr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单位基本情况</w:t>
      </w:r>
    </w:p>
    <w:p>
      <w:pPr>
        <w:numPr>
          <w:ilvl w:val="0"/>
          <w:numId w:val="3"/>
        </w:numPr>
        <w:bidi w:val="0"/>
        <w:ind w:left="481" w:leftChars="0" w:firstLine="0"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主要</w:t>
      </w:r>
      <w:r>
        <w:rPr>
          <w:rFonts w:hint="eastAsia" w:ascii="仿宋" w:hAnsi="仿宋" w:eastAsia="仿宋" w:cs="仿宋"/>
          <w:b/>
          <w:sz w:val="32"/>
          <w:szCs w:val="32"/>
        </w:rPr>
        <w:t>职能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（1）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招商引资。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" w:afterAutospacing="0"/>
        <w:ind w:right="0" w:firstLine="640" w:firstLineChars="20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（2）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征地拆迁及土地报批。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）项目服务。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1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）承办区委区政府交办的其他事项。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3"/>
        </w:numPr>
        <w:spacing w:line="600" w:lineRule="exact"/>
        <w:ind w:left="481" w:leftChars="0" w:firstLine="0"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机</w:t>
      </w:r>
      <w:r>
        <w:rPr>
          <w:rFonts w:hint="eastAsia" w:ascii="仿宋" w:hAnsi="仿宋" w:eastAsia="仿宋" w:cs="仿宋"/>
          <w:b/>
          <w:sz w:val="32"/>
          <w:szCs w:val="32"/>
        </w:rPr>
        <w:t>构设置</w:t>
      </w:r>
    </w:p>
    <w:p>
      <w:pPr>
        <w:pStyle w:val="2"/>
        <w:numPr>
          <w:numId w:val="0"/>
        </w:numPr>
        <w:ind w:left="481" w:leftChars="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零陵工业园区管理委员会内设机构包括：内设股室6个，分别为办公室（行政审批服务局）、党群工作局、招商合作和产业发展局、开发建设和应急管理生态环境局、园区运营和投融资服务局、纪（监）工委。企业服务中心。本部门共有编制人数37人,实有人数38人,其中:在岗人员37人,停薪留职人员0人,离退休人员1人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3、人员编制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本部门核定编制数37人，全额编制37人，2022年底实有人数38人，其中：在职人员37人，离休人员0人，退休人员1人。</w:t>
      </w:r>
    </w:p>
    <w:p>
      <w:pPr>
        <w:spacing w:line="600" w:lineRule="exact"/>
        <w:ind w:firstLine="640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（二）单位年度整体支出绩效目标</w:t>
      </w:r>
      <w:r>
        <w:rPr>
          <w:rFonts w:hint="eastAsia" w:eastAsia="楷体_GB2312"/>
          <w:b/>
          <w:sz w:val="32"/>
          <w:szCs w:val="32"/>
          <w:lang w:val="en-US" w:eastAsia="zh-CN"/>
        </w:rPr>
        <w:t>及</w:t>
      </w:r>
      <w:r>
        <w:rPr>
          <w:rFonts w:hint="eastAsia" w:eastAsia="楷体_GB2312"/>
          <w:b/>
          <w:sz w:val="32"/>
          <w:szCs w:val="32"/>
          <w:lang w:eastAsia="zh-CN"/>
        </w:rPr>
        <w:t>区</w:t>
      </w:r>
      <w:r>
        <w:rPr>
          <w:rFonts w:eastAsia="楷体_GB2312"/>
          <w:b/>
          <w:sz w:val="32"/>
          <w:szCs w:val="32"/>
        </w:rPr>
        <w:t>级专项资金绩效目标</w:t>
      </w:r>
    </w:p>
    <w:p>
      <w:pPr>
        <w:widowControl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）完成上级交办的工作任务；2）园区规模工业总产值增长30%及以上；3）园区规模工业实缴税收3亿元；4）新入统规模企业20家以上；5）新签约工业项目30个以上，新开工项目20个以上，新竣工投产项目16个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8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8"/>
        <w:spacing w:line="600" w:lineRule="exact"/>
        <w:ind w:firstLine="64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2022年度预算总支出344.28万元，其中：基本支出344.28万元，项目支出0万元。2022年实际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TW" w:eastAsia="zh-TW"/>
        </w:rPr>
        <w:t>财政拨款收入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3165.19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TW" w:eastAsia="zh-TW"/>
        </w:rPr>
        <w:t>万元，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财政拨款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TW" w:eastAsia="zh-TW"/>
        </w:rPr>
        <w:t>基本支出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449.87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TW" w:eastAsia="zh-TW"/>
        </w:rPr>
        <w:t>万元，其中：人员经费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418.52万元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TW" w:eastAsia="zh-TW"/>
        </w:rPr>
        <w:t>，包括：基本工资、津贴补贴、奖金、社会保险缴费、其他工资福利支出、生活补助、奖励金、其他对个人和家庭的补助支出；公用经费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26.46万元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TW" w:eastAsia="zh-TW"/>
        </w:rPr>
        <w:t>，主要包括：办公费、印刷费、手续费、邮电费、差旅费、维修（护）费、会议费、培训费、公务接待费、劳务费、工会经费、其他商品和服务支出、办公设备购置、信息网络及软件购置更新。</w:t>
      </w:r>
    </w:p>
    <w:p>
      <w:pPr>
        <w:pStyle w:val="8"/>
        <w:spacing w:line="600" w:lineRule="exact"/>
        <w:ind w:firstLine="640"/>
        <w:rPr>
          <w:rFonts w:hint="eastAsia" w:eastAsia="楷体_GB2312"/>
          <w:b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</w:t>
      </w:r>
      <w:r>
        <w:rPr>
          <w:rFonts w:hint="eastAsia" w:eastAsia="楷体_GB2312"/>
          <w:b/>
          <w:sz w:val="32"/>
          <w:szCs w:val="32"/>
          <w:lang w:val="en-US" w:eastAsia="zh-CN"/>
        </w:rPr>
        <w:t>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2022年项目支出年初批复预算总数0万元，总共0个项目。全年实际项目支出2655.58万元，主要用于征地的补偿、对企业的补助等支出。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Theme="minorEastAsia" w:hAnsiTheme="minorEastAsia"/>
          <w:bCs/>
          <w:kern w:val="0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三、政府性基金预算支出情况</w:t>
      </w:r>
    </w:p>
    <w:p>
      <w:pPr>
        <w:pStyle w:val="8"/>
        <w:spacing w:line="600" w:lineRule="exact"/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2022年初安排政府性基金预算0元，2022年实际安排政府性基金预算财政拨款59.75万元，主要用于征地拆迁补偿的相关支出。</w:t>
      </w:r>
    </w:p>
    <w:p>
      <w:pPr>
        <w:pStyle w:val="8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</w:p>
    <w:p>
      <w:pPr>
        <w:ind w:firstLine="640" w:firstLineChars="200"/>
        <w:rPr>
          <w:rFonts w:ascii="Arial" w:hAnsi="Arial" w:cs="Arial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p>
      <w:pPr>
        <w:pStyle w:val="8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widowControl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、完成了上级交办的各项工作任务；2、园区规模工业实缴税收3亿元；3、新入统规模企业20家以上；4、新签约工业项目30个以上，新开工项目20个以上，新竣工投产项目16个及以上。5、园区内企业提供了就业岗位1660个。</w:t>
      </w:r>
    </w:p>
    <w:p>
      <w:pPr>
        <w:pStyle w:val="8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pStyle w:val="8"/>
        <w:spacing w:line="600" w:lineRule="exact"/>
        <w:ind w:firstLine="64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、在资金方面，因园区体量大，所需建设资金多，目前主要建设资金依靠城建投和财政投入，受防范化解政府债务影响，园区建设资金缺口较大；2、在用地方面，受建设用地指标整体规划的影响，土地供需矛盾突出；3、缺乏预算绩效目标管理长效机制。主要原因是不够重视绩效目标管理工作，未建立专门的绩效目标管理队伍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科学编制预算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不断提高科学编制预算的意识，严格按照预算编制的相关制度和要求以及下一年度的工作计划，细化编制部门预算，提高预算编制的科学性、合理性、严谨性。</w:t>
      </w:r>
    </w:p>
    <w:p>
      <w:pPr>
        <w:pStyle w:val="8"/>
        <w:spacing w:line="600" w:lineRule="exact"/>
        <w:ind w:firstLine="64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2、建立长效机制。重点抓好绩效目标管理工作，培养绩效管理队伍，建立绩效目标管理长效机制。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>
      <w:pPr>
        <w:spacing w:line="600" w:lineRule="exact"/>
        <w:ind w:firstLine="640" w:firstLineChars="200"/>
      </w:pPr>
      <w:r>
        <w:rPr>
          <w:rFonts w:hint="eastAsia" w:ascii="仿宋_GB2312" w:hAnsi="仿宋" w:eastAsia="仿宋_GB2312"/>
          <w:sz w:val="32"/>
          <w:szCs w:val="32"/>
        </w:rPr>
        <w:t>因本单位没有门户网站，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请</w:t>
      </w:r>
      <w:r>
        <w:rPr>
          <w:rFonts w:hint="eastAsia" w:ascii="仿宋_GB2312" w:hAnsi="仿宋" w:eastAsia="仿宋_GB2312"/>
          <w:sz w:val="32"/>
          <w:szCs w:val="32"/>
        </w:rPr>
        <w:t>财政代为公开。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p>
      <w:pPr>
        <w:pStyle w:val="2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零陵区产业开发区管理委员会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2023年2月21日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righ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AndChars" w:linePitch="312" w:charSpace="0"/>
        </w:sect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0EC66C"/>
    <w:multiLevelType w:val="singleLevel"/>
    <w:tmpl w:val="9C0EC66C"/>
    <w:lvl w:ilvl="0" w:tentative="0">
      <w:start w:val="1"/>
      <w:numFmt w:val="decimal"/>
      <w:suff w:val="nothing"/>
      <w:lvlText w:val="%1、"/>
      <w:lvlJc w:val="left"/>
      <w:pPr>
        <w:ind w:left="481" w:leftChars="0" w:firstLine="0" w:firstLineChars="0"/>
      </w:pPr>
    </w:lvl>
  </w:abstractNum>
  <w:abstractNum w:abstractNumId="1">
    <w:nsid w:val="0195652A"/>
    <w:multiLevelType w:val="multilevel"/>
    <w:tmpl w:val="0195652A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">
    <w:nsid w:val="478C05A6"/>
    <w:multiLevelType w:val="singleLevel"/>
    <w:tmpl w:val="478C05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YjQzZjcxYjE2NjdjZDc2NjEzNWE0M2YzMjdmNTQifQ=="/>
  </w:docVars>
  <w:rsids>
    <w:rsidRoot w:val="05E56ED2"/>
    <w:rsid w:val="05E56ED2"/>
    <w:rsid w:val="0986139E"/>
    <w:rsid w:val="1D04432C"/>
    <w:rsid w:val="25DB7581"/>
    <w:rsid w:val="2A733C14"/>
    <w:rsid w:val="419950AB"/>
    <w:rsid w:val="4ED07440"/>
    <w:rsid w:val="600070C8"/>
    <w:rsid w:val="66892E15"/>
    <w:rsid w:val="7F6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cs="宋体"/>
      <w:kern w:val="0"/>
      <w:sz w:val="24"/>
      <w:lang w:bidi="ar-SA"/>
    </w:rPr>
  </w:style>
  <w:style w:type="paragraph" w:styleId="4">
    <w:name w:val="Normal (Web)"/>
    <w:basedOn w:val="1"/>
    <w:uiPriority w:val="0"/>
    <w:rPr>
      <w:sz w:val="24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2023-10-10T02:41:00Z</dcterms:created>
  <dc:creator>1</dc:creator>
  <cp:lastModifiedBy>1</cp:lastModifiedBy>
  <dcterms:modified xsi:type="dcterms:W3CDTF">2023-10-10T04:06:36Z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DB95A132BA1B4EC2B9BD1EC6DE04961F_11</vt:lpwstr>
  </property>
</Properties>
</file>