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F7" w:rsidRDefault="009D52F7">
      <w:pPr>
        <w:spacing w:line="360" w:lineRule="exact"/>
        <w:rPr>
          <w:rFonts w:eastAsia="黑体"/>
          <w:sz w:val="32"/>
          <w:szCs w:val="32"/>
        </w:rPr>
      </w:pPr>
    </w:p>
    <w:p w:rsidR="00C9480A" w:rsidRDefault="00C9480A">
      <w:pPr>
        <w:spacing w:line="3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C9480A" w:rsidRDefault="00C9480A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:rsidR="00C9480A" w:rsidRDefault="00C9480A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eastAsia="仿宋_GB2312" w:hint="eastAsia"/>
          <w:color w:val="000000"/>
          <w:kern w:val="0"/>
          <w:szCs w:val="21"/>
        </w:rPr>
        <w:t>202</w:t>
      </w:r>
      <w:r w:rsidR="00A37223">
        <w:rPr>
          <w:rFonts w:eastAsia="仿宋_GB2312" w:hint="eastAsia"/>
          <w:color w:val="000000"/>
          <w:kern w:val="0"/>
          <w:szCs w:val="21"/>
        </w:rPr>
        <w:t>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395"/>
        <w:gridCol w:w="987"/>
        <w:gridCol w:w="1379"/>
        <w:gridCol w:w="95"/>
        <w:gridCol w:w="1219"/>
        <w:gridCol w:w="1276"/>
        <w:gridCol w:w="548"/>
        <w:gridCol w:w="898"/>
        <w:gridCol w:w="1446"/>
      </w:tblGrid>
      <w:tr w:rsidR="00C9480A" w:rsidTr="00F90912">
        <w:trPr>
          <w:trHeight w:val="340"/>
          <w:jc w:val="center"/>
        </w:trPr>
        <w:tc>
          <w:tcPr>
            <w:tcW w:w="1080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243" w:type="dxa"/>
            <w:gridSpan w:val="9"/>
            <w:vAlign w:val="center"/>
          </w:tcPr>
          <w:p w:rsidR="00C9480A" w:rsidRDefault="00621F3B" w:rsidP="00621F3B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中共永州市零陵区委政法委员会</w:t>
            </w:r>
            <w:r w:rsidR="00C9480A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  <w:r>
              <w:rPr>
                <w:rFonts w:eastAsia="仿宋_GB2312"/>
                <w:color w:val="000000"/>
                <w:kern w:val="0"/>
                <w:szCs w:val="21"/>
              </w:rPr>
              <w:br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382" w:type="dxa"/>
            <w:gridSpan w:val="2"/>
            <w:vAlign w:val="center"/>
          </w:tcPr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314" w:type="dxa"/>
            <w:gridSpan w:val="2"/>
            <w:vAlign w:val="center"/>
          </w:tcPr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276" w:type="dxa"/>
            <w:vAlign w:val="center"/>
          </w:tcPr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548" w:type="dxa"/>
            <w:vAlign w:val="center"/>
          </w:tcPr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379" w:type="dxa"/>
            <w:vAlign w:val="center"/>
          </w:tcPr>
          <w:p w:rsidR="00C9480A" w:rsidRDefault="00A372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743.49</w:t>
            </w:r>
          </w:p>
        </w:tc>
        <w:tc>
          <w:tcPr>
            <w:tcW w:w="1314" w:type="dxa"/>
            <w:gridSpan w:val="2"/>
            <w:vAlign w:val="center"/>
          </w:tcPr>
          <w:p w:rsidR="00C9480A" w:rsidRDefault="00A37223" w:rsidP="00A372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743.49</w:t>
            </w:r>
          </w:p>
        </w:tc>
        <w:tc>
          <w:tcPr>
            <w:tcW w:w="1276" w:type="dxa"/>
            <w:vAlign w:val="center"/>
          </w:tcPr>
          <w:p w:rsidR="00C9480A" w:rsidRDefault="00A372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743.49</w:t>
            </w:r>
          </w:p>
        </w:tc>
        <w:tc>
          <w:tcPr>
            <w:tcW w:w="548" w:type="dxa"/>
            <w:vAlign w:val="center"/>
          </w:tcPr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C9480A" w:rsidRDefault="00621F3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 w:rsidR="00C9480A" w:rsidRDefault="00621F3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75" w:type="dxa"/>
            <w:gridSpan w:val="5"/>
            <w:vAlign w:val="center"/>
          </w:tcPr>
          <w:p w:rsidR="00C9480A" w:rsidRDefault="00C9480A" w:rsidP="00A372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  <w:r w:rsidR="00A37223">
              <w:rPr>
                <w:rFonts w:eastAsia="仿宋_GB2312" w:hint="eastAsia"/>
                <w:szCs w:val="21"/>
              </w:rPr>
              <w:t>743.49</w:t>
            </w:r>
          </w:p>
        </w:tc>
        <w:tc>
          <w:tcPr>
            <w:tcW w:w="4168" w:type="dxa"/>
            <w:gridSpan w:val="4"/>
            <w:vAlign w:val="center"/>
          </w:tcPr>
          <w:p w:rsidR="00C9480A" w:rsidRDefault="00C9480A" w:rsidP="00A372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  <w:r w:rsidR="00A37223">
              <w:rPr>
                <w:rFonts w:eastAsia="仿宋_GB2312" w:hint="eastAsia"/>
                <w:szCs w:val="21"/>
              </w:rPr>
              <w:t>743.49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75" w:type="dxa"/>
            <w:gridSpan w:val="5"/>
            <w:vAlign w:val="center"/>
          </w:tcPr>
          <w:p w:rsidR="00C9480A" w:rsidRDefault="00C9480A" w:rsidP="00A372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其中：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一般公共预算：</w:t>
            </w:r>
            <w:r w:rsidR="00A37223">
              <w:rPr>
                <w:rFonts w:eastAsia="仿宋_GB2312" w:hint="eastAsia"/>
                <w:szCs w:val="21"/>
              </w:rPr>
              <w:t>585.58</w:t>
            </w:r>
          </w:p>
        </w:tc>
        <w:tc>
          <w:tcPr>
            <w:tcW w:w="4168" w:type="dxa"/>
            <w:gridSpan w:val="4"/>
            <w:vAlign w:val="center"/>
          </w:tcPr>
          <w:p w:rsidR="00C9480A" w:rsidRDefault="00C9480A" w:rsidP="00A372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 w:rsidR="00A37223">
              <w:rPr>
                <w:rFonts w:eastAsia="仿宋_GB2312" w:hint="eastAsia"/>
                <w:szCs w:val="21"/>
              </w:rPr>
              <w:t>743.49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75" w:type="dxa"/>
            <w:gridSpan w:val="5"/>
            <w:vAlign w:val="center"/>
          </w:tcPr>
          <w:p w:rsidR="00C9480A" w:rsidRDefault="00C9480A">
            <w:pPr>
              <w:widowControl/>
              <w:ind w:firstLineChars="400" w:firstLine="84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168" w:type="dxa"/>
            <w:gridSpan w:val="4"/>
            <w:vAlign w:val="center"/>
          </w:tcPr>
          <w:p w:rsidR="00C9480A" w:rsidRDefault="00C9480A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75" w:type="dxa"/>
            <w:gridSpan w:val="5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168" w:type="dxa"/>
            <w:gridSpan w:val="4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75" w:type="dxa"/>
            <w:gridSpan w:val="5"/>
            <w:vAlign w:val="center"/>
          </w:tcPr>
          <w:p w:rsidR="00C9480A" w:rsidRDefault="00C9480A">
            <w:pPr>
              <w:widowControl/>
              <w:ind w:firstLineChars="700" w:firstLine="147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  <w:r w:rsidR="00A37223">
              <w:rPr>
                <w:rFonts w:eastAsia="仿宋_GB2312" w:hint="eastAsia"/>
                <w:color w:val="000000"/>
                <w:kern w:val="0"/>
                <w:szCs w:val="21"/>
              </w:rPr>
              <w:t>157.91</w:t>
            </w:r>
          </w:p>
        </w:tc>
        <w:tc>
          <w:tcPr>
            <w:tcW w:w="4168" w:type="dxa"/>
            <w:gridSpan w:val="4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75" w:type="dxa"/>
            <w:gridSpan w:val="5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68" w:type="dxa"/>
            <w:gridSpan w:val="4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C9480A" w:rsidTr="00F6562E">
        <w:trPr>
          <w:trHeight w:val="525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75" w:type="dxa"/>
            <w:gridSpan w:val="5"/>
            <w:vAlign w:val="center"/>
          </w:tcPr>
          <w:p w:rsidR="00C9480A" w:rsidRDefault="00165BB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165BB0">
              <w:rPr>
                <w:rFonts w:eastAsia="仿宋_GB2312" w:hint="eastAsia"/>
                <w:color w:val="000000"/>
                <w:kern w:val="0"/>
                <w:szCs w:val="21"/>
              </w:rPr>
              <w:t>加大平安创建力度，深入开展扫黑除恶专项斗争，加强执法监督工作，提升执法办案水平。</w:t>
            </w:r>
            <w:r w:rsidR="00C9480A">
              <w:rPr>
                <w:rFonts w:eastAsia="仿宋_GB2312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4168" w:type="dxa"/>
            <w:gridSpan w:val="4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165BB0">
              <w:rPr>
                <w:rFonts w:eastAsia="仿宋_GB2312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C9480A" w:rsidTr="00F6562E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395" w:type="dxa"/>
            <w:vAlign w:val="center"/>
          </w:tcPr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87" w:type="dxa"/>
            <w:vAlign w:val="center"/>
          </w:tcPr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474" w:type="dxa"/>
            <w:gridSpan w:val="2"/>
            <w:vAlign w:val="center"/>
          </w:tcPr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19" w:type="dxa"/>
            <w:vAlign w:val="center"/>
          </w:tcPr>
          <w:p w:rsidR="00C9480A" w:rsidRDefault="00C9480A" w:rsidP="005A6B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:rsidR="00C9480A" w:rsidRDefault="00C9480A" w:rsidP="005A6B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76" w:type="dxa"/>
            <w:vAlign w:val="center"/>
          </w:tcPr>
          <w:p w:rsidR="00C9480A" w:rsidRDefault="00C9480A" w:rsidP="005A6B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:rsidR="00C9480A" w:rsidRDefault="00C9480A" w:rsidP="005A6B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548" w:type="dxa"/>
            <w:vAlign w:val="center"/>
          </w:tcPr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87" w:type="dxa"/>
            <w:vMerge w:val="restart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74" w:type="dxa"/>
            <w:gridSpan w:val="2"/>
            <w:vAlign w:val="center"/>
          </w:tcPr>
          <w:p w:rsidR="00C9480A" w:rsidRDefault="00165BB0" w:rsidP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165BB0">
              <w:rPr>
                <w:rFonts w:eastAsia="仿宋_GB2312" w:hint="eastAsia"/>
                <w:color w:val="000000"/>
                <w:kern w:val="0"/>
                <w:szCs w:val="21"/>
              </w:rPr>
              <w:t>开展扫黑除恶宣传</w:t>
            </w:r>
            <w:r w:rsidR="00F90912" w:rsidRPr="00165BB0">
              <w:rPr>
                <w:rFonts w:eastAsia="仿宋_GB2312" w:hint="eastAsia"/>
                <w:color w:val="000000"/>
                <w:kern w:val="0"/>
                <w:szCs w:val="21"/>
              </w:rPr>
              <w:t>≥</w:t>
            </w:r>
            <w:r w:rsidR="00F9091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 w:rsidR="00F90912"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  <w:r w:rsidRPr="00165BB0">
              <w:rPr>
                <w:rFonts w:eastAsia="仿宋_GB2312" w:hint="eastAsia"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C9480A" w:rsidRDefault="00F9091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76" w:type="dxa"/>
            <w:vAlign w:val="center"/>
          </w:tcPr>
          <w:p w:rsidR="00C9480A" w:rsidRDefault="00165BB0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 w:rsidR="00F90912">
              <w:rPr>
                <w:rFonts w:eastAsia="仿宋_GB2312" w:hint="eastAsia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548" w:type="dxa"/>
            <w:vAlign w:val="center"/>
          </w:tcPr>
          <w:p w:rsidR="00C9480A" w:rsidRDefault="009021EF" w:rsidP="009021E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98" w:type="dxa"/>
            <w:vAlign w:val="center"/>
          </w:tcPr>
          <w:p w:rsidR="00C9480A" w:rsidRDefault="00C9480A" w:rsidP="009021E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9021EF"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46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9480A" w:rsidRDefault="00C9480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19" w:type="dxa"/>
            <w:vAlign w:val="center"/>
          </w:tcPr>
          <w:p w:rsidR="00C9480A" w:rsidRDefault="00C9480A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9480A" w:rsidRDefault="00C9480A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9480A" w:rsidRDefault="00C9480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74" w:type="dxa"/>
            <w:gridSpan w:val="2"/>
            <w:vAlign w:val="center"/>
          </w:tcPr>
          <w:p w:rsidR="00C9480A" w:rsidRDefault="00165BB0" w:rsidP="00165BB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零陵区黑恶势力</w:t>
            </w:r>
            <w:r w:rsidR="009021EF">
              <w:rPr>
                <w:rFonts w:eastAsia="仿宋_GB2312" w:hint="eastAsia"/>
                <w:color w:val="000000"/>
                <w:kern w:val="0"/>
                <w:szCs w:val="21"/>
              </w:rPr>
              <w:t>减少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数量</w:t>
            </w:r>
            <w:r w:rsidR="00F90912"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F90912" w:rsidRPr="00165BB0">
              <w:rPr>
                <w:rFonts w:eastAsia="仿宋_GB2312" w:hint="eastAsia"/>
                <w:color w:val="000000"/>
                <w:kern w:val="0"/>
                <w:szCs w:val="21"/>
              </w:rPr>
              <w:t>≥</w:t>
            </w:r>
            <w:r w:rsidR="00F9091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 w:rsidR="00F90912">
              <w:rPr>
                <w:rFonts w:eastAsia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19" w:type="dxa"/>
            <w:vAlign w:val="center"/>
          </w:tcPr>
          <w:p w:rsidR="00C9480A" w:rsidRDefault="00F9091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76" w:type="dxa"/>
            <w:vAlign w:val="center"/>
          </w:tcPr>
          <w:p w:rsidR="00C9480A" w:rsidRDefault="00F9091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48" w:type="dxa"/>
            <w:vAlign w:val="center"/>
          </w:tcPr>
          <w:p w:rsidR="00C9480A" w:rsidRDefault="009021E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9021EF"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9480A" w:rsidRDefault="00C9480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19" w:type="dxa"/>
            <w:vAlign w:val="center"/>
          </w:tcPr>
          <w:p w:rsidR="00C9480A" w:rsidRDefault="00C9480A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9480A" w:rsidRDefault="00C9480A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9480A" w:rsidRDefault="00C9480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74" w:type="dxa"/>
            <w:gridSpan w:val="2"/>
            <w:vAlign w:val="center"/>
          </w:tcPr>
          <w:p w:rsidR="00C9480A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按时</w:t>
            </w:r>
            <w:r w:rsidR="009021EF">
              <w:rPr>
                <w:rFonts w:eastAsia="仿宋_GB2312" w:hint="eastAsia"/>
                <w:color w:val="000000"/>
                <w:kern w:val="0"/>
                <w:szCs w:val="21"/>
              </w:rPr>
              <w:t>完成扫黑工作</w:t>
            </w:r>
          </w:p>
        </w:tc>
        <w:tc>
          <w:tcPr>
            <w:tcW w:w="1219" w:type="dxa"/>
            <w:vAlign w:val="center"/>
          </w:tcPr>
          <w:p w:rsidR="00C9480A" w:rsidRDefault="009021EF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76" w:type="dxa"/>
            <w:vAlign w:val="center"/>
          </w:tcPr>
          <w:p w:rsidR="00C9480A" w:rsidRDefault="00F9091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4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9021EF"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9021EF"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9480A" w:rsidRDefault="00C9480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19" w:type="dxa"/>
            <w:vAlign w:val="center"/>
          </w:tcPr>
          <w:p w:rsidR="00C9480A" w:rsidRDefault="00C9480A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9480A" w:rsidRDefault="00C9480A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9480A" w:rsidRDefault="00C9480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74" w:type="dxa"/>
            <w:gridSpan w:val="2"/>
            <w:vAlign w:val="center"/>
          </w:tcPr>
          <w:p w:rsidR="00C9480A" w:rsidRDefault="00F90912" w:rsidP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从简节约完成</w:t>
            </w:r>
            <w:r w:rsidR="009021EF">
              <w:rPr>
                <w:rFonts w:eastAsia="仿宋_GB2312" w:hint="eastAsia"/>
                <w:color w:val="000000"/>
                <w:kern w:val="0"/>
                <w:szCs w:val="21"/>
              </w:rPr>
              <w:t>扫黑除恶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工作</w:t>
            </w:r>
          </w:p>
        </w:tc>
        <w:tc>
          <w:tcPr>
            <w:tcW w:w="1219" w:type="dxa"/>
            <w:vAlign w:val="center"/>
          </w:tcPr>
          <w:p w:rsidR="00C9480A" w:rsidRDefault="00F9091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76" w:type="dxa"/>
            <w:vAlign w:val="center"/>
          </w:tcPr>
          <w:p w:rsidR="00C9480A" w:rsidRDefault="00F9091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48" w:type="dxa"/>
            <w:vAlign w:val="center"/>
          </w:tcPr>
          <w:p w:rsidR="00C9480A" w:rsidRDefault="00C9480A" w:rsidP="009021E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9021EF"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C9480A" w:rsidRDefault="009021E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19" w:type="dxa"/>
            <w:vAlign w:val="center"/>
          </w:tcPr>
          <w:p w:rsidR="00C9480A" w:rsidRDefault="00C9480A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9480A" w:rsidRDefault="00C9480A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:rsidR="00F90912" w:rsidRDefault="00F90912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分）　</w:t>
            </w:r>
          </w:p>
        </w:tc>
        <w:tc>
          <w:tcPr>
            <w:tcW w:w="987" w:type="dxa"/>
            <w:vMerge w:val="restart"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74" w:type="dxa"/>
            <w:gridSpan w:val="2"/>
            <w:vAlign w:val="center"/>
          </w:tcPr>
          <w:p w:rsidR="00F90912" w:rsidRDefault="00F90912" w:rsidP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按纪检及财政要求完成扫黑除恶工作</w:t>
            </w:r>
          </w:p>
        </w:tc>
        <w:tc>
          <w:tcPr>
            <w:tcW w:w="1219" w:type="dxa"/>
            <w:vAlign w:val="center"/>
          </w:tcPr>
          <w:p w:rsidR="00F90912" w:rsidRDefault="005A6B4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76" w:type="dxa"/>
            <w:vAlign w:val="center"/>
          </w:tcPr>
          <w:p w:rsidR="00F90912" w:rsidRDefault="00F9091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48" w:type="dxa"/>
            <w:vAlign w:val="center"/>
          </w:tcPr>
          <w:p w:rsidR="00F90912" w:rsidRDefault="00F90912" w:rsidP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5A6B42"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98" w:type="dxa"/>
            <w:vAlign w:val="center"/>
          </w:tcPr>
          <w:p w:rsidR="00F90912" w:rsidRDefault="00F90912" w:rsidP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5A6B42"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46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9480A" w:rsidRDefault="00C9480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19" w:type="dxa"/>
            <w:vAlign w:val="center"/>
          </w:tcPr>
          <w:p w:rsidR="00C9480A" w:rsidRDefault="00C9480A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9480A" w:rsidRDefault="00C9480A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9480A" w:rsidRDefault="00C9480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74" w:type="dxa"/>
            <w:gridSpan w:val="2"/>
            <w:vAlign w:val="center"/>
          </w:tcPr>
          <w:p w:rsidR="00C9480A" w:rsidRDefault="009021EF" w:rsidP="005A2B0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零陵区人民群众</w:t>
            </w:r>
            <w:r w:rsidR="00192CDD">
              <w:rPr>
                <w:rFonts w:eastAsia="仿宋_GB2312" w:hint="eastAsia"/>
                <w:color w:val="000000"/>
                <w:kern w:val="0"/>
                <w:szCs w:val="21"/>
              </w:rPr>
              <w:t>对</w:t>
            </w:r>
            <w:r w:rsidR="005A2B08">
              <w:rPr>
                <w:rFonts w:eastAsia="仿宋_GB2312" w:hint="eastAsia"/>
                <w:color w:val="000000"/>
                <w:kern w:val="0"/>
                <w:szCs w:val="21"/>
              </w:rPr>
              <w:t>政法委</w:t>
            </w:r>
            <w:r w:rsidR="00192CDD">
              <w:rPr>
                <w:rFonts w:eastAsia="仿宋_GB2312" w:hint="eastAsia"/>
                <w:color w:val="000000"/>
                <w:kern w:val="0"/>
                <w:szCs w:val="21"/>
              </w:rPr>
              <w:t>工作认同</w:t>
            </w:r>
            <w:r w:rsidR="00192CDD">
              <w:rPr>
                <w:rFonts w:eastAsia="仿宋_GB2312" w:hint="eastAsia"/>
                <w:color w:val="000000"/>
                <w:kern w:val="0"/>
                <w:szCs w:val="21"/>
              </w:rPr>
              <w:lastRenderedPageBreak/>
              <w:t>情况</w:t>
            </w:r>
          </w:p>
        </w:tc>
        <w:tc>
          <w:tcPr>
            <w:tcW w:w="1219" w:type="dxa"/>
            <w:vAlign w:val="center"/>
          </w:tcPr>
          <w:p w:rsidR="00C9480A" w:rsidRDefault="005A6B4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lastRenderedPageBreak/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76" w:type="dxa"/>
            <w:vAlign w:val="center"/>
          </w:tcPr>
          <w:p w:rsidR="00C9480A" w:rsidRDefault="00F9091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4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9021EF"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9021EF"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480A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C9480A" w:rsidRDefault="00C9480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19" w:type="dxa"/>
            <w:vAlign w:val="center"/>
          </w:tcPr>
          <w:p w:rsidR="00C9480A" w:rsidRDefault="00C9480A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9480A" w:rsidRDefault="00C9480A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6B42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A6B42" w:rsidRDefault="005A6B4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5A6B42" w:rsidRDefault="005A6B4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5A6B42" w:rsidRDefault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:rsidR="005A6B42" w:rsidRDefault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74" w:type="dxa"/>
            <w:gridSpan w:val="2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保护环境</w:t>
            </w:r>
          </w:p>
        </w:tc>
        <w:tc>
          <w:tcPr>
            <w:tcW w:w="1219" w:type="dxa"/>
            <w:vAlign w:val="center"/>
          </w:tcPr>
          <w:p w:rsidR="005A6B42" w:rsidRDefault="005A6B4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76" w:type="dxa"/>
            <w:vAlign w:val="center"/>
          </w:tcPr>
          <w:p w:rsidR="005A6B42" w:rsidRDefault="005A6B4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48" w:type="dxa"/>
            <w:vAlign w:val="center"/>
          </w:tcPr>
          <w:p w:rsidR="005A6B42" w:rsidRDefault="005A6B4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5A6B42" w:rsidRDefault="005A6B4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6B42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A6B42" w:rsidRDefault="005A6B4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5A6B42" w:rsidRDefault="005A6B4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19" w:type="dxa"/>
            <w:vAlign w:val="center"/>
          </w:tcPr>
          <w:p w:rsidR="005A6B42" w:rsidRDefault="005A6B4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6B42" w:rsidRDefault="005A6B4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8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6B42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A6B42" w:rsidRDefault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5A6B42" w:rsidRDefault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474" w:type="dxa"/>
            <w:gridSpan w:val="2"/>
            <w:vAlign w:val="center"/>
          </w:tcPr>
          <w:p w:rsidR="005A6B42" w:rsidRDefault="005A6B4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政法队伍素质提升</w:t>
            </w:r>
          </w:p>
        </w:tc>
        <w:tc>
          <w:tcPr>
            <w:tcW w:w="1219" w:type="dxa"/>
            <w:vAlign w:val="center"/>
          </w:tcPr>
          <w:p w:rsidR="005A6B42" w:rsidRDefault="005A6B4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76" w:type="dxa"/>
            <w:vAlign w:val="center"/>
          </w:tcPr>
          <w:p w:rsidR="005A6B42" w:rsidRDefault="005A6B4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48" w:type="dxa"/>
            <w:vAlign w:val="center"/>
          </w:tcPr>
          <w:p w:rsidR="005A6B42" w:rsidRDefault="005A6B42" w:rsidP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98" w:type="dxa"/>
            <w:vAlign w:val="center"/>
          </w:tcPr>
          <w:p w:rsidR="005A6B42" w:rsidRDefault="005A6B42" w:rsidP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46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6B42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A6B42" w:rsidRDefault="005A6B4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19" w:type="dxa"/>
            <w:vAlign w:val="center"/>
          </w:tcPr>
          <w:p w:rsidR="005A6B42" w:rsidRDefault="005A6B4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6B42" w:rsidRDefault="005A6B4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8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6B42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A6B42" w:rsidRDefault="005A6B4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5A6B42" w:rsidRDefault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:rsidR="005A6B42" w:rsidRDefault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:rsidR="005A6B42" w:rsidRDefault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987" w:type="dxa"/>
            <w:vMerge w:val="restart"/>
            <w:vAlign w:val="center"/>
          </w:tcPr>
          <w:p w:rsidR="005A6B42" w:rsidRDefault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474" w:type="dxa"/>
            <w:gridSpan w:val="2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</w:t>
            </w:r>
          </w:p>
        </w:tc>
        <w:tc>
          <w:tcPr>
            <w:tcW w:w="1219" w:type="dxa"/>
            <w:vAlign w:val="center"/>
          </w:tcPr>
          <w:p w:rsidR="005A6B42" w:rsidRDefault="005A6B4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76" w:type="dxa"/>
            <w:vAlign w:val="center"/>
          </w:tcPr>
          <w:p w:rsidR="005A6B42" w:rsidRDefault="005A6B42" w:rsidP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8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6B42" w:rsidTr="00F6562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19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48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6B42" w:rsidTr="00F6562E">
        <w:trPr>
          <w:trHeight w:val="340"/>
          <w:jc w:val="center"/>
        </w:trPr>
        <w:tc>
          <w:tcPr>
            <w:tcW w:w="7431" w:type="dxa"/>
            <w:gridSpan w:val="7"/>
            <w:vAlign w:val="center"/>
          </w:tcPr>
          <w:p w:rsidR="005A6B42" w:rsidRDefault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48" w:type="dxa"/>
            <w:vAlign w:val="center"/>
          </w:tcPr>
          <w:p w:rsidR="005A6B42" w:rsidRDefault="005A6B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46" w:type="dxa"/>
            <w:vAlign w:val="center"/>
          </w:tcPr>
          <w:p w:rsidR="005A6B42" w:rsidRDefault="005A6B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310FB" w:rsidRDefault="006310FB">
      <w:pPr>
        <w:widowControl/>
        <w:jc w:val="left"/>
        <w:rPr>
          <w:rFonts w:eastAsia="黑体"/>
          <w:sz w:val="32"/>
          <w:szCs w:val="32"/>
        </w:rPr>
      </w:pPr>
    </w:p>
    <w:p w:rsidR="006310FB" w:rsidRDefault="006310FB">
      <w:pPr>
        <w:widowControl/>
        <w:jc w:val="left"/>
        <w:rPr>
          <w:rFonts w:eastAsia="黑体"/>
          <w:sz w:val="32"/>
          <w:szCs w:val="32"/>
        </w:rPr>
      </w:pPr>
    </w:p>
    <w:p w:rsidR="006310FB" w:rsidRDefault="006310FB">
      <w:pPr>
        <w:widowControl/>
        <w:jc w:val="left"/>
        <w:rPr>
          <w:rFonts w:eastAsia="黑体"/>
          <w:sz w:val="32"/>
          <w:szCs w:val="32"/>
        </w:rPr>
      </w:pPr>
    </w:p>
    <w:p w:rsidR="006310FB" w:rsidRDefault="006310FB">
      <w:pPr>
        <w:widowControl/>
        <w:jc w:val="left"/>
        <w:rPr>
          <w:rFonts w:eastAsia="黑体"/>
          <w:sz w:val="32"/>
          <w:szCs w:val="32"/>
        </w:rPr>
      </w:pPr>
    </w:p>
    <w:p w:rsidR="006310FB" w:rsidRDefault="006310FB">
      <w:pPr>
        <w:widowControl/>
        <w:jc w:val="left"/>
        <w:rPr>
          <w:rFonts w:eastAsia="黑体"/>
          <w:sz w:val="32"/>
          <w:szCs w:val="32"/>
        </w:rPr>
      </w:pPr>
    </w:p>
    <w:p w:rsidR="006310FB" w:rsidRDefault="006310FB">
      <w:pPr>
        <w:widowControl/>
        <w:jc w:val="left"/>
        <w:rPr>
          <w:rFonts w:eastAsia="黑体"/>
          <w:sz w:val="32"/>
          <w:szCs w:val="32"/>
        </w:rPr>
      </w:pPr>
    </w:p>
    <w:p w:rsidR="006310FB" w:rsidRDefault="006310FB">
      <w:pPr>
        <w:widowControl/>
        <w:jc w:val="left"/>
        <w:rPr>
          <w:rFonts w:eastAsia="黑体"/>
          <w:sz w:val="32"/>
          <w:szCs w:val="32"/>
        </w:rPr>
      </w:pPr>
    </w:p>
    <w:p w:rsidR="006310FB" w:rsidRDefault="006310FB">
      <w:pPr>
        <w:widowControl/>
        <w:jc w:val="left"/>
        <w:rPr>
          <w:rFonts w:eastAsia="黑体"/>
          <w:sz w:val="32"/>
          <w:szCs w:val="32"/>
        </w:rPr>
      </w:pPr>
    </w:p>
    <w:p w:rsidR="006310FB" w:rsidRDefault="006310FB">
      <w:pPr>
        <w:widowControl/>
        <w:jc w:val="left"/>
        <w:rPr>
          <w:rFonts w:eastAsia="黑体"/>
          <w:sz w:val="32"/>
          <w:szCs w:val="32"/>
        </w:rPr>
      </w:pPr>
    </w:p>
    <w:p w:rsidR="006310FB" w:rsidRDefault="006310FB">
      <w:pPr>
        <w:widowControl/>
        <w:jc w:val="left"/>
        <w:rPr>
          <w:rFonts w:eastAsia="黑体"/>
          <w:sz w:val="32"/>
          <w:szCs w:val="32"/>
        </w:rPr>
      </w:pPr>
    </w:p>
    <w:p w:rsidR="006310FB" w:rsidRDefault="006310FB">
      <w:pPr>
        <w:widowControl/>
        <w:jc w:val="left"/>
        <w:rPr>
          <w:rFonts w:eastAsia="黑体"/>
          <w:sz w:val="32"/>
          <w:szCs w:val="32"/>
        </w:rPr>
      </w:pPr>
    </w:p>
    <w:p w:rsidR="006310FB" w:rsidRDefault="006310FB">
      <w:pPr>
        <w:widowControl/>
        <w:jc w:val="left"/>
        <w:rPr>
          <w:rFonts w:eastAsia="黑体"/>
          <w:sz w:val="32"/>
          <w:szCs w:val="32"/>
        </w:rPr>
      </w:pPr>
    </w:p>
    <w:p w:rsidR="006310FB" w:rsidRDefault="006310FB">
      <w:pPr>
        <w:widowControl/>
        <w:jc w:val="left"/>
        <w:rPr>
          <w:rFonts w:eastAsia="黑体"/>
          <w:sz w:val="32"/>
          <w:szCs w:val="32"/>
        </w:rPr>
      </w:pPr>
    </w:p>
    <w:p w:rsidR="00417EF0" w:rsidRDefault="00417EF0">
      <w:pPr>
        <w:widowControl/>
        <w:jc w:val="left"/>
        <w:rPr>
          <w:rFonts w:eastAsia="黑体"/>
          <w:sz w:val="32"/>
          <w:szCs w:val="32"/>
        </w:rPr>
      </w:pPr>
    </w:p>
    <w:p w:rsidR="00417EF0" w:rsidRDefault="00417EF0">
      <w:pPr>
        <w:widowControl/>
        <w:jc w:val="left"/>
        <w:rPr>
          <w:rFonts w:eastAsia="黑体"/>
          <w:sz w:val="32"/>
          <w:szCs w:val="32"/>
        </w:rPr>
      </w:pPr>
    </w:p>
    <w:p w:rsidR="003105E8" w:rsidRDefault="003105E8">
      <w:pPr>
        <w:widowControl/>
        <w:jc w:val="left"/>
        <w:rPr>
          <w:rFonts w:eastAsia="黑体"/>
          <w:sz w:val="32"/>
          <w:szCs w:val="32"/>
        </w:rPr>
      </w:pPr>
    </w:p>
    <w:p w:rsidR="006310FB" w:rsidRDefault="006310FB">
      <w:pPr>
        <w:widowControl/>
        <w:jc w:val="left"/>
        <w:rPr>
          <w:rFonts w:eastAsia="黑体"/>
          <w:sz w:val="32"/>
          <w:szCs w:val="32"/>
        </w:rPr>
      </w:pPr>
    </w:p>
    <w:p w:rsidR="00C9480A" w:rsidRDefault="00C9480A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C9480A" w:rsidRDefault="00C9480A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:rsidR="00C9480A" w:rsidRDefault="00C9480A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eastAsia="仿宋_GB2312" w:hint="eastAsia"/>
          <w:color w:val="000000"/>
          <w:kern w:val="0"/>
          <w:szCs w:val="21"/>
        </w:rPr>
        <w:t>202</w:t>
      </w:r>
      <w:r w:rsidR="003B7842">
        <w:rPr>
          <w:rFonts w:eastAsia="仿宋_GB2312" w:hint="eastAsia"/>
          <w:color w:val="000000"/>
          <w:kern w:val="0"/>
          <w:szCs w:val="21"/>
        </w:rPr>
        <w:t>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C9480A" w:rsidTr="001B131D">
        <w:trPr>
          <w:trHeight w:val="720"/>
          <w:jc w:val="center"/>
        </w:trPr>
        <w:tc>
          <w:tcPr>
            <w:tcW w:w="1080" w:type="dxa"/>
            <w:vAlign w:val="center"/>
          </w:tcPr>
          <w:p w:rsidR="00C9480A" w:rsidRDefault="00C9480A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:rsidR="00C9480A" w:rsidRDefault="00C9480A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:rsidR="00C9480A" w:rsidRDefault="001B131D" w:rsidP="005A2B0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1B131D">
              <w:rPr>
                <w:rFonts w:eastAsia="仿宋_GB2312" w:hint="eastAsia"/>
                <w:color w:val="000000"/>
                <w:kern w:val="0"/>
                <w:szCs w:val="21"/>
              </w:rPr>
              <w:t>专项活动经费（政法会议、综治民调、涉法涉诉、扫黑除恶专项经费）</w:t>
            </w:r>
          </w:p>
        </w:tc>
      </w:tr>
      <w:tr w:rsidR="00C9480A" w:rsidTr="001B131D">
        <w:trPr>
          <w:trHeight w:val="340"/>
          <w:jc w:val="center"/>
        </w:trPr>
        <w:tc>
          <w:tcPr>
            <w:tcW w:w="1080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:rsidR="00C9480A" w:rsidRDefault="00C9480A" w:rsidP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1B131D">
              <w:rPr>
                <w:rFonts w:eastAsia="仿宋_GB2312" w:hint="eastAsia"/>
                <w:color w:val="000000"/>
                <w:kern w:val="0"/>
                <w:szCs w:val="21"/>
              </w:rPr>
              <w:t>零陵区委</w:t>
            </w:r>
            <w:r w:rsidR="001B131D" w:rsidRPr="001B131D">
              <w:rPr>
                <w:rFonts w:eastAsia="仿宋_GB2312" w:hint="eastAsia"/>
                <w:color w:val="000000"/>
                <w:kern w:val="0"/>
                <w:szCs w:val="21"/>
              </w:rPr>
              <w:t>、</w:t>
            </w:r>
            <w:r w:rsidR="001B131D">
              <w:rPr>
                <w:rFonts w:eastAsia="仿宋_GB2312" w:hint="eastAsia"/>
                <w:color w:val="000000"/>
                <w:kern w:val="0"/>
                <w:szCs w:val="21"/>
              </w:rPr>
              <w:t>区政府</w:t>
            </w:r>
          </w:p>
        </w:tc>
        <w:tc>
          <w:tcPr>
            <w:tcW w:w="1134" w:type="dxa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C9480A" w:rsidRDefault="00C9480A" w:rsidP="000C6E0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1B131D">
              <w:rPr>
                <w:rFonts w:eastAsia="仿宋_GB2312" w:hint="eastAsia"/>
                <w:color w:val="000000"/>
                <w:kern w:val="0"/>
                <w:szCs w:val="21"/>
              </w:rPr>
              <w:t>零陵区政法委</w:t>
            </w:r>
          </w:p>
        </w:tc>
      </w:tr>
      <w:tr w:rsidR="00C9480A" w:rsidTr="001B131D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:rsidR="00C9480A" w:rsidRDefault="00C948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C9480A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:rsidR="00C9480A" w:rsidRDefault="00C9480A" w:rsidP="00875E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875E2B">
              <w:rPr>
                <w:rFonts w:eastAsia="仿宋_GB2312" w:hint="eastAsia"/>
                <w:color w:val="000000"/>
                <w:kern w:val="0"/>
                <w:szCs w:val="21"/>
              </w:rPr>
              <w:t>40.5</w:t>
            </w:r>
          </w:p>
        </w:tc>
        <w:tc>
          <w:tcPr>
            <w:tcW w:w="1209" w:type="dxa"/>
            <w:vAlign w:val="center"/>
          </w:tcPr>
          <w:p w:rsidR="00C9480A" w:rsidRDefault="00C9480A" w:rsidP="00875E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875E2B">
              <w:rPr>
                <w:rFonts w:eastAsia="仿宋_GB2312" w:hint="eastAsia"/>
                <w:color w:val="000000"/>
                <w:kern w:val="0"/>
                <w:szCs w:val="21"/>
              </w:rPr>
              <w:t>40.5</w:t>
            </w:r>
          </w:p>
        </w:tc>
        <w:tc>
          <w:tcPr>
            <w:tcW w:w="1134" w:type="dxa"/>
            <w:vAlign w:val="center"/>
          </w:tcPr>
          <w:p w:rsidR="00C9480A" w:rsidRDefault="00C9480A" w:rsidP="00875E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875E2B">
              <w:rPr>
                <w:rFonts w:eastAsia="仿宋_GB2312" w:hint="eastAsia"/>
                <w:color w:val="000000"/>
                <w:kern w:val="0"/>
                <w:szCs w:val="21"/>
              </w:rPr>
              <w:t>40.5</w:t>
            </w:r>
          </w:p>
        </w:tc>
        <w:tc>
          <w:tcPr>
            <w:tcW w:w="82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C9480A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1B131D"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C9480A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:rsidR="00875E2B" w:rsidRDefault="00875E2B" w:rsidP="00EF37DF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40.5</w:t>
            </w:r>
          </w:p>
        </w:tc>
        <w:tc>
          <w:tcPr>
            <w:tcW w:w="1209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875E2B">
              <w:rPr>
                <w:rFonts w:eastAsia="仿宋_GB2312" w:hint="eastAsia"/>
                <w:color w:val="000000"/>
                <w:kern w:val="0"/>
                <w:szCs w:val="21"/>
              </w:rPr>
              <w:t>40.5</w:t>
            </w:r>
          </w:p>
        </w:tc>
        <w:tc>
          <w:tcPr>
            <w:tcW w:w="1134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875E2B">
              <w:rPr>
                <w:rFonts w:eastAsia="仿宋_GB2312" w:hint="eastAsia"/>
                <w:color w:val="000000"/>
                <w:kern w:val="0"/>
                <w:szCs w:val="21"/>
              </w:rPr>
              <w:t>40.5</w:t>
            </w:r>
          </w:p>
        </w:tc>
        <w:tc>
          <w:tcPr>
            <w:tcW w:w="82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C9480A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480A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9480A" w:rsidRDefault="00C9480A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480A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9480A" w:rsidRDefault="00C9480A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480A" w:rsidTr="001B131D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C9480A" w:rsidTr="001B131D">
        <w:trPr>
          <w:trHeight w:val="998"/>
          <w:jc w:val="center"/>
        </w:trPr>
        <w:tc>
          <w:tcPr>
            <w:tcW w:w="1080" w:type="dxa"/>
            <w:vMerge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　</w:t>
            </w:r>
            <w:r w:rsidR="00F70DAF" w:rsidRPr="001B131D">
              <w:rPr>
                <w:rFonts w:eastAsia="仿宋_GB2312" w:hint="eastAsia"/>
                <w:color w:val="000000"/>
                <w:kern w:val="0"/>
                <w:szCs w:val="21"/>
              </w:rPr>
              <w:t>召开一次政法会议</w:t>
            </w:r>
          </w:p>
        </w:tc>
        <w:tc>
          <w:tcPr>
            <w:tcW w:w="4253" w:type="dxa"/>
            <w:gridSpan w:val="4"/>
            <w:vAlign w:val="center"/>
          </w:tcPr>
          <w:p w:rsidR="00C9480A" w:rsidRDefault="00C948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F70DAF">
              <w:rPr>
                <w:rFonts w:eastAsia="仿宋_GB2312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C9480A" w:rsidTr="001B131D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:rsidR="00C9480A" w:rsidRDefault="00C948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:rsidR="00C9480A" w:rsidRDefault="00C94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:rsidR="001B131D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B131D" w:rsidRDefault="001B131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B131D" w:rsidRDefault="001B131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:rsidR="001B131D" w:rsidRDefault="001B131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:rsidR="001B131D" w:rsidRDefault="001B131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1B131D">
              <w:rPr>
                <w:rFonts w:eastAsia="仿宋_GB2312" w:hint="eastAsia"/>
                <w:color w:val="000000"/>
                <w:kern w:val="0"/>
                <w:szCs w:val="21"/>
              </w:rPr>
              <w:t>召开一次政法会议</w:t>
            </w:r>
          </w:p>
        </w:tc>
        <w:tc>
          <w:tcPr>
            <w:tcW w:w="1209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1B131D" w:rsidRDefault="001B131D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1D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B131D" w:rsidRDefault="001B131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B131D" w:rsidRDefault="001B131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B131D" w:rsidRDefault="001B131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1D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B131D" w:rsidRDefault="001B131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B131D" w:rsidRDefault="001B131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B131D" w:rsidRDefault="001B131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:rsidR="001B131D" w:rsidRDefault="00F90912" w:rsidP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会议成功召开</w:t>
            </w:r>
          </w:p>
        </w:tc>
        <w:tc>
          <w:tcPr>
            <w:tcW w:w="1209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F90912"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 w:rsidR="00F90912"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F90912"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F90912"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F90912"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1D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B131D" w:rsidRDefault="001B131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B131D" w:rsidRDefault="001B131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B131D" w:rsidRDefault="001B131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1B131D" w:rsidRDefault="001B131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会议按时召开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从简节约召开会议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Merge w:val="restart"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按纪检及财政要求召开会议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F90912" w:rsidRDefault="00F90912" w:rsidP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有利于社会发展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保护环境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政法队伍素质提升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F90912" w:rsidRDefault="00F90912" w:rsidP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Merge w:val="restart"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1B131D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:rsidR="00F90912" w:rsidRDefault="00F90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vAlign w:val="center"/>
          </w:tcPr>
          <w:p w:rsidR="00F90912" w:rsidRDefault="00F909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90912" w:rsidRDefault="00F90912" w:rsidP="00F90912">
      <w:pPr>
        <w:widowControl/>
        <w:jc w:val="left"/>
        <w:rPr>
          <w:rFonts w:eastAsia="黑体"/>
          <w:sz w:val="32"/>
          <w:szCs w:val="32"/>
        </w:rPr>
      </w:pPr>
    </w:p>
    <w:p w:rsidR="00F90912" w:rsidRDefault="00F90912" w:rsidP="00F90912">
      <w:pPr>
        <w:widowControl/>
        <w:jc w:val="left"/>
        <w:rPr>
          <w:rFonts w:eastAsia="黑体"/>
          <w:sz w:val="32"/>
          <w:szCs w:val="32"/>
        </w:rPr>
      </w:pPr>
    </w:p>
    <w:p w:rsidR="00F90912" w:rsidRDefault="00F90912" w:rsidP="00F90912">
      <w:pPr>
        <w:widowControl/>
        <w:jc w:val="left"/>
        <w:rPr>
          <w:rFonts w:eastAsia="黑体"/>
          <w:sz w:val="32"/>
          <w:szCs w:val="32"/>
        </w:rPr>
      </w:pPr>
    </w:p>
    <w:p w:rsidR="00ED38E4" w:rsidRDefault="00ED38E4" w:rsidP="00F90912">
      <w:pPr>
        <w:widowControl/>
        <w:jc w:val="left"/>
        <w:rPr>
          <w:rFonts w:eastAsia="黑体"/>
          <w:sz w:val="32"/>
          <w:szCs w:val="32"/>
        </w:rPr>
      </w:pPr>
    </w:p>
    <w:p w:rsidR="00ED38E4" w:rsidRDefault="00ED38E4" w:rsidP="00F90912">
      <w:pPr>
        <w:widowControl/>
        <w:jc w:val="left"/>
        <w:rPr>
          <w:rFonts w:eastAsia="黑体"/>
          <w:sz w:val="32"/>
          <w:szCs w:val="32"/>
        </w:rPr>
      </w:pPr>
    </w:p>
    <w:p w:rsidR="00ED38E4" w:rsidRDefault="00ED38E4" w:rsidP="00F90912">
      <w:pPr>
        <w:widowControl/>
        <w:jc w:val="left"/>
        <w:rPr>
          <w:rFonts w:eastAsia="黑体"/>
          <w:sz w:val="32"/>
          <w:szCs w:val="32"/>
        </w:rPr>
      </w:pPr>
    </w:p>
    <w:p w:rsidR="00ED38E4" w:rsidRDefault="00ED38E4" w:rsidP="00F90912">
      <w:pPr>
        <w:widowControl/>
        <w:jc w:val="left"/>
        <w:rPr>
          <w:rFonts w:eastAsia="黑体"/>
          <w:sz w:val="32"/>
          <w:szCs w:val="32"/>
        </w:rPr>
      </w:pPr>
    </w:p>
    <w:p w:rsidR="00ED38E4" w:rsidRDefault="00ED38E4" w:rsidP="00F90912">
      <w:pPr>
        <w:widowControl/>
        <w:jc w:val="left"/>
        <w:rPr>
          <w:rFonts w:eastAsia="黑体"/>
          <w:sz w:val="32"/>
          <w:szCs w:val="32"/>
        </w:rPr>
      </w:pPr>
    </w:p>
    <w:p w:rsidR="00ED38E4" w:rsidRDefault="00ED38E4" w:rsidP="00F90912">
      <w:pPr>
        <w:widowControl/>
        <w:jc w:val="left"/>
        <w:rPr>
          <w:rFonts w:eastAsia="黑体"/>
          <w:sz w:val="32"/>
          <w:szCs w:val="32"/>
        </w:rPr>
      </w:pPr>
    </w:p>
    <w:p w:rsidR="00ED38E4" w:rsidRDefault="00ED38E4" w:rsidP="00F90912">
      <w:pPr>
        <w:widowControl/>
        <w:jc w:val="left"/>
        <w:rPr>
          <w:rFonts w:eastAsia="黑体"/>
          <w:sz w:val="32"/>
          <w:szCs w:val="32"/>
        </w:rPr>
      </w:pPr>
    </w:p>
    <w:p w:rsidR="00ED38E4" w:rsidRDefault="00ED38E4" w:rsidP="00F90912">
      <w:pPr>
        <w:widowControl/>
        <w:jc w:val="left"/>
        <w:rPr>
          <w:rFonts w:eastAsia="黑体"/>
          <w:sz w:val="32"/>
          <w:szCs w:val="32"/>
        </w:rPr>
      </w:pPr>
    </w:p>
    <w:p w:rsidR="00ED38E4" w:rsidRDefault="00ED38E4" w:rsidP="00F90912">
      <w:pPr>
        <w:widowControl/>
        <w:jc w:val="left"/>
        <w:rPr>
          <w:rFonts w:eastAsia="黑体"/>
          <w:sz w:val="32"/>
          <w:szCs w:val="32"/>
        </w:rPr>
      </w:pPr>
    </w:p>
    <w:p w:rsidR="00ED38E4" w:rsidRDefault="00ED38E4" w:rsidP="00F90912">
      <w:pPr>
        <w:widowControl/>
        <w:jc w:val="left"/>
        <w:rPr>
          <w:rFonts w:eastAsia="黑体"/>
          <w:sz w:val="32"/>
          <w:szCs w:val="32"/>
        </w:rPr>
      </w:pPr>
    </w:p>
    <w:p w:rsidR="00ED38E4" w:rsidRDefault="00ED38E4" w:rsidP="00F90912">
      <w:pPr>
        <w:widowControl/>
        <w:jc w:val="left"/>
        <w:rPr>
          <w:rFonts w:eastAsia="黑体"/>
          <w:sz w:val="32"/>
          <w:szCs w:val="32"/>
        </w:rPr>
      </w:pPr>
    </w:p>
    <w:p w:rsidR="00ED38E4" w:rsidRDefault="00ED38E4" w:rsidP="00F90912">
      <w:pPr>
        <w:widowControl/>
        <w:jc w:val="left"/>
        <w:rPr>
          <w:rFonts w:eastAsia="黑体"/>
          <w:sz w:val="32"/>
          <w:szCs w:val="32"/>
        </w:rPr>
      </w:pPr>
    </w:p>
    <w:p w:rsidR="00417EF0" w:rsidRDefault="00417EF0" w:rsidP="00F90912">
      <w:pPr>
        <w:widowControl/>
        <w:jc w:val="left"/>
        <w:rPr>
          <w:rFonts w:eastAsia="黑体"/>
          <w:sz w:val="32"/>
          <w:szCs w:val="32"/>
        </w:rPr>
      </w:pPr>
    </w:p>
    <w:p w:rsidR="00417EF0" w:rsidRDefault="00417EF0" w:rsidP="00F90912">
      <w:pPr>
        <w:widowControl/>
        <w:jc w:val="left"/>
        <w:rPr>
          <w:rFonts w:eastAsia="黑体"/>
          <w:sz w:val="32"/>
          <w:szCs w:val="32"/>
        </w:rPr>
      </w:pPr>
    </w:p>
    <w:p w:rsidR="00417EF0" w:rsidRDefault="00417EF0" w:rsidP="00F90912">
      <w:pPr>
        <w:widowControl/>
        <w:jc w:val="left"/>
        <w:rPr>
          <w:rFonts w:eastAsia="黑体"/>
          <w:sz w:val="32"/>
          <w:szCs w:val="32"/>
        </w:rPr>
      </w:pPr>
    </w:p>
    <w:p w:rsidR="00ED38E4" w:rsidRDefault="00ED38E4" w:rsidP="00F90912">
      <w:pPr>
        <w:widowControl/>
        <w:jc w:val="left"/>
        <w:rPr>
          <w:rFonts w:eastAsia="黑体"/>
          <w:sz w:val="32"/>
          <w:szCs w:val="32"/>
        </w:rPr>
      </w:pPr>
    </w:p>
    <w:p w:rsidR="00ED38E4" w:rsidRDefault="00ED38E4" w:rsidP="00F90912">
      <w:pPr>
        <w:widowControl/>
        <w:jc w:val="left"/>
        <w:rPr>
          <w:rFonts w:eastAsia="黑体"/>
          <w:sz w:val="32"/>
          <w:szCs w:val="32"/>
        </w:rPr>
      </w:pPr>
    </w:p>
    <w:p w:rsidR="00F90912" w:rsidRDefault="00F90912" w:rsidP="00F90912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F90912" w:rsidRDefault="00F90912" w:rsidP="00F90912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:rsidR="00F90912" w:rsidRDefault="00F90912" w:rsidP="00F90912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 w:rsidR="003E12E5">
        <w:rPr>
          <w:rFonts w:eastAsia="仿宋_GB2312" w:hint="eastAsia"/>
          <w:color w:val="000000"/>
          <w:kern w:val="0"/>
          <w:szCs w:val="21"/>
        </w:rPr>
        <w:t>202</w:t>
      </w:r>
      <w:r w:rsidR="003B7842">
        <w:rPr>
          <w:rFonts w:eastAsia="仿宋_GB2312" w:hint="eastAsia"/>
          <w:color w:val="000000"/>
          <w:kern w:val="0"/>
          <w:szCs w:val="21"/>
        </w:rPr>
        <w:t>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F90912" w:rsidTr="00E22D9E">
        <w:trPr>
          <w:trHeight w:val="720"/>
          <w:jc w:val="center"/>
        </w:trPr>
        <w:tc>
          <w:tcPr>
            <w:tcW w:w="1080" w:type="dxa"/>
            <w:vAlign w:val="center"/>
          </w:tcPr>
          <w:p w:rsidR="00F90912" w:rsidRDefault="00F90912" w:rsidP="00E22D9E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:rsidR="00F90912" w:rsidRDefault="00F90912" w:rsidP="00E22D9E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:rsidR="00F90912" w:rsidRDefault="00F70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F70DAF">
              <w:rPr>
                <w:rFonts w:eastAsia="仿宋_GB2312" w:hint="eastAsia"/>
                <w:color w:val="000000"/>
                <w:kern w:val="0"/>
                <w:szCs w:val="21"/>
              </w:rPr>
              <w:t>国安及维稳处突专项经费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零陵区委</w:t>
            </w:r>
            <w:r w:rsidRPr="001B131D">
              <w:rPr>
                <w:rFonts w:eastAsia="仿宋_GB2312" w:hint="eastAsia"/>
                <w:color w:val="000000"/>
                <w:kern w:val="0"/>
                <w:szCs w:val="21"/>
              </w:rPr>
              <w:t>、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区政府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零陵区政法委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:rsidR="00F90912" w:rsidRDefault="00F90912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:rsidR="00F90912" w:rsidRDefault="00F90912" w:rsidP="00875E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875E2B">
              <w:rPr>
                <w:rFonts w:eastAsia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875E2B">
              <w:rPr>
                <w:rFonts w:eastAsia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875E2B">
              <w:rPr>
                <w:rFonts w:eastAsia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:rsidR="00F90912" w:rsidRDefault="00875E2B" w:rsidP="00EF37DF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875E2B">
              <w:rPr>
                <w:rFonts w:eastAsia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875E2B">
              <w:rPr>
                <w:rFonts w:eastAsia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90912" w:rsidRDefault="00F90912" w:rsidP="00E22D9E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90912" w:rsidRDefault="00F90912" w:rsidP="00E22D9E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F90912" w:rsidTr="00E22D9E">
        <w:trPr>
          <w:trHeight w:val="998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:rsidR="00F90912" w:rsidRDefault="00F70DAF" w:rsidP="006D4DA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70DAF">
              <w:rPr>
                <w:rFonts w:eastAsia="仿宋_GB2312" w:hint="eastAsia"/>
                <w:color w:val="000000"/>
                <w:kern w:val="0"/>
                <w:szCs w:val="21"/>
              </w:rPr>
              <w:t>检查、协调和督办维护全</w:t>
            </w:r>
            <w:r w:rsidR="006D4DAF">
              <w:rPr>
                <w:rFonts w:eastAsia="仿宋_GB2312" w:hint="eastAsia"/>
                <w:color w:val="000000"/>
                <w:kern w:val="0"/>
                <w:szCs w:val="21"/>
              </w:rPr>
              <w:t>区</w:t>
            </w:r>
            <w:r w:rsidRPr="00F70DAF">
              <w:rPr>
                <w:rFonts w:eastAsia="仿宋_GB2312" w:hint="eastAsia"/>
                <w:color w:val="000000"/>
                <w:kern w:val="0"/>
                <w:szCs w:val="21"/>
              </w:rPr>
              <w:t>稳定</w:t>
            </w:r>
            <w:r w:rsidR="00F90912">
              <w:rPr>
                <w:rFonts w:eastAsia="仿宋_GB2312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4253" w:type="dxa"/>
            <w:gridSpan w:val="4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F70DAF">
              <w:rPr>
                <w:rFonts w:eastAsia="仿宋_GB2312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F90912" w:rsidTr="00E22D9E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F90912" w:rsidRDefault="00F90912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F90912" w:rsidRDefault="00F90912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:rsidR="00F90912" w:rsidRDefault="00F90912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:rsidR="00F90912" w:rsidRDefault="00F90912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:rsidR="00F90912" w:rsidRDefault="00F90912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:rsidR="00F90912" w:rsidRDefault="00F90912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 w:rsidR="00F90912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6D4DAF">
              <w:rPr>
                <w:rFonts w:eastAsia="仿宋_GB2312" w:hint="eastAsia"/>
                <w:color w:val="000000"/>
                <w:kern w:val="0"/>
                <w:szCs w:val="21"/>
              </w:rPr>
              <w:t>制止群体性械斗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≥</w:t>
            </w:r>
            <w:r w:rsidRPr="006D4DAF"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  <w:r w:rsidRPr="006D4DAF">
              <w:rPr>
                <w:rFonts w:eastAsia="仿宋_GB2312" w:hint="eastAsia"/>
                <w:color w:val="000000"/>
                <w:kern w:val="0"/>
                <w:szCs w:val="21"/>
              </w:rPr>
              <w:t>起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:rsidR="00F90912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零陵区稳定繁荣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:rsidR="00F90912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年内保障零陵区稳定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:rsidR="00F90912" w:rsidRDefault="00F90912" w:rsidP="006D4DA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从简节约</w:t>
            </w:r>
            <w:r w:rsidR="006D4DAF">
              <w:rPr>
                <w:rFonts w:eastAsia="仿宋_GB2312" w:hint="eastAsia"/>
                <w:color w:val="000000"/>
                <w:kern w:val="0"/>
                <w:szCs w:val="21"/>
              </w:rPr>
              <w:t>完成维稳工作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>经济效</w:t>
            </w:r>
          </w:p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>益指标</w:t>
            </w:r>
          </w:p>
        </w:tc>
        <w:tc>
          <w:tcPr>
            <w:tcW w:w="1149" w:type="dxa"/>
            <w:vAlign w:val="center"/>
          </w:tcPr>
          <w:p w:rsidR="00F90912" w:rsidRDefault="00F90912" w:rsidP="006D4DA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lastRenderedPageBreak/>
              <w:t>按纪检及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lastRenderedPageBreak/>
              <w:t>财政要求</w:t>
            </w:r>
            <w:r w:rsidR="006D4DAF">
              <w:rPr>
                <w:rFonts w:eastAsia="仿宋_GB2312" w:hint="eastAsia"/>
                <w:color w:val="000000"/>
                <w:kern w:val="0"/>
                <w:szCs w:val="21"/>
              </w:rPr>
              <w:t>完成维稳工作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有利于社会发展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保护环境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政法队伍素质提升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3105E8">
        <w:trPr>
          <w:trHeight w:val="943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Merge w:val="restart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90912" w:rsidTr="003105E8">
        <w:trPr>
          <w:trHeight w:val="465"/>
          <w:jc w:val="center"/>
        </w:trPr>
        <w:tc>
          <w:tcPr>
            <w:tcW w:w="6732" w:type="dxa"/>
            <w:gridSpan w:val="6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:rsidR="00F90912" w:rsidRDefault="00F90912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vAlign w:val="center"/>
          </w:tcPr>
          <w:p w:rsidR="00F90912" w:rsidRDefault="00F90912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90912" w:rsidRDefault="00F90912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D4DAF" w:rsidRDefault="006D4DAF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D4DAF" w:rsidRDefault="006D4DAF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D4DAF" w:rsidRDefault="006D4DAF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D4DAF" w:rsidRDefault="006D4DAF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D4DAF" w:rsidRDefault="006D4DAF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D4DAF" w:rsidRDefault="006D4DAF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D4DAF" w:rsidRDefault="006D4DAF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D4DAF" w:rsidRDefault="006D4DAF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D4DAF" w:rsidRDefault="006D4DAF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D4DAF" w:rsidRDefault="006D4DAF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D4DAF" w:rsidRDefault="006D4DAF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D4DAF" w:rsidRDefault="006D4DAF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D4DAF" w:rsidRDefault="006D4DAF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17EF0" w:rsidRDefault="00417EF0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17EF0" w:rsidRDefault="00417EF0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17EF0" w:rsidRDefault="00417EF0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3105E8" w:rsidRDefault="003105E8" w:rsidP="006D4DAF">
      <w:pPr>
        <w:widowControl/>
        <w:jc w:val="left"/>
        <w:rPr>
          <w:rFonts w:eastAsia="黑体"/>
          <w:sz w:val="32"/>
          <w:szCs w:val="32"/>
        </w:rPr>
      </w:pPr>
    </w:p>
    <w:p w:rsidR="006D4DAF" w:rsidRDefault="006D4DAF" w:rsidP="006D4DAF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6D4DAF" w:rsidRDefault="006D4DAF" w:rsidP="006D4DAF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:rsidR="006D4DAF" w:rsidRDefault="006D4DAF" w:rsidP="006D4DAF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 w:rsidR="003E12E5">
        <w:rPr>
          <w:rFonts w:eastAsia="仿宋_GB2312" w:hint="eastAsia"/>
          <w:color w:val="000000"/>
          <w:kern w:val="0"/>
          <w:szCs w:val="21"/>
        </w:rPr>
        <w:t>202</w:t>
      </w:r>
      <w:r w:rsidR="003B7842">
        <w:rPr>
          <w:rFonts w:eastAsia="仿宋_GB2312" w:hint="eastAsia"/>
          <w:color w:val="000000"/>
          <w:kern w:val="0"/>
          <w:szCs w:val="21"/>
        </w:rPr>
        <w:t>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6D4DAF" w:rsidTr="00E22D9E">
        <w:trPr>
          <w:trHeight w:val="720"/>
          <w:jc w:val="center"/>
        </w:trPr>
        <w:tc>
          <w:tcPr>
            <w:tcW w:w="1080" w:type="dxa"/>
            <w:vAlign w:val="center"/>
          </w:tcPr>
          <w:p w:rsidR="006D4DAF" w:rsidRDefault="006D4DAF" w:rsidP="00E22D9E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:rsidR="006D4DAF" w:rsidRDefault="006D4DAF" w:rsidP="00E22D9E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6D4DAF">
              <w:rPr>
                <w:rFonts w:eastAsia="仿宋_GB2312" w:hint="eastAsia"/>
                <w:color w:val="000000"/>
                <w:kern w:val="0"/>
                <w:szCs w:val="21"/>
              </w:rPr>
              <w:t>司法救助资金（专项核拨）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零陵区委</w:t>
            </w:r>
            <w:r w:rsidRPr="001B131D">
              <w:rPr>
                <w:rFonts w:eastAsia="仿宋_GB2312" w:hint="eastAsia"/>
                <w:color w:val="000000"/>
                <w:kern w:val="0"/>
                <w:szCs w:val="21"/>
              </w:rPr>
              <w:t>、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区政府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零陵区政法委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:rsidR="006D4DAF" w:rsidRDefault="006D4DAF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:rsidR="006D4DAF" w:rsidRDefault="003B7842" w:rsidP="004370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30.75</w:t>
            </w:r>
          </w:p>
        </w:tc>
        <w:tc>
          <w:tcPr>
            <w:tcW w:w="1209" w:type="dxa"/>
            <w:vAlign w:val="center"/>
          </w:tcPr>
          <w:p w:rsidR="006D4DAF" w:rsidRDefault="003B7842" w:rsidP="004370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30.75</w:t>
            </w:r>
          </w:p>
        </w:tc>
        <w:tc>
          <w:tcPr>
            <w:tcW w:w="1134" w:type="dxa"/>
            <w:vAlign w:val="center"/>
          </w:tcPr>
          <w:p w:rsidR="006D4DAF" w:rsidRDefault="006D4DAF" w:rsidP="003B78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3B7842">
              <w:rPr>
                <w:rFonts w:eastAsia="仿宋_GB2312" w:hint="eastAsia"/>
                <w:color w:val="000000"/>
                <w:kern w:val="0"/>
                <w:szCs w:val="21"/>
              </w:rPr>
              <w:t>30.75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:rsidR="006D4DAF" w:rsidRDefault="003B7842" w:rsidP="004370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30.75</w:t>
            </w:r>
          </w:p>
        </w:tc>
        <w:tc>
          <w:tcPr>
            <w:tcW w:w="1209" w:type="dxa"/>
            <w:vAlign w:val="center"/>
          </w:tcPr>
          <w:p w:rsidR="006D4DAF" w:rsidRDefault="003B7842" w:rsidP="004370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30.75</w:t>
            </w:r>
          </w:p>
        </w:tc>
        <w:tc>
          <w:tcPr>
            <w:tcW w:w="1134" w:type="dxa"/>
            <w:vAlign w:val="center"/>
          </w:tcPr>
          <w:p w:rsidR="006D4DAF" w:rsidRDefault="006D4DAF" w:rsidP="003B78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3B7842">
              <w:rPr>
                <w:rFonts w:eastAsia="仿宋_GB2312" w:hint="eastAsia"/>
                <w:color w:val="000000"/>
                <w:kern w:val="0"/>
                <w:szCs w:val="21"/>
              </w:rPr>
              <w:t>30.75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D4DAF" w:rsidRDefault="006D4DAF" w:rsidP="00E22D9E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:rsidR="006D4DAF" w:rsidRDefault="006D4DAF" w:rsidP="004370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6D4DAF" w:rsidRDefault="006D4DAF" w:rsidP="004370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D4DAF" w:rsidRDefault="006D4DAF" w:rsidP="00E22D9E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6D4DAF" w:rsidTr="00E22D9E">
        <w:trPr>
          <w:trHeight w:val="998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:rsidR="006D4DAF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维护零陵区司法救助人员稳定</w:t>
            </w:r>
            <w:r w:rsidR="006D4DAF">
              <w:rPr>
                <w:rFonts w:eastAsia="仿宋_GB2312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4253" w:type="dxa"/>
            <w:gridSpan w:val="4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6D4DAF" w:rsidTr="00E22D9E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6D4DAF" w:rsidRDefault="006D4DAF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6D4DAF" w:rsidRDefault="006D4DAF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:rsidR="006D4DAF" w:rsidRDefault="006D4DAF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:rsidR="006D4DAF" w:rsidRDefault="006D4DAF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:rsidR="006D4DAF" w:rsidRDefault="006D4DAF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:rsidR="006D4DAF" w:rsidRDefault="006D4DAF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 w:rsidR="006D4DAF" w:rsidRDefault="00437005" w:rsidP="004370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437005">
              <w:rPr>
                <w:rFonts w:eastAsia="仿宋_GB2312" w:hint="eastAsia"/>
                <w:color w:val="000000"/>
                <w:kern w:val="0"/>
                <w:szCs w:val="21"/>
              </w:rPr>
              <w:t>发放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≥</w:t>
            </w:r>
            <w:r w:rsidRPr="00437005"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 w:rsidRPr="00437005">
              <w:rPr>
                <w:rFonts w:eastAsia="仿宋_GB2312" w:hint="eastAsia"/>
                <w:color w:val="000000"/>
                <w:kern w:val="0"/>
                <w:szCs w:val="21"/>
              </w:rPr>
              <w:t>名司法救助人员补助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:rsidR="006D4DAF" w:rsidRDefault="006D4DAF" w:rsidP="004370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零陵区</w:t>
            </w:r>
            <w:r w:rsidR="00437005">
              <w:rPr>
                <w:rFonts w:eastAsia="仿宋_GB2312" w:hint="eastAsia"/>
                <w:color w:val="000000"/>
                <w:kern w:val="0"/>
                <w:szCs w:val="21"/>
              </w:rPr>
              <w:t>司法救助人员稳定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年内保障</w:t>
            </w:r>
            <w:r w:rsidR="00437005">
              <w:rPr>
                <w:rFonts w:eastAsia="仿宋_GB2312" w:hint="eastAsia"/>
                <w:color w:val="000000"/>
                <w:kern w:val="0"/>
                <w:szCs w:val="21"/>
              </w:rPr>
              <w:t>零陵区司法救助人</w:t>
            </w:r>
            <w:r w:rsidR="00437005">
              <w:rPr>
                <w:rFonts w:eastAsia="仿宋_GB2312" w:hint="eastAsia"/>
                <w:color w:val="000000"/>
                <w:kern w:val="0"/>
                <w:szCs w:val="21"/>
              </w:rPr>
              <w:lastRenderedPageBreak/>
              <w:t>员稳定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:rsidR="006D4DAF" w:rsidRDefault="006D4DAF" w:rsidP="004370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从简节约完成</w:t>
            </w:r>
            <w:r w:rsidR="00437005">
              <w:rPr>
                <w:rFonts w:eastAsia="仿宋_GB2312" w:hint="eastAsia"/>
                <w:color w:val="000000"/>
                <w:kern w:val="0"/>
                <w:szCs w:val="21"/>
              </w:rPr>
              <w:t>救助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工作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6D4DAF" w:rsidRDefault="006D4DAF" w:rsidP="004370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按纪检及财政要求完成</w:t>
            </w:r>
            <w:r w:rsidR="00437005">
              <w:rPr>
                <w:rFonts w:eastAsia="仿宋_GB2312" w:hint="eastAsia"/>
                <w:color w:val="000000"/>
                <w:kern w:val="0"/>
                <w:szCs w:val="21"/>
              </w:rPr>
              <w:t>救助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工作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有利于社会发展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保护环境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政法队伍素质提升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Merge w:val="restart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4DAF" w:rsidTr="00E22D9E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:rsidR="006D4DAF" w:rsidRDefault="006D4DAF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vAlign w:val="center"/>
          </w:tcPr>
          <w:p w:rsidR="006D4DAF" w:rsidRDefault="006D4DAF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D4DAF" w:rsidRDefault="006D4DAF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3105E8" w:rsidRDefault="003105E8" w:rsidP="00437005">
      <w:pPr>
        <w:widowControl/>
        <w:jc w:val="left"/>
        <w:rPr>
          <w:rFonts w:eastAsia="黑体"/>
          <w:sz w:val="32"/>
          <w:szCs w:val="32"/>
        </w:rPr>
      </w:pPr>
    </w:p>
    <w:p w:rsidR="00437005" w:rsidRDefault="00437005" w:rsidP="00437005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2</w:t>
      </w:r>
    </w:p>
    <w:p w:rsidR="00437005" w:rsidRDefault="00437005" w:rsidP="00437005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:rsidR="00437005" w:rsidRDefault="00437005" w:rsidP="00437005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 w:rsidR="003E12E5">
        <w:rPr>
          <w:rFonts w:eastAsia="仿宋_GB2312" w:hint="eastAsia"/>
          <w:color w:val="000000"/>
          <w:kern w:val="0"/>
          <w:szCs w:val="21"/>
        </w:rPr>
        <w:t>202</w:t>
      </w:r>
      <w:r w:rsidR="003B7842">
        <w:rPr>
          <w:rFonts w:eastAsia="仿宋_GB2312" w:hint="eastAsia"/>
          <w:color w:val="000000"/>
          <w:kern w:val="0"/>
          <w:szCs w:val="21"/>
        </w:rPr>
        <w:t>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437005" w:rsidTr="00E22D9E">
        <w:trPr>
          <w:trHeight w:val="720"/>
          <w:jc w:val="center"/>
        </w:trPr>
        <w:tc>
          <w:tcPr>
            <w:tcW w:w="1080" w:type="dxa"/>
            <w:vAlign w:val="center"/>
          </w:tcPr>
          <w:p w:rsidR="00437005" w:rsidRDefault="00437005" w:rsidP="00E22D9E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:rsidR="00437005" w:rsidRDefault="00437005" w:rsidP="00E22D9E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437005">
              <w:rPr>
                <w:rFonts w:eastAsia="仿宋_GB2312" w:hint="eastAsia"/>
                <w:color w:val="000000"/>
                <w:kern w:val="0"/>
                <w:szCs w:val="21"/>
              </w:rPr>
              <w:t>防控专项经费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零陵区委</w:t>
            </w:r>
            <w:r w:rsidRPr="001B131D">
              <w:rPr>
                <w:rFonts w:eastAsia="仿宋_GB2312" w:hint="eastAsia"/>
                <w:color w:val="000000"/>
                <w:kern w:val="0"/>
                <w:szCs w:val="21"/>
              </w:rPr>
              <w:t>、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区政府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零陵区政法委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:rsidR="00437005" w:rsidRDefault="00437005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:rsidR="00437005" w:rsidRDefault="00417EF0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10.8</w:t>
            </w:r>
          </w:p>
        </w:tc>
        <w:tc>
          <w:tcPr>
            <w:tcW w:w="1209" w:type="dxa"/>
            <w:vAlign w:val="center"/>
          </w:tcPr>
          <w:p w:rsidR="00437005" w:rsidRDefault="00417EF0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10.8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417EF0">
              <w:rPr>
                <w:rFonts w:eastAsia="仿宋_GB2312" w:hint="eastAsia"/>
                <w:color w:val="000000"/>
                <w:kern w:val="0"/>
                <w:szCs w:val="21"/>
              </w:rPr>
              <w:t>10.8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:rsidR="00437005" w:rsidRDefault="00417EF0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10.8</w:t>
            </w:r>
          </w:p>
        </w:tc>
        <w:tc>
          <w:tcPr>
            <w:tcW w:w="1209" w:type="dxa"/>
            <w:vAlign w:val="center"/>
          </w:tcPr>
          <w:p w:rsidR="00437005" w:rsidRDefault="00417EF0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10.8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417EF0">
              <w:rPr>
                <w:rFonts w:eastAsia="仿宋_GB2312" w:hint="eastAsia"/>
                <w:color w:val="000000"/>
                <w:kern w:val="0"/>
                <w:szCs w:val="21"/>
              </w:rPr>
              <w:t>10.8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7005" w:rsidRDefault="00437005" w:rsidP="00E22D9E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7005" w:rsidRDefault="00437005" w:rsidP="00E22D9E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437005" w:rsidTr="00E22D9E">
        <w:trPr>
          <w:trHeight w:val="998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:rsidR="00437005" w:rsidRDefault="00437005" w:rsidP="004370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维护零陵区反邪教人员稳定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4253" w:type="dxa"/>
            <w:gridSpan w:val="4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437005" w:rsidTr="00E22D9E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437005" w:rsidRDefault="00437005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437005" w:rsidRDefault="00437005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:rsidR="00437005" w:rsidRDefault="00437005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:rsidR="00437005" w:rsidRDefault="00437005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:rsidR="00437005" w:rsidRDefault="00437005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:rsidR="00437005" w:rsidRDefault="00437005" w:rsidP="00E22D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 w:rsidR="00437005" w:rsidRDefault="00437005" w:rsidP="004370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防控≥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 w:rsidRPr="00437005">
              <w:rPr>
                <w:rFonts w:eastAsia="仿宋_GB2312" w:hint="eastAsia"/>
                <w:color w:val="000000"/>
                <w:kern w:val="0"/>
                <w:szCs w:val="21"/>
              </w:rPr>
              <w:t>名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邪教</w:t>
            </w:r>
            <w:r w:rsidRPr="00437005">
              <w:rPr>
                <w:rFonts w:eastAsia="仿宋_GB2312" w:hint="eastAsia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:rsidR="00437005" w:rsidRDefault="00437005" w:rsidP="004370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零陵区邪教人员减少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:rsidR="00437005" w:rsidRDefault="00437005" w:rsidP="004370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年内保障零陵区邪教人员稳定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:rsidR="00437005" w:rsidRDefault="00437005" w:rsidP="004370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从简节约完成反邪教工作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按纪检及财政要求完成反邪教工作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有利于社会发展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保护环境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政法队伍素质提升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Merge w:val="restart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7005" w:rsidTr="00E22D9E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:rsidR="00437005" w:rsidRDefault="00437005" w:rsidP="00E22D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vAlign w:val="center"/>
          </w:tcPr>
          <w:p w:rsidR="00437005" w:rsidRDefault="00437005" w:rsidP="00E22D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437005" w:rsidRDefault="0043700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3E12E5" w:rsidRDefault="003E12E5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3105E8" w:rsidRDefault="003105E8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C9480A" w:rsidRDefault="00C9480A"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kern w:val="0"/>
          <w:sz w:val="32"/>
          <w:szCs w:val="32"/>
        </w:rPr>
        <w:t>3</w:t>
      </w:r>
    </w:p>
    <w:p w:rsidR="00C9480A" w:rsidRDefault="00C9480A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310FB" w:rsidRDefault="006310FB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310FB" w:rsidRDefault="006310FB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6310FB" w:rsidRDefault="006310FB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C9480A" w:rsidRDefault="003E12E5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 w:hint="eastAsia"/>
          <w:sz w:val="48"/>
          <w:szCs w:val="48"/>
        </w:rPr>
        <w:t>202</w:t>
      </w:r>
      <w:r w:rsidR="003B7842">
        <w:rPr>
          <w:rFonts w:eastAsia="方正小标宋_GBK" w:hint="eastAsia"/>
          <w:sz w:val="48"/>
          <w:szCs w:val="48"/>
        </w:rPr>
        <w:t>2</w:t>
      </w:r>
      <w:r w:rsidR="00C9480A">
        <w:rPr>
          <w:rFonts w:eastAsia="方正小标宋_GBK"/>
          <w:sz w:val="48"/>
          <w:szCs w:val="48"/>
        </w:rPr>
        <w:t>年度</w:t>
      </w:r>
      <w:r w:rsidR="00653418">
        <w:rPr>
          <w:rFonts w:eastAsia="方正小标宋_GBK" w:hint="eastAsia"/>
          <w:sz w:val="48"/>
          <w:szCs w:val="48"/>
        </w:rPr>
        <w:t>政法委</w:t>
      </w:r>
      <w:r w:rsidR="00C9480A">
        <w:rPr>
          <w:rFonts w:eastAsia="方正小标宋_GBK"/>
          <w:sz w:val="48"/>
          <w:szCs w:val="48"/>
        </w:rPr>
        <w:t>整体支出</w:t>
      </w:r>
    </w:p>
    <w:p w:rsidR="00C9480A" w:rsidRDefault="00C9480A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:rsidR="00C9480A" w:rsidRDefault="00653418">
      <w:pPr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 xml:space="preserve"> </w:t>
      </w:r>
    </w:p>
    <w:p w:rsidR="00C9480A" w:rsidRDefault="00C9480A">
      <w:pPr>
        <w:jc w:val="center"/>
        <w:rPr>
          <w:rFonts w:eastAsia="黑体"/>
          <w:sz w:val="32"/>
          <w:szCs w:val="32"/>
        </w:rPr>
      </w:pPr>
    </w:p>
    <w:p w:rsidR="00C9480A" w:rsidRDefault="00C9480A" w:rsidP="00653418">
      <w:pPr>
        <w:rPr>
          <w:rFonts w:eastAsia="黑体"/>
          <w:sz w:val="44"/>
          <w:szCs w:val="44"/>
        </w:rPr>
      </w:pPr>
    </w:p>
    <w:p w:rsidR="00C9480A" w:rsidRDefault="00C9480A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814453" w:rsidRDefault="00814453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6310FB" w:rsidRDefault="006310FB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814453" w:rsidRDefault="00814453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6310FB" w:rsidRDefault="006310FB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6310FB" w:rsidRDefault="006310FB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6310FB" w:rsidRDefault="006310FB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C9480A" w:rsidRDefault="00C9480A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C9480A" w:rsidRDefault="00814453">
      <w:pPr>
        <w:ind w:firstLineChars="200" w:firstLine="72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中共永州市零陵区委政法委员会</w:t>
      </w:r>
    </w:p>
    <w:p w:rsidR="00C9480A" w:rsidRDefault="00C9480A">
      <w:pPr>
        <w:jc w:val="center"/>
        <w:rPr>
          <w:rFonts w:eastAsia="黑体"/>
          <w:sz w:val="32"/>
          <w:szCs w:val="32"/>
        </w:rPr>
      </w:pPr>
    </w:p>
    <w:p w:rsidR="006310FB" w:rsidRDefault="006310FB">
      <w:pPr>
        <w:jc w:val="center"/>
        <w:rPr>
          <w:rFonts w:eastAsia="黑体"/>
          <w:sz w:val="32"/>
          <w:szCs w:val="32"/>
        </w:rPr>
      </w:pPr>
    </w:p>
    <w:p w:rsidR="002B5D56" w:rsidRDefault="00C9480A" w:rsidP="002B5D5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一、基本情况</w:t>
      </w:r>
    </w:p>
    <w:p w:rsidR="00814453" w:rsidRPr="002B5D56" w:rsidRDefault="00814453" w:rsidP="002B5D56">
      <w:pPr>
        <w:spacing w:line="600" w:lineRule="exact"/>
        <w:ind w:firstLineChars="200" w:firstLine="540"/>
        <w:rPr>
          <w:rFonts w:eastAsia="黑体"/>
          <w:sz w:val="32"/>
          <w:szCs w:val="32"/>
        </w:rPr>
      </w:pP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（</w:t>
      </w: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1</w:t>
      </w: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）主要职能</w:t>
      </w:r>
    </w:p>
    <w:p w:rsidR="00814453" w:rsidRPr="00D67B71" w:rsidRDefault="00814453" w:rsidP="002B5D56">
      <w:pPr>
        <w:ind w:firstLineChars="200" w:firstLine="540"/>
        <w:rPr>
          <w:color w:val="333333"/>
          <w:sz w:val="27"/>
          <w:szCs w:val="27"/>
          <w:shd w:val="clear" w:color="auto" w:fill="FCFCFC"/>
        </w:rPr>
      </w:pP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零陵区委政法委担负着维护社会稳定、社会治安综合治理、执法监督、队伍建设等重要任务，主要职责是：</w:t>
      </w:r>
    </w:p>
    <w:p w:rsidR="00814453" w:rsidRPr="00D67B71" w:rsidRDefault="00814453" w:rsidP="002B5D56">
      <w:pPr>
        <w:ind w:firstLineChars="200" w:firstLine="540"/>
        <w:rPr>
          <w:color w:val="333333"/>
          <w:sz w:val="27"/>
          <w:szCs w:val="27"/>
          <w:shd w:val="clear" w:color="auto" w:fill="FCFCFC"/>
        </w:rPr>
      </w:pP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1</w:t>
      </w: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、根据党的路线方针政策和党委的部署，研究制定贯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彻落实的具体措施，统一政法各部门的思想和行动。</w:t>
      </w:r>
    </w:p>
    <w:p w:rsidR="00814453" w:rsidRPr="00D67B71" w:rsidRDefault="00814453" w:rsidP="002B5D56">
      <w:pPr>
        <w:ind w:firstLineChars="200" w:firstLine="540"/>
        <w:rPr>
          <w:color w:val="333333"/>
          <w:sz w:val="27"/>
          <w:szCs w:val="27"/>
          <w:shd w:val="clear" w:color="auto" w:fill="FCFCFC"/>
        </w:rPr>
      </w:pP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2</w:t>
      </w: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、组织、指导维护社会稳定工作，掌握和分析社会稳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定情况，协调处理群体性事件。</w:t>
      </w:r>
    </w:p>
    <w:p w:rsidR="00814453" w:rsidRPr="00D67B71" w:rsidRDefault="00814453" w:rsidP="002B5D56">
      <w:pPr>
        <w:ind w:firstLineChars="200" w:firstLine="540"/>
        <w:rPr>
          <w:color w:val="333333"/>
          <w:sz w:val="27"/>
          <w:szCs w:val="27"/>
          <w:shd w:val="clear" w:color="auto" w:fill="FCFCFC"/>
        </w:rPr>
      </w:pP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3</w:t>
      </w: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、检查政法部门公正廉洁执法的情况，结合实际，研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究制定促进公正廉洁执法的具体办法。</w:t>
      </w:r>
    </w:p>
    <w:p w:rsidR="00814453" w:rsidRPr="00D67B71" w:rsidRDefault="00814453" w:rsidP="002B5D56">
      <w:pPr>
        <w:ind w:firstLineChars="200" w:firstLine="540"/>
        <w:rPr>
          <w:color w:val="333333"/>
          <w:sz w:val="27"/>
          <w:szCs w:val="27"/>
          <w:shd w:val="clear" w:color="auto" w:fill="FCFCFC"/>
        </w:rPr>
      </w:pP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4</w:t>
      </w: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、大力支持和严格监督政法各部门依法行使职权，指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导和协调政法各部门在依法相互制约的同时密切配合，督促大案要案的查处工作。</w:t>
      </w:r>
    </w:p>
    <w:p w:rsidR="00814453" w:rsidRPr="00D67B71" w:rsidRDefault="00814453" w:rsidP="002B5D56">
      <w:pPr>
        <w:ind w:firstLineChars="200" w:firstLine="540"/>
        <w:rPr>
          <w:color w:val="333333"/>
          <w:sz w:val="27"/>
          <w:szCs w:val="27"/>
          <w:shd w:val="clear" w:color="auto" w:fill="FCFCFC"/>
        </w:rPr>
      </w:pP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5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、组织、协调社会治安综合治理工作，落实平安建设措施，推进社会管理创新，营造安定的社会环境。</w:t>
      </w:r>
    </w:p>
    <w:p w:rsidR="00814453" w:rsidRPr="00D67B71" w:rsidRDefault="00814453" w:rsidP="002B5D56">
      <w:pPr>
        <w:ind w:firstLineChars="200" w:firstLine="540"/>
        <w:rPr>
          <w:color w:val="333333"/>
          <w:sz w:val="27"/>
          <w:szCs w:val="27"/>
          <w:shd w:val="clear" w:color="auto" w:fill="FCFCFC"/>
        </w:rPr>
      </w:pP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6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、组织构建大调解工作体系，排查化解矛盾隐患，指导、协调、推动政法部门做好涉法涉诉信访工作。</w:t>
      </w:r>
    </w:p>
    <w:p w:rsidR="00814453" w:rsidRPr="00D67B71" w:rsidRDefault="00814453" w:rsidP="002B5D56">
      <w:pPr>
        <w:pStyle w:val="a8"/>
        <w:ind w:firstLine="540"/>
        <w:rPr>
          <w:rFonts w:ascii="Times New Roman" w:hAnsi="Times New Roman"/>
          <w:color w:val="333333"/>
          <w:sz w:val="27"/>
          <w:szCs w:val="27"/>
          <w:shd w:val="clear" w:color="auto" w:fill="FCFCFC"/>
        </w:rPr>
      </w:pP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7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、研究加强政法队伍建设和领导班子建设的措施，协助党委及其组织部门考察、管理政法部门的领导干部。</w:t>
      </w:r>
    </w:p>
    <w:p w:rsidR="00814453" w:rsidRPr="00D67B71" w:rsidRDefault="00814453" w:rsidP="002B5D56">
      <w:pPr>
        <w:pStyle w:val="a8"/>
        <w:ind w:firstLine="540"/>
        <w:rPr>
          <w:rFonts w:ascii="Times New Roman" w:hAnsi="Times New Roman"/>
          <w:color w:val="333333"/>
          <w:sz w:val="27"/>
          <w:szCs w:val="27"/>
          <w:shd w:val="clear" w:color="auto" w:fill="FCFCFC"/>
        </w:rPr>
      </w:pP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8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、组织、推动政法部门开展党风廉政建设，协助纪检部门查处违纪违法行为。</w:t>
      </w:r>
    </w:p>
    <w:p w:rsidR="00814453" w:rsidRPr="00D67B71" w:rsidRDefault="00814453" w:rsidP="002B5D56">
      <w:pPr>
        <w:pStyle w:val="a8"/>
        <w:ind w:firstLine="540"/>
        <w:rPr>
          <w:rFonts w:ascii="Times New Roman" w:hAnsi="Times New Roman"/>
          <w:color w:val="333333"/>
          <w:sz w:val="27"/>
          <w:szCs w:val="27"/>
          <w:shd w:val="clear" w:color="auto" w:fill="FCFCFC"/>
        </w:rPr>
      </w:pP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9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、研究分析涉及政法工作的舆论情况和影响社会稳定的舆情信息，指导、协调政法综治维稳宣传和舆论引导工作。</w:t>
      </w:r>
    </w:p>
    <w:p w:rsidR="00814453" w:rsidRPr="00D67B71" w:rsidRDefault="00814453" w:rsidP="002B5D56">
      <w:pPr>
        <w:pStyle w:val="a8"/>
        <w:ind w:firstLine="540"/>
        <w:rPr>
          <w:rFonts w:ascii="Times New Roman" w:hAnsi="Times New Roman"/>
          <w:color w:val="333333"/>
          <w:sz w:val="27"/>
          <w:szCs w:val="27"/>
          <w:shd w:val="clear" w:color="auto" w:fill="FCFCFC"/>
        </w:rPr>
      </w:pP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lastRenderedPageBreak/>
        <w:t>10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、及时向党委反映政法工作的重大情况，办理党委和上级党委政法委交办的其他事项。</w:t>
      </w:r>
    </w:p>
    <w:p w:rsidR="00814453" w:rsidRPr="0016418A" w:rsidRDefault="00814453" w:rsidP="0016418A">
      <w:pPr>
        <w:ind w:firstLineChars="200" w:firstLine="540"/>
        <w:rPr>
          <w:color w:val="333333"/>
          <w:sz w:val="27"/>
          <w:szCs w:val="27"/>
          <w:shd w:val="clear" w:color="auto" w:fill="FCFCFC"/>
        </w:rPr>
      </w:pPr>
      <w:r w:rsidRPr="0016418A">
        <w:rPr>
          <w:rFonts w:hint="eastAsia"/>
          <w:color w:val="333333"/>
          <w:sz w:val="27"/>
          <w:szCs w:val="27"/>
          <w:shd w:val="clear" w:color="auto" w:fill="FCFCFC"/>
        </w:rPr>
        <w:t>（</w:t>
      </w:r>
      <w:r w:rsidRPr="0016418A">
        <w:rPr>
          <w:rFonts w:hint="eastAsia"/>
          <w:color w:val="333333"/>
          <w:sz w:val="27"/>
          <w:szCs w:val="27"/>
          <w:shd w:val="clear" w:color="auto" w:fill="FCFCFC"/>
        </w:rPr>
        <w:t>2</w:t>
      </w:r>
      <w:r w:rsidRPr="0016418A">
        <w:rPr>
          <w:rFonts w:hint="eastAsia"/>
          <w:color w:val="333333"/>
          <w:sz w:val="27"/>
          <w:szCs w:val="27"/>
          <w:shd w:val="clear" w:color="auto" w:fill="FCFCFC"/>
        </w:rPr>
        <w:t>）机构设置</w:t>
      </w:r>
    </w:p>
    <w:p w:rsidR="00814453" w:rsidRPr="002B5D56" w:rsidRDefault="002B5D56" w:rsidP="0016418A">
      <w:pPr>
        <w:pStyle w:val="a8"/>
        <w:ind w:firstLine="540"/>
        <w:rPr>
          <w:color w:val="333333"/>
          <w:sz w:val="27"/>
          <w:szCs w:val="27"/>
          <w:shd w:val="clear" w:color="auto" w:fill="FCFCFC"/>
        </w:rPr>
      </w:pP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零陵区政法委内设机构为</w:t>
      </w:r>
      <w:r w:rsidR="00606099">
        <w:rPr>
          <w:rFonts w:hint="eastAsia"/>
          <w:color w:val="333333"/>
          <w:sz w:val="27"/>
          <w:szCs w:val="27"/>
          <w:shd w:val="clear" w:color="auto" w:fill="FCFCFC"/>
        </w:rPr>
        <w:t>10</w:t>
      </w: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个：办公室、</w:t>
      </w:r>
      <w:r w:rsidR="00606099">
        <w:rPr>
          <w:rFonts w:hint="eastAsia"/>
          <w:color w:val="333333"/>
          <w:sz w:val="27"/>
          <w:szCs w:val="27"/>
          <w:shd w:val="clear" w:color="auto" w:fill="FCFCFC"/>
        </w:rPr>
        <w:t>政工室、</w:t>
      </w: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政治</w:t>
      </w:r>
      <w:r w:rsidR="00606099">
        <w:rPr>
          <w:rFonts w:hint="eastAsia"/>
          <w:color w:val="333333"/>
          <w:sz w:val="27"/>
          <w:szCs w:val="27"/>
          <w:shd w:val="clear" w:color="auto" w:fill="FCFCFC"/>
        </w:rPr>
        <w:t>安全室</w:t>
      </w: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、执法监督室、综治</w:t>
      </w:r>
      <w:r w:rsidR="00606099">
        <w:rPr>
          <w:rFonts w:hint="eastAsia"/>
          <w:color w:val="333333"/>
          <w:sz w:val="27"/>
          <w:szCs w:val="27"/>
          <w:shd w:val="clear" w:color="auto" w:fill="FCFCFC"/>
        </w:rPr>
        <w:t>督导室</w:t>
      </w: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、维稳</w:t>
      </w:r>
      <w:r w:rsidR="00606099">
        <w:rPr>
          <w:rFonts w:hint="eastAsia"/>
          <w:color w:val="333333"/>
          <w:sz w:val="27"/>
          <w:szCs w:val="27"/>
          <w:shd w:val="clear" w:color="auto" w:fill="FCFCFC"/>
        </w:rPr>
        <w:t>指导室</w:t>
      </w:r>
      <w:r w:rsidRPr="002B5D56">
        <w:rPr>
          <w:rFonts w:hint="eastAsia"/>
          <w:color w:val="333333"/>
          <w:sz w:val="27"/>
          <w:szCs w:val="27"/>
          <w:shd w:val="clear" w:color="auto" w:fill="FCFCFC"/>
        </w:rPr>
        <w:t>、反邪</w:t>
      </w:r>
      <w:r w:rsidR="00606099">
        <w:rPr>
          <w:rFonts w:hint="eastAsia"/>
          <w:color w:val="333333"/>
          <w:sz w:val="27"/>
          <w:szCs w:val="27"/>
          <w:shd w:val="clear" w:color="auto" w:fill="FCFCFC"/>
        </w:rPr>
        <w:t>协调室、基层社会治理室、宣传教育室、政策研究室。内设临时机构</w:t>
      </w:r>
      <w:r w:rsidR="00606099">
        <w:rPr>
          <w:rFonts w:hint="eastAsia"/>
          <w:color w:val="333333"/>
          <w:sz w:val="27"/>
          <w:szCs w:val="27"/>
          <w:shd w:val="clear" w:color="auto" w:fill="FCFCFC"/>
        </w:rPr>
        <w:t>2</w:t>
      </w:r>
      <w:r w:rsidR="00606099">
        <w:rPr>
          <w:rFonts w:hint="eastAsia"/>
          <w:color w:val="333333"/>
          <w:sz w:val="27"/>
          <w:szCs w:val="27"/>
          <w:shd w:val="clear" w:color="auto" w:fill="FCFCFC"/>
        </w:rPr>
        <w:t>个：扫黑办、民调办。</w:t>
      </w:r>
    </w:p>
    <w:p w:rsidR="00814453" w:rsidRPr="0016418A" w:rsidRDefault="00814453" w:rsidP="0016418A">
      <w:pPr>
        <w:ind w:firstLineChars="200" w:firstLine="540"/>
        <w:rPr>
          <w:color w:val="333333"/>
          <w:sz w:val="27"/>
          <w:szCs w:val="27"/>
          <w:shd w:val="clear" w:color="auto" w:fill="FCFCFC"/>
        </w:rPr>
      </w:pPr>
      <w:r w:rsidRPr="0016418A">
        <w:rPr>
          <w:rFonts w:hint="eastAsia"/>
          <w:color w:val="333333"/>
          <w:sz w:val="27"/>
          <w:szCs w:val="27"/>
          <w:shd w:val="clear" w:color="auto" w:fill="FCFCFC"/>
        </w:rPr>
        <w:t>（</w:t>
      </w:r>
      <w:r w:rsidRPr="0016418A">
        <w:rPr>
          <w:rFonts w:hint="eastAsia"/>
          <w:color w:val="333333"/>
          <w:sz w:val="27"/>
          <w:szCs w:val="27"/>
          <w:shd w:val="clear" w:color="auto" w:fill="FCFCFC"/>
        </w:rPr>
        <w:t>3</w:t>
      </w:r>
      <w:r w:rsidRPr="0016418A">
        <w:rPr>
          <w:rFonts w:hint="eastAsia"/>
          <w:color w:val="333333"/>
          <w:sz w:val="27"/>
          <w:szCs w:val="27"/>
          <w:shd w:val="clear" w:color="auto" w:fill="FCFCFC"/>
        </w:rPr>
        <w:t>）在职人员情况</w:t>
      </w:r>
    </w:p>
    <w:p w:rsidR="00814453" w:rsidRPr="00814453" w:rsidRDefault="00814453" w:rsidP="0016418A">
      <w:pPr>
        <w:pStyle w:val="a8"/>
        <w:ind w:firstLine="540"/>
        <w:rPr>
          <w:rFonts w:ascii="Times New Roman" w:hAnsi="Times New Roman"/>
          <w:color w:val="333333"/>
          <w:sz w:val="27"/>
          <w:szCs w:val="27"/>
          <w:shd w:val="clear" w:color="auto" w:fill="FCFCFC"/>
        </w:rPr>
      </w:pP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本部门核定编制数</w:t>
      </w:r>
      <w:r w:rsidR="00FD2859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20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名，全额编制</w:t>
      </w:r>
      <w:r w:rsidR="00FD2859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20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名，自收自支编制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0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名，实有人数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2</w:t>
      </w:r>
      <w:r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1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名，其中：在职人员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2</w:t>
      </w:r>
      <w:r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1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人，离休人员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0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人，退休人员</w:t>
      </w:r>
      <w:r w:rsidR="00FD2859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14</w:t>
      </w:r>
      <w:r w:rsidRPr="00D67B71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人。</w:t>
      </w:r>
    </w:p>
    <w:p w:rsidR="00C9480A" w:rsidRDefault="00C9480A">
      <w:pPr>
        <w:pStyle w:val="Style1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FD2859" w:rsidRDefault="00814453" w:rsidP="00FD2859">
      <w:pPr>
        <w:adjustRightInd w:val="0"/>
        <w:snapToGrid w:val="0"/>
        <w:spacing w:line="600" w:lineRule="exact"/>
        <w:ind w:firstLineChars="200" w:firstLine="540"/>
        <w:rPr>
          <w:rFonts w:hint="eastAsia"/>
          <w:color w:val="333333"/>
          <w:sz w:val="27"/>
          <w:szCs w:val="27"/>
          <w:shd w:val="clear" w:color="auto" w:fill="FCFCFC"/>
        </w:rPr>
      </w:pPr>
      <w:r>
        <w:rPr>
          <w:rFonts w:hint="eastAsia"/>
          <w:color w:val="333333"/>
          <w:sz w:val="27"/>
          <w:szCs w:val="27"/>
          <w:shd w:val="clear" w:color="auto" w:fill="FCFCFC"/>
        </w:rPr>
        <w:t>202</w:t>
      </w:r>
      <w:r w:rsidR="00FD2859">
        <w:rPr>
          <w:rFonts w:hint="eastAsia"/>
          <w:color w:val="333333"/>
          <w:sz w:val="27"/>
          <w:szCs w:val="27"/>
          <w:shd w:val="clear" w:color="auto" w:fill="FCFCFC"/>
        </w:rPr>
        <w:t>2</w:t>
      </w:r>
      <w:r>
        <w:rPr>
          <w:rFonts w:hint="eastAsia"/>
          <w:color w:val="333333"/>
          <w:sz w:val="27"/>
          <w:szCs w:val="27"/>
          <w:shd w:val="clear" w:color="auto" w:fill="FCFCFC"/>
        </w:rPr>
        <w:t>年实际支出</w:t>
      </w:r>
      <w:r w:rsidR="00FD2859">
        <w:rPr>
          <w:rFonts w:hint="eastAsia"/>
          <w:color w:val="333333"/>
          <w:sz w:val="27"/>
          <w:szCs w:val="27"/>
          <w:shd w:val="clear" w:color="auto" w:fill="FCFCFC"/>
        </w:rPr>
        <w:t>743.49</w:t>
      </w:r>
      <w:r>
        <w:rPr>
          <w:rFonts w:hint="eastAsia"/>
          <w:color w:val="333333"/>
          <w:sz w:val="27"/>
          <w:szCs w:val="27"/>
          <w:shd w:val="clear" w:color="auto" w:fill="FCFCFC"/>
        </w:rPr>
        <w:t>万元，其中基本支出</w:t>
      </w:r>
      <w:r w:rsidR="00FD2859">
        <w:rPr>
          <w:rFonts w:hint="eastAsia"/>
          <w:color w:val="333333"/>
          <w:sz w:val="27"/>
          <w:szCs w:val="27"/>
          <w:shd w:val="clear" w:color="auto" w:fill="FCFCFC"/>
        </w:rPr>
        <w:t>743.49</w:t>
      </w:r>
      <w:r>
        <w:rPr>
          <w:rFonts w:hint="eastAsia"/>
          <w:color w:val="333333"/>
          <w:sz w:val="27"/>
          <w:szCs w:val="27"/>
          <w:shd w:val="clear" w:color="auto" w:fill="FCFCFC"/>
        </w:rPr>
        <w:t>万元。</w:t>
      </w:r>
      <w:r w:rsidRPr="00B35FC0">
        <w:rPr>
          <w:rFonts w:hint="eastAsia"/>
          <w:color w:val="333333"/>
          <w:sz w:val="27"/>
          <w:szCs w:val="27"/>
          <w:shd w:val="clear" w:color="auto" w:fill="FCFCFC"/>
        </w:rPr>
        <w:t>本年的“三公经费”支出较上年</w:t>
      </w:r>
      <w:r w:rsidR="00FD2859">
        <w:rPr>
          <w:rFonts w:hint="eastAsia"/>
          <w:color w:val="333333"/>
          <w:sz w:val="27"/>
          <w:szCs w:val="27"/>
          <w:shd w:val="clear" w:color="auto" w:fill="FCFCFC"/>
        </w:rPr>
        <w:t>有所增加</w:t>
      </w:r>
      <w:r w:rsidRPr="00B35FC0">
        <w:rPr>
          <w:rFonts w:hint="eastAsia"/>
          <w:color w:val="333333"/>
          <w:sz w:val="27"/>
          <w:szCs w:val="27"/>
          <w:shd w:val="clear" w:color="auto" w:fill="FCFCFC"/>
        </w:rPr>
        <w:t>，其中公务用车运行维护费</w:t>
      </w:r>
      <w:r w:rsidR="00FD2859">
        <w:rPr>
          <w:rFonts w:hint="eastAsia"/>
          <w:color w:val="333333"/>
          <w:sz w:val="27"/>
          <w:szCs w:val="27"/>
          <w:shd w:val="clear" w:color="auto" w:fill="FCFCFC"/>
        </w:rPr>
        <w:t>2.07</w:t>
      </w:r>
      <w:r w:rsidRPr="00B35FC0">
        <w:rPr>
          <w:rFonts w:hint="eastAsia"/>
          <w:color w:val="333333"/>
          <w:sz w:val="27"/>
          <w:szCs w:val="27"/>
          <w:shd w:val="clear" w:color="auto" w:fill="FCFCFC"/>
        </w:rPr>
        <w:t>万元，较上年</w:t>
      </w:r>
      <w:r w:rsidR="00FD2859">
        <w:rPr>
          <w:rFonts w:hint="eastAsia"/>
          <w:color w:val="333333"/>
          <w:sz w:val="27"/>
          <w:szCs w:val="27"/>
          <w:shd w:val="clear" w:color="auto" w:fill="FCFCFC"/>
        </w:rPr>
        <w:t>增加</w:t>
      </w:r>
      <w:r w:rsidR="00FD2859">
        <w:rPr>
          <w:rFonts w:hint="eastAsia"/>
          <w:color w:val="333333"/>
          <w:sz w:val="27"/>
          <w:szCs w:val="27"/>
          <w:shd w:val="clear" w:color="auto" w:fill="FCFCFC"/>
        </w:rPr>
        <w:t>24.72</w:t>
      </w:r>
      <w:r w:rsidRPr="00B35FC0">
        <w:rPr>
          <w:rFonts w:hint="eastAsia"/>
          <w:color w:val="333333"/>
          <w:sz w:val="27"/>
          <w:szCs w:val="27"/>
          <w:shd w:val="clear" w:color="auto" w:fill="FCFCFC"/>
        </w:rPr>
        <w:t>%</w:t>
      </w:r>
      <w:r>
        <w:rPr>
          <w:rFonts w:hint="eastAsia"/>
          <w:color w:val="333333"/>
          <w:sz w:val="27"/>
          <w:szCs w:val="27"/>
          <w:shd w:val="clear" w:color="auto" w:fill="FCFCFC"/>
        </w:rPr>
        <w:t>，主要原因</w:t>
      </w:r>
      <w:r w:rsidR="00FD2859" w:rsidRPr="00FD2859">
        <w:rPr>
          <w:rFonts w:hint="eastAsia"/>
          <w:color w:val="333333"/>
          <w:sz w:val="27"/>
          <w:szCs w:val="27"/>
          <w:shd w:val="clear" w:color="auto" w:fill="FCFCFC"/>
        </w:rPr>
        <w:t>由于去年财政压缩经费，少拨付了一个季度的经费，导致去年的公车修理费用今年才能清算</w:t>
      </w:r>
      <w:r w:rsidRPr="00B35FC0">
        <w:rPr>
          <w:rFonts w:hint="eastAsia"/>
          <w:color w:val="333333"/>
          <w:sz w:val="27"/>
          <w:szCs w:val="27"/>
          <w:shd w:val="clear" w:color="auto" w:fill="FCFCFC"/>
        </w:rPr>
        <w:t>；公务接待费</w:t>
      </w:r>
      <w:r w:rsidR="00FD2859">
        <w:rPr>
          <w:rFonts w:hint="eastAsia"/>
          <w:color w:val="333333"/>
          <w:sz w:val="27"/>
          <w:szCs w:val="27"/>
          <w:shd w:val="clear" w:color="auto" w:fill="FCFCFC"/>
        </w:rPr>
        <w:t>3.80</w:t>
      </w:r>
      <w:r w:rsidRPr="00B35FC0">
        <w:rPr>
          <w:rFonts w:hint="eastAsia"/>
          <w:color w:val="333333"/>
          <w:sz w:val="27"/>
          <w:szCs w:val="27"/>
          <w:shd w:val="clear" w:color="auto" w:fill="FCFCFC"/>
        </w:rPr>
        <w:t>万元，较上年</w:t>
      </w:r>
      <w:r w:rsidR="00FD2859">
        <w:rPr>
          <w:rFonts w:hint="eastAsia"/>
          <w:color w:val="333333"/>
          <w:sz w:val="27"/>
          <w:szCs w:val="27"/>
          <w:shd w:val="clear" w:color="auto" w:fill="FCFCFC"/>
        </w:rPr>
        <w:t>增加</w:t>
      </w:r>
      <w:r w:rsidR="00FD2859">
        <w:rPr>
          <w:rFonts w:hint="eastAsia"/>
          <w:color w:val="333333"/>
          <w:sz w:val="27"/>
          <w:szCs w:val="27"/>
          <w:shd w:val="clear" w:color="auto" w:fill="FCFCFC"/>
        </w:rPr>
        <w:t>30.27</w:t>
      </w:r>
      <w:r w:rsidRPr="00B35FC0">
        <w:rPr>
          <w:rFonts w:hint="eastAsia"/>
          <w:color w:val="333333"/>
          <w:sz w:val="27"/>
          <w:szCs w:val="27"/>
          <w:shd w:val="clear" w:color="auto" w:fill="FCFCFC"/>
        </w:rPr>
        <w:t>%</w:t>
      </w:r>
      <w:r>
        <w:rPr>
          <w:rFonts w:hint="eastAsia"/>
          <w:color w:val="333333"/>
          <w:sz w:val="27"/>
          <w:szCs w:val="27"/>
          <w:shd w:val="clear" w:color="auto" w:fill="FCFCFC"/>
        </w:rPr>
        <w:t>，主要原因</w:t>
      </w:r>
      <w:r w:rsidR="00FD2859" w:rsidRPr="00FD2859">
        <w:rPr>
          <w:rFonts w:hint="eastAsia"/>
          <w:color w:val="333333"/>
          <w:sz w:val="27"/>
          <w:szCs w:val="27"/>
          <w:shd w:val="clear" w:color="auto" w:fill="FCFCFC"/>
        </w:rPr>
        <w:t>由于去年财政压缩经费，少拨付了一个季度的经费，导致去年的公务接待费用今年才能清算</w:t>
      </w:r>
      <w:r w:rsidR="00FD2859">
        <w:rPr>
          <w:rFonts w:hint="eastAsia"/>
          <w:color w:val="333333"/>
          <w:sz w:val="27"/>
          <w:szCs w:val="27"/>
          <w:shd w:val="clear" w:color="auto" w:fill="FCFCFC"/>
        </w:rPr>
        <w:t>。</w:t>
      </w:r>
    </w:p>
    <w:p w:rsidR="00C9480A" w:rsidRDefault="00C9480A" w:rsidP="00FD2859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三、政府性基金预算支出情况</w:t>
      </w:r>
    </w:p>
    <w:p w:rsidR="0008669E" w:rsidRPr="0008669E" w:rsidRDefault="0008669E" w:rsidP="0008669E">
      <w:pPr>
        <w:pStyle w:val="Style1"/>
        <w:spacing w:line="600" w:lineRule="exact"/>
        <w:ind w:firstLine="540"/>
        <w:rPr>
          <w:rFonts w:ascii="Times New Roman" w:hAnsi="Times New Roman"/>
          <w:color w:val="333333"/>
          <w:sz w:val="27"/>
          <w:szCs w:val="27"/>
          <w:shd w:val="clear" w:color="auto" w:fill="FCFCFC"/>
        </w:rPr>
      </w:pPr>
      <w:r w:rsidRPr="0008669E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无</w:t>
      </w:r>
    </w:p>
    <w:p w:rsidR="00C9480A" w:rsidRDefault="00C9480A">
      <w:pPr>
        <w:pStyle w:val="Style1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四、国有资本经营预算支出情况</w:t>
      </w:r>
    </w:p>
    <w:p w:rsidR="0008669E" w:rsidRPr="0008669E" w:rsidRDefault="0008669E" w:rsidP="0008669E">
      <w:pPr>
        <w:pStyle w:val="Style1"/>
        <w:spacing w:line="600" w:lineRule="exact"/>
        <w:ind w:firstLine="540"/>
        <w:rPr>
          <w:rFonts w:ascii="Times New Roman" w:hAnsi="Times New Roman"/>
          <w:color w:val="333333"/>
          <w:sz w:val="27"/>
          <w:szCs w:val="27"/>
          <w:shd w:val="clear" w:color="auto" w:fill="FCFCFC"/>
        </w:rPr>
      </w:pPr>
      <w:r w:rsidRPr="0008669E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无</w:t>
      </w:r>
    </w:p>
    <w:p w:rsidR="00C9480A" w:rsidRDefault="00C9480A">
      <w:pPr>
        <w:pStyle w:val="Style1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五、社会保险基金预算支出情况</w:t>
      </w:r>
    </w:p>
    <w:p w:rsidR="0008669E" w:rsidRPr="0008669E" w:rsidRDefault="0008669E" w:rsidP="0008669E">
      <w:pPr>
        <w:pStyle w:val="Style1"/>
        <w:spacing w:line="600" w:lineRule="exact"/>
        <w:ind w:firstLine="540"/>
        <w:rPr>
          <w:rFonts w:ascii="Times New Roman" w:hAnsi="Times New Roman"/>
          <w:color w:val="333333"/>
          <w:sz w:val="27"/>
          <w:szCs w:val="27"/>
          <w:shd w:val="clear" w:color="auto" w:fill="FCFCFC"/>
        </w:rPr>
      </w:pPr>
      <w:r w:rsidRPr="0008669E">
        <w:rPr>
          <w:rFonts w:ascii="Times New Roman" w:hAnsi="Times New Roman" w:hint="eastAsia"/>
          <w:color w:val="333333"/>
          <w:sz w:val="27"/>
          <w:szCs w:val="27"/>
          <w:shd w:val="clear" w:color="auto" w:fill="FCFCFC"/>
        </w:rPr>
        <w:t>无</w:t>
      </w:r>
    </w:p>
    <w:p w:rsidR="00C9480A" w:rsidRDefault="00C9480A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六、部门整体支出绩效情况</w:t>
      </w:r>
    </w:p>
    <w:p w:rsidR="004A15F5" w:rsidRPr="00D67B71" w:rsidRDefault="004A15F5" w:rsidP="004A15F5">
      <w:pPr>
        <w:adjustRightInd w:val="0"/>
        <w:snapToGrid w:val="0"/>
        <w:spacing w:line="600" w:lineRule="exact"/>
        <w:ind w:firstLineChars="200" w:firstLine="540"/>
        <w:rPr>
          <w:color w:val="333333"/>
          <w:sz w:val="27"/>
          <w:szCs w:val="27"/>
          <w:shd w:val="clear" w:color="auto" w:fill="FCFCFC"/>
        </w:rPr>
      </w:pPr>
      <w:r w:rsidRPr="00D67B71">
        <w:rPr>
          <w:color w:val="333333"/>
          <w:sz w:val="27"/>
          <w:szCs w:val="27"/>
          <w:shd w:val="clear" w:color="auto" w:fill="FCFCFC"/>
        </w:rPr>
        <w:t>20</w:t>
      </w:r>
      <w:r>
        <w:rPr>
          <w:rFonts w:hint="eastAsia"/>
          <w:color w:val="333333"/>
          <w:sz w:val="27"/>
          <w:szCs w:val="27"/>
          <w:shd w:val="clear" w:color="auto" w:fill="FCFCFC"/>
        </w:rPr>
        <w:t>2</w:t>
      </w:r>
      <w:r w:rsidR="00FD2859">
        <w:rPr>
          <w:rFonts w:hint="eastAsia"/>
          <w:color w:val="333333"/>
          <w:sz w:val="27"/>
          <w:szCs w:val="27"/>
          <w:shd w:val="clear" w:color="auto" w:fill="FCFCFC"/>
        </w:rPr>
        <w:t>2</w:t>
      </w:r>
      <w:r w:rsidRPr="00D67B71">
        <w:rPr>
          <w:color w:val="333333"/>
          <w:sz w:val="27"/>
          <w:szCs w:val="27"/>
          <w:shd w:val="clear" w:color="auto" w:fill="FCFCFC"/>
        </w:rPr>
        <w:t>年政法委整体支出均纳入了预算绩效目标管理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。</w:t>
      </w:r>
      <w:r w:rsidRPr="00D67B71">
        <w:rPr>
          <w:color w:val="333333"/>
          <w:sz w:val="27"/>
          <w:szCs w:val="27"/>
          <w:shd w:val="clear" w:color="auto" w:fill="FCFCFC"/>
        </w:rPr>
        <w:t>一是部门预算整体支出与项目支出年初均申报了绩效目标；二是部门预算绩效目标经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区</w:t>
      </w:r>
      <w:r w:rsidRPr="00D67B71">
        <w:rPr>
          <w:color w:val="333333"/>
          <w:sz w:val="27"/>
          <w:szCs w:val="27"/>
          <w:shd w:val="clear" w:color="auto" w:fill="FCFCFC"/>
        </w:rPr>
        <w:t>财政局批复后及时向社会进行了挂网公开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；</w:t>
      </w:r>
      <w:r w:rsidRPr="00D67B71">
        <w:rPr>
          <w:color w:val="333333"/>
          <w:sz w:val="27"/>
          <w:szCs w:val="27"/>
          <w:shd w:val="clear" w:color="auto" w:fill="FCFCFC"/>
        </w:rPr>
        <w:t>三是对整体支出与项目支出绩效进行了自评并挂网公开。通过绩效目标管理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，</w:t>
      </w:r>
      <w:r w:rsidRPr="00D67B71">
        <w:rPr>
          <w:color w:val="333333"/>
          <w:sz w:val="27"/>
          <w:szCs w:val="27"/>
          <w:shd w:val="clear" w:color="auto" w:fill="FCFCFC"/>
        </w:rPr>
        <w:t>保重点、保运转，多办事少花钱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，</w:t>
      </w:r>
      <w:r w:rsidRPr="00D67B71">
        <w:rPr>
          <w:color w:val="333333"/>
          <w:sz w:val="27"/>
          <w:szCs w:val="27"/>
          <w:shd w:val="clear" w:color="auto" w:fill="FCFCFC"/>
        </w:rPr>
        <w:t>有效地促进了内部控制管理、优化了资金使用。同时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，</w:t>
      </w:r>
      <w:r w:rsidRPr="00D67B71">
        <w:rPr>
          <w:color w:val="333333"/>
          <w:sz w:val="27"/>
          <w:szCs w:val="27"/>
          <w:shd w:val="clear" w:color="auto" w:fill="FCFCFC"/>
        </w:rPr>
        <w:t>对预算编制、执行和使用提出了新的要求。</w:t>
      </w:r>
    </w:p>
    <w:p w:rsidR="004A15F5" w:rsidRPr="00D67B71" w:rsidRDefault="004A15F5" w:rsidP="004A15F5">
      <w:pPr>
        <w:adjustRightInd w:val="0"/>
        <w:snapToGrid w:val="0"/>
        <w:spacing w:line="600" w:lineRule="exact"/>
        <w:ind w:firstLineChars="200" w:firstLine="540"/>
        <w:rPr>
          <w:color w:val="333333"/>
          <w:sz w:val="27"/>
          <w:szCs w:val="27"/>
          <w:shd w:val="clear" w:color="auto" w:fill="FCFCFC"/>
        </w:rPr>
      </w:pPr>
      <w:r w:rsidRPr="00D67B71">
        <w:rPr>
          <w:color w:val="333333"/>
          <w:sz w:val="27"/>
          <w:szCs w:val="27"/>
          <w:shd w:val="clear" w:color="auto" w:fill="FCFCFC"/>
        </w:rPr>
        <w:t>20</w:t>
      </w:r>
      <w:r>
        <w:rPr>
          <w:rFonts w:hint="eastAsia"/>
          <w:color w:val="333333"/>
          <w:sz w:val="27"/>
          <w:szCs w:val="27"/>
          <w:shd w:val="clear" w:color="auto" w:fill="FCFCFC"/>
        </w:rPr>
        <w:t>2</w:t>
      </w:r>
      <w:r w:rsidR="00FD2859">
        <w:rPr>
          <w:rFonts w:hint="eastAsia"/>
          <w:color w:val="333333"/>
          <w:sz w:val="27"/>
          <w:szCs w:val="27"/>
          <w:shd w:val="clear" w:color="auto" w:fill="FCFCFC"/>
        </w:rPr>
        <w:t>2</w:t>
      </w:r>
      <w:r w:rsidRPr="00D67B71">
        <w:rPr>
          <w:color w:val="333333"/>
          <w:sz w:val="27"/>
          <w:szCs w:val="27"/>
          <w:shd w:val="clear" w:color="auto" w:fill="FCFCFC"/>
        </w:rPr>
        <w:t>年部门整体支出绩效自评结果显示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，</w:t>
      </w:r>
      <w:r w:rsidRPr="00D67B71">
        <w:rPr>
          <w:color w:val="333333"/>
          <w:sz w:val="27"/>
          <w:szCs w:val="27"/>
          <w:shd w:val="clear" w:color="auto" w:fill="FCFCFC"/>
        </w:rPr>
        <w:t>绩效管理情况较为理想，均达到了年初设定的各项绩效目标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。</w:t>
      </w:r>
      <w:r w:rsidRPr="00D67B71">
        <w:rPr>
          <w:color w:val="333333"/>
          <w:sz w:val="27"/>
          <w:szCs w:val="27"/>
          <w:shd w:val="clear" w:color="auto" w:fill="FCFCFC"/>
        </w:rPr>
        <w:t>所有资金使用严格按审批程序办理、操作规范，会计核算结果真实、准确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，</w:t>
      </w:r>
      <w:r w:rsidRPr="00D67B71">
        <w:rPr>
          <w:color w:val="333333"/>
          <w:sz w:val="27"/>
          <w:szCs w:val="27"/>
          <w:shd w:val="clear" w:color="auto" w:fill="FCFCFC"/>
        </w:rPr>
        <w:t>各项支出严格按照各项制度执行。</w:t>
      </w:r>
    </w:p>
    <w:p w:rsidR="00C9480A" w:rsidRDefault="00C9480A">
      <w:pPr>
        <w:pStyle w:val="Style1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七、存在的问题及原因分析</w:t>
      </w:r>
    </w:p>
    <w:p w:rsidR="001550AF" w:rsidRPr="00D67B71" w:rsidRDefault="001550AF" w:rsidP="001550AF">
      <w:pPr>
        <w:adjustRightInd w:val="0"/>
        <w:snapToGrid w:val="0"/>
        <w:spacing w:line="600" w:lineRule="exact"/>
        <w:ind w:firstLineChars="200" w:firstLine="540"/>
        <w:rPr>
          <w:color w:val="333333"/>
          <w:sz w:val="27"/>
          <w:szCs w:val="27"/>
          <w:shd w:val="clear" w:color="auto" w:fill="FCFCFC"/>
        </w:rPr>
      </w:pPr>
      <w:r w:rsidRPr="00DD79A5">
        <w:rPr>
          <w:rFonts w:hint="eastAsia"/>
          <w:color w:val="333333"/>
          <w:sz w:val="27"/>
          <w:szCs w:val="27"/>
          <w:shd w:val="clear" w:color="auto" w:fill="FCFCFC"/>
        </w:rPr>
        <w:t>绩效评价管理制度尚不健全</w:t>
      </w:r>
      <w:r>
        <w:rPr>
          <w:rFonts w:hint="eastAsia"/>
          <w:color w:val="333333"/>
          <w:sz w:val="27"/>
          <w:szCs w:val="27"/>
          <w:shd w:val="clear" w:color="auto" w:fill="FCFCFC"/>
        </w:rPr>
        <w:t>，</w:t>
      </w:r>
      <w:r w:rsidRPr="00D67B71">
        <w:rPr>
          <w:rFonts w:hint="eastAsia"/>
          <w:color w:val="333333"/>
          <w:sz w:val="27"/>
          <w:szCs w:val="27"/>
          <w:shd w:val="clear" w:color="auto" w:fill="FCFCFC"/>
        </w:rPr>
        <w:t>需进一步完善，随着资金管理改革的进一步推进，我单位内部机构进行了相应的优化，建立健全了财务管理制度，固定资产管理制度，费用报销规程等制度</w:t>
      </w:r>
      <w:r w:rsidRPr="00D67B71">
        <w:rPr>
          <w:color w:val="333333"/>
          <w:sz w:val="27"/>
          <w:szCs w:val="27"/>
          <w:shd w:val="clear" w:color="auto" w:fill="FCFCFC"/>
        </w:rPr>
        <w:t>,</w:t>
      </w:r>
      <w:r w:rsidRPr="00D67B71">
        <w:rPr>
          <w:color w:val="333333"/>
          <w:sz w:val="27"/>
          <w:szCs w:val="27"/>
          <w:shd w:val="clear" w:color="auto" w:fill="FCFCFC"/>
        </w:rPr>
        <w:t>但仍需进一步强化财务约束监督体制</w:t>
      </w:r>
      <w:r>
        <w:rPr>
          <w:rFonts w:hint="eastAsia"/>
          <w:color w:val="333333"/>
          <w:sz w:val="27"/>
          <w:szCs w:val="27"/>
          <w:shd w:val="clear" w:color="auto" w:fill="FCFCFC"/>
        </w:rPr>
        <w:t>，</w:t>
      </w:r>
      <w:r w:rsidRPr="00DD79A5">
        <w:rPr>
          <w:rFonts w:hint="eastAsia"/>
          <w:color w:val="333333"/>
          <w:sz w:val="27"/>
          <w:szCs w:val="27"/>
          <w:shd w:val="clear" w:color="auto" w:fill="FCFCFC"/>
        </w:rPr>
        <w:t>对绩效评价工作的认识不够。通过绩效评价工作的逐步推进，各委办逐步树立了绩效理念，对预算绩效评价工作的态度由“被动接受”变为“主动实施”，但了解还不够深入，对单位绩效不重视，认为绩效评价只是财务部门的事情，相关项目职责部门配合不够，往往只能提供有限的数据资料或简单的工作计划、工作总结，绩效评价工作资料非常有限、内容粗浅。</w:t>
      </w:r>
    </w:p>
    <w:p w:rsidR="00C9480A" w:rsidRDefault="00C9480A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:rsidR="006F2BE2" w:rsidRPr="006F2BE2" w:rsidRDefault="006F2BE2" w:rsidP="006F2BE2">
      <w:pPr>
        <w:pStyle w:val="a9"/>
        <w:shd w:val="clear" w:color="auto" w:fill="FFFFFF"/>
        <w:spacing w:before="0" w:beforeAutospacing="0" w:after="0" w:afterAutospacing="0" w:line="480" w:lineRule="auto"/>
        <w:ind w:firstLine="540"/>
        <w:jc w:val="both"/>
        <w:rPr>
          <w:rFonts w:ascii="Times New Roman"/>
          <w:color w:val="333333"/>
          <w:sz w:val="27"/>
          <w:szCs w:val="27"/>
          <w:shd w:val="clear" w:color="auto" w:fill="FCFCFC"/>
        </w:rPr>
      </w:pPr>
      <w:r w:rsidRPr="00D67B71">
        <w:rPr>
          <w:rFonts w:ascii="Times New Roman" w:hint="eastAsia"/>
          <w:color w:val="333333"/>
          <w:sz w:val="27"/>
          <w:szCs w:val="27"/>
          <w:shd w:val="clear" w:color="auto" w:fill="FCFCFC"/>
        </w:rPr>
        <w:t> 在今后的工作一方面要严格预算编制，做到细化精确，争取一些费用纳入财政预算中；另一方面要严格落实项目经费使用管理规定，做到专款专用</w:t>
      </w:r>
      <w:r w:rsidRPr="00D67B71">
        <w:rPr>
          <w:rFonts w:ascii="Times New Roman" w:hint="eastAsia"/>
          <w:color w:val="333333"/>
          <w:sz w:val="27"/>
          <w:szCs w:val="27"/>
          <w:shd w:val="clear" w:color="auto" w:fill="FCFCFC"/>
        </w:rPr>
        <w:t>;</w:t>
      </w:r>
      <w:r w:rsidRPr="00D67B71">
        <w:rPr>
          <w:rFonts w:ascii="Times New Roman" w:hint="eastAsia"/>
          <w:color w:val="333333"/>
          <w:sz w:val="27"/>
          <w:szCs w:val="27"/>
          <w:shd w:val="clear" w:color="auto" w:fill="FCFCFC"/>
        </w:rPr>
        <w:t>三是要严格按照《公务员法》的规定，确保财政供养人员及时到位，保</w:t>
      </w:r>
      <w:r w:rsidRPr="00D67B71">
        <w:rPr>
          <w:rFonts w:ascii="Times New Roman" w:hint="eastAsia"/>
          <w:color w:val="333333"/>
          <w:sz w:val="27"/>
          <w:szCs w:val="27"/>
          <w:shd w:val="clear" w:color="auto" w:fill="FCFCFC"/>
        </w:rPr>
        <w:lastRenderedPageBreak/>
        <w:t>障各项工作的顺利实行；四是在经费开支上严格按照八项规定执行</w:t>
      </w:r>
      <w:r w:rsidRPr="00DD79A5">
        <w:rPr>
          <w:rFonts w:ascii="Times New Roman" w:hint="eastAsia"/>
          <w:color w:val="333333"/>
          <w:sz w:val="27"/>
          <w:szCs w:val="27"/>
          <w:shd w:val="clear" w:color="auto" w:fill="FCFCFC"/>
        </w:rPr>
        <w:t>。逐步建立和完善财政支出绩效评价相关制度，包括绩效目标审查制度、项目绩效考核制度、绩效奖惩制度等。由于绩效评价工作要求高、工作量大、涉及项目业务、财务等多方面的专业知识，只有对相关人员进行多方位多层次的学习培训，努力提高人员素质，才能真正将预算绩效管理工作落实到位。</w:t>
      </w:r>
    </w:p>
    <w:p w:rsidR="00C9480A" w:rsidRDefault="00C9480A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:rsidR="006310FB" w:rsidRPr="006310FB" w:rsidRDefault="006310FB" w:rsidP="006310FB">
      <w:pPr>
        <w:spacing w:line="600" w:lineRule="exact"/>
        <w:ind w:firstLineChars="200" w:firstLine="540"/>
        <w:rPr>
          <w:rFonts w:hAnsi="宋体" w:cs="宋体"/>
          <w:color w:val="333333"/>
          <w:kern w:val="0"/>
          <w:sz w:val="27"/>
          <w:szCs w:val="27"/>
          <w:shd w:val="clear" w:color="auto" w:fill="FCFCFC"/>
        </w:rPr>
      </w:pPr>
      <w:r w:rsidRPr="006310FB">
        <w:rPr>
          <w:rFonts w:hAnsi="宋体" w:cs="宋体" w:hint="eastAsia"/>
          <w:color w:val="333333"/>
          <w:kern w:val="0"/>
          <w:sz w:val="27"/>
          <w:szCs w:val="27"/>
          <w:shd w:val="clear" w:color="auto" w:fill="FCFCFC"/>
        </w:rPr>
        <w:t>绩效自评结果已公开</w:t>
      </w:r>
    </w:p>
    <w:p w:rsidR="00C9480A" w:rsidRDefault="00C9480A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:rsidR="00C9480A" w:rsidRPr="006310FB" w:rsidRDefault="006310FB" w:rsidP="006310FB">
      <w:pPr>
        <w:spacing w:line="600" w:lineRule="exact"/>
        <w:ind w:firstLineChars="200" w:firstLine="540"/>
        <w:rPr>
          <w:rFonts w:hAnsi="宋体" w:cs="宋体"/>
          <w:color w:val="333333"/>
          <w:kern w:val="0"/>
          <w:sz w:val="27"/>
          <w:szCs w:val="27"/>
          <w:shd w:val="clear" w:color="auto" w:fill="FCFCFC"/>
        </w:rPr>
      </w:pPr>
      <w:r w:rsidRPr="006310FB">
        <w:rPr>
          <w:rFonts w:hAnsi="宋体" w:cs="宋体" w:hint="eastAsia"/>
          <w:color w:val="333333"/>
          <w:kern w:val="0"/>
          <w:sz w:val="27"/>
          <w:szCs w:val="27"/>
          <w:shd w:val="clear" w:color="auto" w:fill="FCFCFC"/>
        </w:rPr>
        <w:t>无</w:t>
      </w:r>
    </w:p>
    <w:p w:rsidR="00C9480A" w:rsidRDefault="00C9480A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:rsidR="00C9480A" w:rsidRDefault="00C9480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10FB" w:rsidRDefault="006310F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10FB" w:rsidRDefault="006310F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10FB" w:rsidRDefault="006310F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9D52F7" w:rsidRDefault="009D52F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9D52F7" w:rsidRDefault="009D52F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9D52F7" w:rsidRDefault="009D52F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9D52F7" w:rsidRDefault="009D52F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9D52F7" w:rsidRDefault="009D52F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9D52F7" w:rsidRDefault="009D52F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9D52F7" w:rsidRDefault="009D52F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9D52F7" w:rsidRDefault="009D52F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9D52F7" w:rsidRDefault="009D52F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9D52F7" w:rsidRDefault="009D52F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9D52F7" w:rsidRDefault="009D52F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9D52F7" w:rsidRDefault="009D52F7" w:rsidP="009D52F7">
      <w:pPr>
        <w:jc w:val="left"/>
        <w:rPr>
          <w:rFonts w:ascii="宋体" w:hAnsi="宋体" w:cs="宋体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</w:rPr>
        <w:t>：</w:t>
      </w:r>
    </w:p>
    <w:p w:rsidR="009D52F7" w:rsidRDefault="009D52F7" w:rsidP="009D52F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单位（部门）绩效自评公开网址统计表</w:t>
      </w:r>
    </w:p>
    <w:tbl>
      <w:tblPr>
        <w:tblpPr w:leftFromText="180" w:rightFromText="180" w:vertAnchor="text" w:horzAnchor="page" w:tblpX="1538" w:tblpY="67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79"/>
        <w:gridCol w:w="1421"/>
        <w:gridCol w:w="684"/>
        <w:gridCol w:w="2784"/>
        <w:gridCol w:w="1092"/>
        <w:gridCol w:w="1440"/>
        <w:gridCol w:w="973"/>
      </w:tblGrid>
      <w:tr w:rsidR="009D52F7" w:rsidTr="00C17129">
        <w:trPr>
          <w:trHeight w:val="1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单位代码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 位 名 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自评报告公开是/否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公开网址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D52F7" w:rsidTr="00C17129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845E69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113001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845E69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中共永州市零陵区委政法委员会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845E69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408B4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408B4">
              <w:rPr>
                <w:rFonts w:ascii="宋体" w:hAnsi="宋体" w:cs="宋体"/>
                <w:color w:val="000000"/>
                <w:sz w:val="22"/>
                <w:szCs w:val="22"/>
              </w:rPr>
              <w:t>http://www.cnll.gov.cn/cnll/zwgk/cnllxbzwgklist.shtml?catecode=xxgknb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845E69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刘珊玲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845E69" w:rsidP="00C17129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15607460227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D52F7" w:rsidTr="00C17129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D52F7" w:rsidTr="00C17129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D52F7" w:rsidTr="00C17129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D52F7" w:rsidTr="00C17129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D52F7" w:rsidRDefault="009D52F7" w:rsidP="00C171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9D52F7" w:rsidRDefault="009D52F7" w:rsidP="009D52F7"/>
    <w:p w:rsidR="009D52F7" w:rsidRDefault="009D52F7" w:rsidP="009D52F7">
      <w:pPr>
        <w:rPr>
          <w:rFonts w:ascii="仿宋" w:eastAsia="仿宋" w:hAnsi="仿宋"/>
          <w:sz w:val="32"/>
          <w:szCs w:val="32"/>
        </w:rPr>
      </w:pPr>
    </w:p>
    <w:p w:rsidR="009D52F7" w:rsidRDefault="009D52F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10FB" w:rsidRDefault="006310F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10FB" w:rsidRDefault="006310F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10FB" w:rsidRDefault="006310F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10FB" w:rsidRDefault="006310F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10FB" w:rsidRDefault="006310F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10FB" w:rsidRDefault="006310F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10FB" w:rsidRDefault="006310F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10FB" w:rsidRDefault="006310F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10FB" w:rsidRDefault="006310F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10FB" w:rsidRDefault="006310F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10FB" w:rsidRDefault="006310F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sectPr w:rsidR="006310FB" w:rsidSect="00BB6A5E">
      <w:footerReference w:type="even" r:id="rId7"/>
      <w:footerReference w:type="default" r:id="rId8"/>
      <w:pgSz w:w="11906" w:h="16838"/>
      <w:pgMar w:top="1531" w:right="1474" w:bottom="1383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5C7" w:rsidRDefault="00C305C7">
      <w:r>
        <w:separator/>
      </w:r>
    </w:p>
  </w:endnote>
  <w:endnote w:type="continuationSeparator" w:id="0">
    <w:p w:rsidR="00C305C7" w:rsidRDefault="00C30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0A" w:rsidRDefault="007D414D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C9480A">
      <w:rPr>
        <w:rStyle w:val="a3"/>
      </w:rPr>
      <w:instrText xml:space="preserve">PAGE  </w:instrText>
    </w:r>
    <w:r>
      <w:fldChar w:fldCharType="end"/>
    </w:r>
  </w:p>
  <w:p w:rsidR="00C9480A" w:rsidRDefault="00C9480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0A" w:rsidRDefault="007D414D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C9480A">
      <w:rPr>
        <w:rStyle w:val="a3"/>
      </w:rPr>
      <w:instrText xml:space="preserve">PAGE  </w:instrText>
    </w:r>
    <w:r>
      <w:fldChar w:fldCharType="separate"/>
    </w:r>
    <w:r w:rsidR="00FD2859">
      <w:rPr>
        <w:rStyle w:val="a3"/>
        <w:noProof/>
      </w:rPr>
      <w:t>17</w:t>
    </w:r>
    <w:r>
      <w:fldChar w:fldCharType="end"/>
    </w:r>
  </w:p>
  <w:p w:rsidR="00C9480A" w:rsidRDefault="00C948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5C7" w:rsidRDefault="00C305C7">
      <w:r>
        <w:separator/>
      </w:r>
    </w:p>
  </w:footnote>
  <w:footnote w:type="continuationSeparator" w:id="0">
    <w:p w:rsidR="00C305C7" w:rsidRDefault="00C30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4A4E5"/>
    <w:multiLevelType w:val="singleLevel"/>
    <w:tmpl w:val="5A24A4E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09B"/>
    <w:rsid w:val="00007A74"/>
    <w:rsid w:val="000115A8"/>
    <w:rsid w:val="0002548C"/>
    <w:rsid w:val="0005403B"/>
    <w:rsid w:val="0005720D"/>
    <w:rsid w:val="0008669E"/>
    <w:rsid w:val="000A1F15"/>
    <w:rsid w:val="000B26D6"/>
    <w:rsid w:val="000C121B"/>
    <w:rsid w:val="000C6E03"/>
    <w:rsid w:val="000C7EFE"/>
    <w:rsid w:val="000D36F0"/>
    <w:rsid w:val="000D386E"/>
    <w:rsid w:val="000D4651"/>
    <w:rsid w:val="000D465C"/>
    <w:rsid w:val="000D67BE"/>
    <w:rsid w:val="000F0C20"/>
    <w:rsid w:val="000F7C74"/>
    <w:rsid w:val="001238E8"/>
    <w:rsid w:val="00133A4D"/>
    <w:rsid w:val="001550AF"/>
    <w:rsid w:val="0015570A"/>
    <w:rsid w:val="0016418A"/>
    <w:rsid w:val="00165BB0"/>
    <w:rsid w:val="001823BD"/>
    <w:rsid w:val="00192CDD"/>
    <w:rsid w:val="001B131D"/>
    <w:rsid w:val="001B4B4B"/>
    <w:rsid w:val="001E0659"/>
    <w:rsid w:val="001F0F73"/>
    <w:rsid w:val="00211964"/>
    <w:rsid w:val="00216A1B"/>
    <w:rsid w:val="002232AA"/>
    <w:rsid w:val="00223AD4"/>
    <w:rsid w:val="00225DBE"/>
    <w:rsid w:val="0022639F"/>
    <w:rsid w:val="0025709B"/>
    <w:rsid w:val="00273E3C"/>
    <w:rsid w:val="00281414"/>
    <w:rsid w:val="00285DC4"/>
    <w:rsid w:val="002860AB"/>
    <w:rsid w:val="002A7A50"/>
    <w:rsid w:val="002B5D56"/>
    <w:rsid w:val="002C5840"/>
    <w:rsid w:val="002F6832"/>
    <w:rsid w:val="00304BCB"/>
    <w:rsid w:val="00305DE7"/>
    <w:rsid w:val="003105E8"/>
    <w:rsid w:val="00321A39"/>
    <w:rsid w:val="00325D68"/>
    <w:rsid w:val="00335DC6"/>
    <w:rsid w:val="00336DD5"/>
    <w:rsid w:val="00337C9E"/>
    <w:rsid w:val="00346899"/>
    <w:rsid w:val="00355FB4"/>
    <w:rsid w:val="00367D3A"/>
    <w:rsid w:val="00377727"/>
    <w:rsid w:val="00377B8D"/>
    <w:rsid w:val="0039242A"/>
    <w:rsid w:val="00395023"/>
    <w:rsid w:val="00397844"/>
    <w:rsid w:val="003B7842"/>
    <w:rsid w:val="003C1ACF"/>
    <w:rsid w:val="003C6D10"/>
    <w:rsid w:val="003D6A37"/>
    <w:rsid w:val="003E12E5"/>
    <w:rsid w:val="003E1ED9"/>
    <w:rsid w:val="003F4A1A"/>
    <w:rsid w:val="004010DF"/>
    <w:rsid w:val="00404043"/>
    <w:rsid w:val="00404645"/>
    <w:rsid w:val="00406F42"/>
    <w:rsid w:val="00413A30"/>
    <w:rsid w:val="00417EF0"/>
    <w:rsid w:val="00437005"/>
    <w:rsid w:val="00440731"/>
    <w:rsid w:val="0045098C"/>
    <w:rsid w:val="00485910"/>
    <w:rsid w:val="00490ED0"/>
    <w:rsid w:val="004A15F5"/>
    <w:rsid w:val="004E3926"/>
    <w:rsid w:val="004E5117"/>
    <w:rsid w:val="004F233C"/>
    <w:rsid w:val="00503FF0"/>
    <w:rsid w:val="0050434E"/>
    <w:rsid w:val="0051442E"/>
    <w:rsid w:val="0053087F"/>
    <w:rsid w:val="00531BBB"/>
    <w:rsid w:val="00541CBB"/>
    <w:rsid w:val="00552922"/>
    <w:rsid w:val="005544A9"/>
    <w:rsid w:val="00564256"/>
    <w:rsid w:val="00574567"/>
    <w:rsid w:val="00593ABF"/>
    <w:rsid w:val="00594546"/>
    <w:rsid w:val="005A1D33"/>
    <w:rsid w:val="005A2B08"/>
    <w:rsid w:val="005A6B42"/>
    <w:rsid w:val="005A72D8"/>
    <w:rsid w:val="005C1D10"/>
    <w:rsid w:val="005C5960"/>
    <w:rsid w:val="005D524E"/>
    <w:rsid w:val="005F79BC"/>
    <w:rsid w:val="00606099"/>
    <w:rsid w:val="00613FCD"/>
    <w:rsid w:val="00621F3B"/>
    <w:rsid w:val="006310FB"/>
    <w:rsid w:val="006328C9"/>
    <w:rsid w:val="0065143A"/>
    <w:rsid w:val="00653418"/>
    <w:rsid w:val="006564AE"/>
    <w:rsid w:val="00665CFF"/>
    <w:rsid w:val="006768B6"/>
    <w:rsid w:val="00677E1A"/>
    <w:rsid w:val="00690A9B"/>
    <w:rsid w:val="006959D5"/>
    <w:rsid w:val="006A2DAE"/>
    <w:rsid w:val="006A7A28"/>
    <w:rsid w:val="006B0342"/>
    <w:rsid w:val="006B24D7"/>
    <w:rsid w:val="006D4DAF"/>
    <w:rsid w:val="006F218E"/>
    <w:rsid w:val="006F2BE2"/>
    <w:rsid w:val="006F6886"/>
    <w:rsid w:val="00704010"/>
    <w:rsid w:val="00707BA9"/>
    <w:rsid w:val="0071748F"/>
    <w:rsid w:val="00736E13"/>
    <w:rsid w:val="007421FF"/>
    <w:rsid w:val="00743F73"/>
    <w:rsid w:val="0075677B"/>
    <w:rsid w:val="00756803"/>
    <w:rsid w:val="0077548E"/>
    <w:rsid w:val="00782BDD"/>
    <w:rsid w:val="00785659"/>
    <w:rsid w:val="007902C5"/>
    <w:rsid w:val="00792571"/>
    <w:rsid w:val="007A0150"/>
    <w:rsid w:val="007A5C8C"/>
    <w:rsid w:val="007B2F86"/>
    <w:rsid w:val="007B51BB"/>
    <w:rsid w:val="007B590D"/>
    <w:rsid w:val="007B5EFC"/>
    <w:rsid w:val="007D414D"/>
    <w:rsid w:val="007E3DAE"/>
    <w:rsid w:val="007E7992"/>
    <w:rsid w:val="00802499"/>
    <w:rsid w:val="00814453"/>
    <w:rsid w:val="00821D97"/>
    <w:rsid w:val="00840968"/>
    <w:rsid w:val="008410FB"/>
    <w:rsid w:val="00845E69"/>
    <w:rsid w:val="00854AE1"/>
    <w:rsid w:val="00863BB0"/>
    <w:rsid w:val="00872F51"/>
    <w:rsid w:val="00875E2B"/>
    <w:rsid w:val="008A0B48"/>
    <w:rsid w:val="008B1215"/>
    <w:rsid w:val="008F2AEA"/>
    <w:rsid w:val="009021EF"/>
    <w:rsid w:val="00930B7D"/>
    <w:rsid w:val="009408B4"/>
    <w:rsid w:val="00947D9C"/>
    <w:rsid w:val="009528DC"/>
    <w:rsid w:val="0095720E"/>
    <w:rsid w:val="009770D5"/>
    <w:rsid w:val="0097786C"/>
    <w:rsid w:val="00997522"/>
    <w:rsid w:val="009C6005"/>
    <w:rsid w:val="009D1B91"/>
    <w:rsid w:val="009D4E5E"/>
    <w:rsid w:val="009D52F7"/>
    <w:rsid w:val="009E1B7F"/>
    <w:rsid w:val="009E3934"/>
    <w:rsid w:val="00A17009"/>
    <w:rsid w:val="00A21BFE"/>
    <w:rsid w:val="00A262DE"/>
    <w:rsid w:val="00A3192B"/>
    <w:rsid w:val="00A328DD"/>
    <w:rsid w:val="00A37223"/>
    <w:rsid w:val="00A37DAF"/>
    <w:rsid w:val="00A43CD5"/>
    <w:rsid w:val="00A77784"/>
    <w:rsid w:val="00A84C84"/>
    <w:rsid w:val="00A947FC"/>
    <w:rsid w:val="00A9699C"/>
    <w:rsid w:val="00A96C2C"/>
    <w:rsid w:val="00AA6ABC"/>
    <w:rsid w:val="00AA6F55"/>
    <w:rsid w:val="00AD0E34"/>
    <w:rsid w:val="00AD1FC7"/>
    <w:rsid w:val="00AD434D"/>
    <w:rsid w:val="00AE3221"/>
    <w:rsid w:val="00AE7C47"/>
    <w:rsid w:val="00B125BB"/>
    <w:rsid w:val="00B20CFA"/>
    <w:rsid w:val="00B2310F"/>
    <w:rsid w:val="00B53A88"/>
    <w:rsid w:val="00B756F5"/>
    <w:rsid w:val="00BA4195"/>
    <w:rsid w:val="00BB00CD"/>
    <w:rsid w:val="00BB6A5E"/>
    <w:rsid w:val="00BB7B70"/>
    <w:rsid w:val="00BC3FFE"/>
    <w:rsid w:val="00BD687D"/>
    <w:rsid w:val="00BD6FDC"/>
    <w:rsid w:val="00BE2F4F"/>
    <w:rsid w:val="00BE37B2"/>
    <w:rsid w:val="00BF367B"/>
    <w:rsid w:val="00BF38B9"/>
    <w:rsid w:val="00BF78D2"/>
    <w:rsid w:val="00C13031"/>
    <w:rsid w:val="00C25F7D"/>
    <w:rsid w:val="00C305C7"/>
    <w:rsid w:val="00C33CEF"/>
    <w:rsid w:val="00C5011E"/>
    <w:rsid w:val="00C5521E"/>
    <w:rsid w:val="00C622EB"/>
    <w:rsid w:val="00C910A5"/>
    <w:rsid w:val="00C93BB1"/>
    <w:rsid w:val="00C9480A"/>
    <w:rsid w:val="00CA433C"/>
    <w:rsid w:val="00CB23D1"/>
    <w:rsid w:val="00CF3FBD"/>
    <w:rsid w:val="00D020EA"/>
    <w:rsid w:val="00D11C43"/>
    <w:rsid w:val="00D13329"/>
    <w:rsid w:val="00D25702"/>
    <w:rsid w:val="00D353A7"/>
    <w:rsid w:val="00D41DE6"/>
    <w:rsid w:val="00D51DD4"/>
    <w:rsid w:val="00D529BF"/>
    <w:rsid w:val="00DA02C8"/>
    <w:rsid w:val="00DA1D17"/>
    <w:rsid w:val="00DA795A"/>
    <w:rsid w:val="00DB0ECF"/>
    <w:rsid w:val="00DB59E7"/>
    <w:rsid w:val="00DC70E8"/>
    <w:rsid w:val="00DC7E05"/>
    <w:rsid w:val="00DD7319"/>
    <w:rsid w:val="00DD742D"/>
    <w:rsid w:val="00DE084C"/>
    <w:rsid w:val="00DE493A"/>
    <w:rsid w:val="00DE5CE8"/>
    <w:rsid w:val="00DE7A48"/>
    <w:rsid w:val="00DF6597"/>
    <w:rsid w:val="00E21D12"/>
    <w:rsid w:val="00E22D9E"/>
    <w:rsid w:val="00E26E18"/>
    <w:rsid w:val="00E303CC"/>
    <w:rsid w:val="00E32441"/>
    <w:rsid w:val="00E53C74"/>
    <w:rsid w:val="00E77F27"/>
    <w:rsid w:val="00E822C2"/>
    <w:rsid w:val="00E95C5B"/>
    <w:rsid w:val="00EA7F09"/>
    <w:rsid w:val="00EC30BE"/>
    <w:rsid w:val="00EC37D2"/>
    <w:rsid w:val="00ED38E4"/>
    <w:rsid w:val="00ED6A1B"/>
    <w:rsid w:val="00ED6D57"/>
    <w:rsid w:val="00EF37DF"/>
    <w:rsid w:val="00EF44F4"/>
    <w:rsid w:val="00EF7349"/>
    <w:rsid w:val="00F052A7"/>
    <w:rsid w:val="00F23069"/>
    <w:rsid w:val="00F267AC"/>
    <w:rsid w:val="00F37C62"/>
    <w:rsid w:val="00F44FA5"/>
    <w:rsid w:val="00F512AB"/>
    <w:rsid w:val="00F52A3D"/>
    <w:rsid w:val="00F61D9C"/>
    <w:rsid w:val="00F6562E"/>
    <w:rsid w:val="00F700E5"/>
    <w:rsid w:val="00F70DAF"/>
    <w:rsid w:val="00F732FF"/>
    <w:rsid w:val="00F83ABE"/>
    <w:rsid w:val="00F90912"/>
    <w:rsid w:val="00F92C7C"/>
    <w:rsid w:val="00FA43BB"/>
    <w:rsid w:val="00FA4C99"/>
    <w:rsid w:val="00FA55A0"/>
    <w:rsid w:val="00FC35CB"/>
    <w:rsid w:val="00FC649D"/>
    <w:rsid w:val="00FD2859"/>
    <w:rsid w:val="00FE0AB5"/>
    <w:rsid w:val="00FF7B55"/>
    <w:rsid w:val="015C1987"/>
    <w:rsid w:val="04137B3B"/>
    <w:rsid w:val="0A6B0F64"/>
    <w:rsid w:val="0F7459F8"/>
    <w:rsid w:val="130C7035"/>
    <w:rsid w:val="1DD545EF"/>
    <w:rsid w:val="1DFB6413"/>
    <w:rsid w:val="201A233A"/>
    <w:rsid w:val="20A02E38"/>
    <w:rsid w:val="242E01C0"/>
    <w:rsid w:val="24870D32"/>
    <w:rsid w:val="279D7EFE"/>
    <w:rsid w:val="2E96627E"/>
    <w:rsid w:val="318F6C86"/>
    <w:rsid w:val="326C0DBB"/>
    <w:rsid w:val="33380BF8"/>
    <w:rsid w:val="34312399"/>
    <w:rsid w:val="369E6634"/>
    <w:rsid w:val="3B524CF9"/>
    <w:rsid w:val="3D916B06"/>
    <w:rsid w:val="3F3D531C"/>
    <w:rsid w:val="42356A60"/>
    <w:rsid w:val="43931450"/>
    <w:rsid w:val="4AE14E43"/>
    <w:rsid w:val="4C673FBA"/>
    <w:rsid w:val="4E400973"/>
    <w:rsid w:val="4F471F98"/>
    <w:rsid w:val="51893DAE"/>
    <w:rsid w:val="51943402"/>
    <w:rsid w:val="56CE70F0"/>
    <w:rsid w:val="58C66148"/>
    <w:rsid w:val="5AC61E51"/>
    <w:rsid w:val="5CD63DDD"/>
    <w:rsid w:val="5F404995"/>
    <w:rsid w:val="625C375B"/>
    <w:rsid w:val="62A57292"/>
    <w:rsid w:val="62C36004"/>
    <w:rsid w:val="653C56A3"/>
    <w:rsid w:val="678C5F50"/>
    <w:rsid w:val="705A0CC9"/>
    <w:rsid w:val="7126414F"/>
    <w:rsid w:val="71585501"/>
    <w:rsid w:val="7B70649A"/>
    <w:rsid w:val="7D05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A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B6A5E"/>
  </w:style>
  <w:style w:type="character" w:styleId="a4">
    <w:name w:val="Hyperlink"/>
    <w:basedOn w:val="a0"/>
    <w:uiPriority w:val="99"/>
    <w:rsid w:val="00BB6A5E"/>
    <w:rPr>
      <w:rFonts w:cs="Times New Roman"/>
      <w:color w:val="0000FF"/>
      <w:u w:val="single"/>
    </w:rPr>
  </w:style>
  <w:style w:type="character" w:customStyle="1" w:styleId="Char">
    <w:name w:val="页眉 Char"/>
    <w:basedOn w:val="a0"/>
    <w:link w:val="a5"/>
    <w:rsid w:val="00BB6A5E"/>
    <w:rPr>
      <w:kern w:val="2"/>
      <w:sz w:val="18"/>
      <w:szCs w:val="18"/>
    </w:rPr>
  </w:style>
  <w:style w:type="paragraph" w:styleId="a6">
    <w:name w:val="Balloon Text"/>
    <w:basedOn w:val="a"/>
    <w:semiHidden/>
    <w:rsid w:val="00BB6A5E"/>
    <w:rPr>
      <w:sz w:val="18"/>
      <w:szCs w:val="18"/>
    </w:rPr>
  </w:style>
  <w:style w:type="paragraph" w:styleId="a5">
    <w:name w:val="header"/>
    <w:basedOn w:val="a"/>
    <w:link w:val="Char"/>
    <w:rsid w:val="00BB6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BB6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tyle1">
    <w:name w:val="_Style 1"/>
    <w:basedOn w:val="a"/>
    <w:uiPriority w:val="99"/>
    <w:qFormat/>
    <w:rsid w:val="00BB6A5E"/>
    <w:pPr>
      <w:ind w:firstLineChars="200" w:firstLine="420"/>
    </w:pPr>
    <w:rPr>
      <w:rFonts w:ascii="Calibri" w:hAnsi="Calibri"/>
      <w:szCs w:val="22"/>
    </w:rPr>
  </w:style>
  <w:style w:type="paragraph" w:styleId="a8">
    <w:name w:val="List Paragraph"/>
    <w:basedOn w:val="a"/>
    <w:qFormat/>
    <w:rsid w:val="00814453"/>
    <w:pPr>
      <w:ind w:firstLineChars="200" w:firstLine="200"/>
    </w:pPr>
    <w:rPr>
      <w:rFonts w:ascii="Calibri" w:hAnsi="Calibri"/>
      <w:szCs w:val="22"/>
    </w:rPr>
  </w:style>
  <w:style w:type="paragraph" w:styleId="a9">
    <w:name w:val="Normal (Web)"/>
    <w:basedOn w:val="a"/>
    <w:uiPriority w:val="99"/>
    <w:unhideWhenUsed/>
    <w:rsid w:val="006F2B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997</Words>
  <Characters>5683</Characters>
  <Application>Microsoft Office Word</Application>
  <DocSecurity>0</DocSecurity>
  <PresentationFormat/>
  <Lines>47</Lines>
  <Paragraphs>13</Paragraphs>
  <Slides>0</Slides>
  <Notes>0</Notes>
  <HiddenSlides>0</HiddenSlides>
  <MMClips>0</MMClips>
  <ScaleCrop>false</ScaleCrop>
  <Company>china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关于解决零陵区促进就业小额担保贷款贴息资金的请示</dc:title>
  <dc:creator>LGP</dc:creator>
  <cp:lastModifiedBy>good</cp:lastModifiedBy>
  <cp:revision>6</cp:revision>
  <cp:lastPrinted>2022-09-26T01:55:00Z</cp:lastPrinted>
  <dcterms:created xsi:type="dcterms:W3CDTF">2023-06-26T07:46:00Z</dcterms:created>
  <dcterms:modified xsi:type="dcterms:W3CDTF">2023-06-26T07:58:00Z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