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石山脚中学项目支出绩效自评表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年度</w:t>
      </w:r>
      <w:r>
        <w:rPr>
          <w:rFonts w:hint="eastAsia" w:ascii="Malgun Gothic Semilight" w:hAnsi="Malgun Gothic Semilight" w:eastAsia="Malgun Gothic Semilight" w:cs="Malgun Gothic Semilight"/>
          <w:color w:val="000000"/>
          <w:kern w:val="0"/>
          <w:szCs w:val="21"/>
        </w:rPr>
        <w:t>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学校维修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零陵区教育局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Cs w:val="21"/>
              </w:rPr>
              <w:t>石山脚中学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年度资金总额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当年财政拨款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jc w:val="lef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9" w:type="dxa"/>
            <w:vAlign w:val="center"/>
          </w:tcPr>
          <w:p>
            <w:pPr>
              <w:jc w:val="left"/>
              <w:rPr>
                <w:rFonts w:hint="eastAsia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上年结转资金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实际完成情况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</w:rPr>
              <w:t>改进学校的办学条件，拓宽学校的生源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</w:rPr>
              <w:t>改进学校的办学条件，拓宽学校的生源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产出指标（50分）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受众人数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工程完成质量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经费拨付及时率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资金支出合规、相符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为社会经济发展助力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提高国民素质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校园环境改善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18"/>
                <w:szCs w:val="18"/>
              </w:rPr>
              <w:t>学生入学数量增长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满意度指标（10分）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20"/>
              </w:rPr>
              <w:t>受众群体满意度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32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8"/>
        <w:jc w:val="center"/>
        <w:rPr>
          <w:sz w:val="72"/>
          <w:szCs w:val="7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mMjJjODg3NWQ3ZTc2YTk4Y2VlNmJmZjVjZGQ5NGUifQ=="/>
  </w:docVars>
  <w:rsids>
    <w:rsidRoot w:val="004F6457"/>
    <w:rsid w:val="00101778"/>
    <w:rsid w:val="004F6457"/>
    <w:rsid w:val="005C1082"/>
    <w:rsid w:val="00921446"/>
    <w:rsid w:val="00EA53E3"/>
    <w:rsid w:val="00F74079"/>
    <w:rsid w:val="131F6CE1"/>
    <w:rsid w:val="7AA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5</TotalTime>
  <ScaleCrop>false</ScaleCrop>
  <LinksUpToDate>false</LinksUpToDate>
  <CharactersWithSpaces>707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2022-09-25T12:07:00Z</dcterms:created>
  <dc:creator>8618574653550</dc:creator>
  <cp:lastModifiedBy>Administrator</cp:lastModifiedBy>
  <dcterms:modified xsi:type="dcterms:W3CDTF">2023-09-07T04:32:23Z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5631067F396943DFA148053C53E81802_13</vt:lpwstr>
  </property>
</Properties>
</file>