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pStyle w:val="2"/>
        <w:bidi w:val="0"/>
        <w:jc w:val="center"/>
      </w:pPr>
      <w: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区级预算单位名称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零陵区文化馆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年度预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算申请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年初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全年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192.2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185.35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185.35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其中：  一般公共预算：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185.35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其中：基本支出：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170.35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政府性基金拨款：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项目支出：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纳入专户管理的非税收入拨款：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其他资金：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年度总体目标</w:t>
            </w: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1: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年度流动演出、展览数量和质量上符合国家基本要求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2: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省、市、区、乡数字资源能够共享；数字化供输畅通。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3:各项职能实行符合行业标准。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绩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效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实际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偏差原因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分析及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产出指标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数量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流动演出全年场次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数字化平台正常运转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全年不间断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文化活动全年开展各项业务辅导不少于12次，全年组织培训不少于4期。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质量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演出、展览乡镇涉及率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数字化服务优质率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坚持开展各项特色活动活动组织好各项群众文化活动；“百姓月月乐活动”“欢乐”等。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时效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演出展览提供率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各项活动的开展均按预定时间完成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0.9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数字化服务提供率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成本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流动演出（6000元/场）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6万元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馆站的日常运转、公共文化活动的开展，均在保证质量的前提下，尽可能的降低运行成本，节约开支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效益指标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（30分）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经济效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对本地区经济发展的影响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辅助提升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项目目标的达成率为100%，专项资金项目和年初的计划相比全部完成。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对本地区经济发展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辅助提升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社会效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演出、展览服务标准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符合行业标准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满足了不同群体参加文化活动的需求。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数字化服务达标率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生态效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对本地区生态环境影响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可持续影响指标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对本地区公共文化服务可持续发展影响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助力公共文化服务体系健全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满意度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（10分）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服务对象满意率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90%</w:t>
            </w:r>
          </w:p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社会公益及服务对象满意度基本达到100%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99.7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项目支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免费开放配套资金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零陵区文化旅游体育局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零陵区文化馆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年度资金总额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其中：当年财政拨款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上年结转资金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1.各项职能实行符合行业标准。2.全年开展各项业务辅导不少于12次。 3.组织好各项群众文化活动；“百姓月月乐活动”“欢乐潇湘”等。 4.全年组织培训不少于4期。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年度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实际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偏差原因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分析及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文化活动全年开展各项业务辅导不少于12次，全年组织培训不少于4期。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坚持开展各项特色活动活动组织好各项群众文化活动；“百姓月月乐活动”“欢乐潇湘”等。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≧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各项活动的开展均按预定时间完成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馆站的日常运转、公共文化活动的开展，均在保证质量的前提下，尽可能的降低运行成本，节约开支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效益指标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项目目标的达成率为100%，2018年的专项资金项目和年初的计划相比全部完成。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满足了不同群体参加文化活动的需求。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对本地区生态环境影响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社会公益及服务对象满意度基本达到100%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99.7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公共文化服务车辆运行经费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零陵区文化旅游体育局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　　年度流动演出、展览数量和质量上符合国家基本要求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绩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实际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偏差原因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分析及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产出指标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年度流动演出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符合国家基本要求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展览数量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符合国家基本要求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受众人数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≧2万人次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活动开展及时率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≧100%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活动成本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控制良好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控制良好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经济效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为经济发展提供助力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为经济发展提供助力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社会效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满足了不同群体参加文化活动的需求。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生态效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对本地区生态环境影响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可持续项目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社会公益及服务对象满意度基本达到100%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市少儿音乐舞蹈大赛参赛经费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零陵区文化旅游体育局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市少儿音乐舞蹈大赛保证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产出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高质量作品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活动暂未开展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绩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实际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偏差原因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分析及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产出指标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保证高质量参赛作品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获得奖项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作品高质量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获得奖项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活动开展及时率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≧100%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活动成本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控制良好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控制良好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经济效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为经济发展提供助力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社会效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满足了不同群体参加文化活动的需求。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生态效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对本地区生态环境影响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可持续项目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社会公益及服务对象满意度基本达到100%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“文化和自然遗产日”展演经费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零陵区文化旅游体育局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 3       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促进文化和自然遗产发展，加强群众文化活动，提高文化素质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绩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实际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偏差原因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分析及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产出指标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年度演出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符合国家基本要求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举办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文化和自然遗产展演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符合国家基本要求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受众人数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≧2万人次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活动开展及时率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≧100%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严格把控开支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控制良好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经济效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为经济发展提供助力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为经济发展提供助力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社会效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提高群众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文化遗产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参与度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生态效</w:t>
            </w:r>
          </w:p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对本地区生态环境影响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可持续项目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社会公益及服务对象满意度基本达到100%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99.9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零陵区文化馆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both"/>
        <w:rPr>
          <w:rFonts w:eastAsia="黑体"/>
          <w:sz w:val="44"/>
          <w:szCs w:val="44"/>
        </w:rPr>
      </w:pPr>
    </w:p>
    <w:p>
      <w:pPr>
        <w:ind w:firstLine="880" w:firstLineChars="200"/>
        <w:jc w:val="both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1.主要职能。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（一）全民艺术培及。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（二）文艺作品生产。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（三）群众文化活动组织。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（四）艺术辅导培训。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（五）免费开放。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（六）非物质文化遗产保护。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（七）文化志愿服务。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、机构设置情况：零陵区文化馆内设股室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个：综合办公室、演出活动部、艺术培训部、非遗保护办公室、工会。</w:t>
      </w:r>
    </w:p>
    <w:p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、人员情况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本部门核定编制数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名，全额编制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名，自收自支编制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名，实有人数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名，其中：在职人员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，离休人员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人，退休人员7人。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ahoma" w:hAnsi="Tahoma" w:eastAsia="仿宋_GB2312"/>
          <w:b/>
          <w:bCs/>
          <w:kern w:val="0"/>
          <w:sz w:val="22"/>
          <w:szCs w:val="32"/>
          <w:lang w:val="en-US" w:eastAsia="zh-CN"/>
        </w:rPr>
        <w:t>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1、各项职能实行符合行业标准。全年开展各项业务辅导。 组织好各项群众文化活动；“百姓月月乐活动”“欢乐潇湘”等。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2、增强文化馆数字服务能力，提供方便快捷的服务平台，利用数字化服务的便利，满足人民群众日益增长的精神文化需求。使全民艺术素养得到提升。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3、为公众提供优质便捷的数字文化服务。数字资源得到充实；数字平台能正常运转；省、市、区、乡数字资源能够共享；数字化供输畅通。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4、保障群众基本文化权益，年度流动演出、展览数量和质量上符合国家基本要求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widowControl/>
        <w:spacing w:line="600" w:lineRule="exact"/>
        <w:ind w:firstLine="66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185.35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</w:t>
      </w:r>
      <w:r>
        <w:rPr>
          <w:rFonts w:hint="eastAsia" w:eastAsia="仿宋_GB2312"/>
          <w:sz w:val="32"/>
          <w:szCs w:val="32"/>
          <w:lang w:eastAsia="zh-CN"/>
        </w:rPr>
        <w:t>免费开放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万元，主要用于我馆免费开放等方面。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（2）公共文化服务流动演出、展览经费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万元，主要用于完成全国公共文化服务体系示范区要求，组织流动演出和展览，提升群众文化水平。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（3）市少儿音乐舞蹈大赛参赛经费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万元，主要是活动参赛经费。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（4）“文化和自然遗产日”展演经费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万元，主要是促进文化和自然遗产发展，加强群众文化活动，提高文化素质。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无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对照零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财绩文件规定的考核指标，我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从预算配置、预算执行、预算管理、履职效益等方面对202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2年部门整体支出绩效开展了评价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，具体情况如下： 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43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（一）预算配置方面 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在职人员控制率：编制数1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人，在职人员15人，在编制控制范围内，在职人员控制率为100%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（二）预算执行方面 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预算完成率：年初预算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185.35万元，本年追加预算0万元，年末结余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万元。剔除非税收入因素，预算完成率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100%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（三）预算管理方面 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管理制度健全性：严格落实《湖南省财政厅机关财务管理办法》等有关管理制度，规范财务审批程序，推行公务卡结算，严格差旅费和接待费支出标准、范围和程序的审核。 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资金使用合规性：配合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纪委开展违反中央八项规定突出问题专项整治，严格落实中央八项规定和有关公务支出标准。加强经费合法合规性审核和预算控制，严格按制度政策办事，资金使用合法合规，支出手续齐全，程序到位。 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预决算信息公开性：加快预算执行，盘活存量资金，减少追加资金。真实准确编制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和决算，按时上报基础数据资料。对上年度部门整体支出进行了绩效评价，对标找差距。按规定时限和规定内容公开部门预算、部门决算以及绩效自评报告。各项应向社会公开的信息及时、完整、真实，更加细化，部门预决算信息透明度进一步提高。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不断提高科学编制预算的意识，严格按照预算编制的相关制度和要求以及下一年度的工作计划，细化编制部门预算，提高预算编制的科学性、合理性、严谨性。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拟在政府网站统一公开</w:t>
      </w:r>
    </w:p>
    <w:p/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B685F"/>
    <w:multiLevelType w:val="singleLevel"/>
    <w:tmpl w:val="B20B685F"/>
    <w:lvl w:ilvl="0" w:tentative="0">
      <w:start w:val="8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AAC561D"/>
    <w:multiLevelType w:val="singleLevel"/>
    <w:tmpl w:val="EAAC561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jQ1MjkzZmI2NjViYjhlNTZmNDdjY2U0ODZmM2YifQ=="/>
  </w:docVars>
  <w:rsids>
    <w:rsidRoot w:val="446D6F32"/>
    <w:rsid w:val="052529F0"/>
    <w:rsid w:val="446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4282</Words>
  <Characters>4601</Characters>
  <Lines>0</Lines>
  <Paragraphs>0</Paragraphs>
  <TotalTime>14</TotalTime>
  <ScaleCrop>false</ScaleCrop>
  <LinksUpToDate>false</LinksUpToDate>
  <CharactersWithSpaces>4825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2023-02-21T07:43:00Z</dcterms:created>
  <dc:creator>Administrator</dc:creator>
  <cp:lastModifiedBy>吧啦</cp:lastModifiedBy>
  <dcterms:modified xsi:type="dcterms:W3CDTF">2023-09-08T02:45:37Z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FFA429D25361407BAF0C7869CBC63FA0_13</vt:lpwstr>
  </property>
</Properties>
</file>