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113AF">
      <w:pPr>
        <w:pStyle w:val="5"/>
        <w:keepNext w:val="0"/>
        <w:keepLines w:val="0"/>
        <w:pageBreakBefore w:val="0"/>
        <w:widowControl w:val="0"/>
        <w:kinsoku/>
        <w:wordWrap/>
        <w:overflowPunct/>
        <w:topLinePunct w:val="0"/>
        <w:autoSpaceDE/>
        <w:autoSpaceDN/>
        <w:bidi w:val="0"/>
        <w:adjustRightInd/>
        <w:snapToGrid w:val="0"/>
        <w:spacing w:before="0" w:beforeAutospacing="0"/>
        <w:ind w:left="0" w:firstLine="0" w:firstLineChars="0"/>
        <w:textAlignment w:val="auto"/>
        <w:rPr>
          <w:rFonts w:hint="eastAsia" w:ascii="黑体" w:eastAsia="黑体" w:cs="黑体"/>
          <w:color w:val="000000"/>
          <w:kern w:val="0"/>
          <w:sz w:val="32"/>
          <w:szCs w:val="32"/>
          <w:lang w:val="en-US" w:eastAsia="zh-CN" w:bidi="ar"/>
        </w:rPr>
      </w:pPr>
    </w:p>
    <w:p w14:paraId="3A1E9EB3">
      <w:pPr>
        <w:keepNext w:val="0"/>
        <w:keepLines w:val="0"/>
        <w:pageBreakBefore w:val="0"/>
        <w:widowControl/>
        <w:suppressLineNumbers w:val="0"/>
        <w:kinsoku/>
        <w:wordWrap/>
        <w:overflowPunct/>
        <w:topLinePunct w:val="0"/>
        <w:autoSpaceDE/>
        <w:autoSpaceDN/>
        <w:bidi w:val="0"/>
        <w:adjustRightInd/>
        <w:snapToGrid w:val="0"/>
        <w:spacing w:beforeAutospacing="0"/>
        <w:jc w:val="center"/>
        <w:textAlignment w:val="auto"/>
        <w:rPr>
          <w:rFonts w:hint="eastAsia" w:ascii="方正小标宋简体" w:eastAsia="方正小标宋简体" w:cs="方正小标宋简体"/>
          <w:color w:val="000000"/>
          <w:kern w:val="0"/>
          <w:sz w:val="44"/>
          <w:szCs w:val="44"/>
          <w:lang w:val="en-US" w:eastAsia="zh-CN" w:bidi="ar"/>
        </w:rPr>
      </w:pPr>
      <w:r>
        <w:rPr>
          <w:rFonts w:hint="eastAsia" w:ascii="方正小标宋简体" w:eastAsia="方正小标宋简体" w:cs="方正小标宋简体"/>
          <w:color w:val="000000"/>
          <w:kern w:val="0"/>
          <w:sz w:val="44"/>
          <w:szCs w:val="44"/>
          <w:lang w:val="en-US" w:eastAsia="zh-CN" w:bidi="ar"/>
        </w:rPr>
        <w:t>零陵区财政局免予行政处罚事项清单</w:t>
      </w:r>
    </w:p>
    <w:tbl>
      <w:tblPr>
        <w:tblStyle w:val="6"/>
        <w:tblW w:w="14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3033"/>
        <w:gridCol w:w="7704"/>
        <w:gridCol w:w="2580"/>
        <w:gridCol w:w="1106"/>
      </w:tblGrid>
      <w:tr w14:paraId="388E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46" w:type="dxa"/>
            <w:noWrap w:val="0"/>
            <w:vAlign w:val="center"/>
          </w:tcPr>
          <w:p w14:paraId="70EEE957">
            <w:pPr>
              <w:jc w:val="center"/>
              <w:rPr>
                <w:rFonts w:hint="eastAsia" w:ascii="黑体" w:hAnsi="黑体" w:eastAsia="黑体" w:cs="黑体"/>
                <w:b w:val="0"/>
                <w:bCs w:val="0"/>
                <w:color w:val="auto"/>
                <w:sz w:val="21"/>
                <w:szCs w:val="21"/>
                <w:vertAlign w:val="baseline"/>
                <w:lang w:val="en-US" w:eastAsia="zh-CN" w:bidi="ar-SA"/>
              </w:rPr>
            </w:pPr>
            <w:r>
              <w:rPr>
                <w:rFonts w:hint="eastAsia" w:ascii="黑体" w:hAnsi="黑体" w:eastAsia="黑体" w:cs="黑体"/>
                <w:b w:val="0"/>
                <w:bCs w:val="0"/>
                <w:color w:val="auto"/>
                <w:sz w:val="21"/>
                <w:szCs w:val="21"/>
                <w:vertAlign w:val="baseline"/>
                <w:lang w:val="en-US" w:eastAsia="zh-CN" w:bidi="ar-SA"/>
              </w:rPr>
              <w:t>序号</w:t>
            </w:r>
          </w:p>
        </w:tc>
        <w:tc>
          <w:tcPr>
            <w:tcW w:w="3033" w:type="dxa"/>
            <w:noWrap w:val="0"/>
            <w:vAlign w:val="center"/>
          </w:tcPr>
          <w:p w14:paraId="073F8FC1">
            <w:pPr>
              <w:jc w:val="center"/>
              <w:rPr>
                <w:rFonts w:hint="eastAsia" w:ascii="黑体" w:hAnsi="黑体" w:eastAsia="黑体" w:cs="黑体"/>
                <w:b w:val="0"/>
                <w:bCs w:val="0"/>
                <w:color w:val="auto"/>
                <w:sz w:val="21"/>
                <w:szCs w:val="21"/>
                <w:vertAlign w:val="baseline"/>
                <w:lang w:val="en-US" w:eastAsia="zh-CN" w:bidi="ar-SA"/>
              </w:rPr>
            </w:pPr>
            <w:r>
              <w:rPr>
                <w:rFonts w:hint="eastAsia" w:ascii="黑体" w:hAnsi="黑体" w:eastAsia="黑体" w:cs="黑体"/>
                <w:b w:val="0"/>
                <w:bCs w:val="0"/>
                <w:color w:val="auto"/>
                <w:sz w:val="21"/>
                <w:szCs w:val="21"/>
                <w:vertAlign w:val="baseline"/>
                <w:lang w:val="en-US" w:eastAsia="zh-CN" w:bidi="ar-SA"/>
              </w:rPr>
              <w:t>违法行为</w:t>
            </w:r>
          </w:p>
        </w:tc>
        <w:tc>
          <w:tcPr>
            <w:tcW w:w="7704" w:type="dxa"/>
            <w:noWrap w:val="0"/>
            <w:vAlign w:val="center"/>
          </w:tcPr>
          <w:p w14:paraId="6571718A">
            <w:pPr>
              <w:jc w:val="center"/>
              <w:rPr>
                <w:rFonts w:hint="eastAsia" w:ascii="黑体" w:hAnsi="黑体" w:eastAsia="黑体" w:cs="黑体"/>
                <w:b w:val="0"/>
                <w:bCs w:val="0"/>
                <w:color w:val="auto"/>
                <w:sz w:val="21"/>
                <w:szCs w:val="21"/>
                <w:vertAlign w:val="baseline"/>
                <w:lang w:val="en-US" w:eastAsia="zh-CN" w:bidi="ar-SA"/>
              </w:rPr>
            </w:pPr>
            <w:r>
              <w:rPr>
                <w:rFonts w:hint="eastAsia" w:ascii="黑体" w:hAnsi="黑体" w:eastAsia="黑体" w:cs="黑体"/>
                <w:b w:val="0"/>
                <w:bCs w:val="0"/>
                <w:color w:val="auto"/>
                <w:sz w:val="21"/>
                <w:szCs w:val="21"/>
                <w:vertAlign w:val="baseline"/>
                <w:lang w:val="en-US" w:eastAsia="zh-CN" w:bidi="ar-SA"/>
              </w:rPr>
              <w:t>处罚依据</w:t>
            </w:r>
          </w:p>
        </w:tc>
        <w:tc>
          <w:tcPr>
            <w:tcW w:w="2580" w:type="dxa"/>
            <w:noWrap w:val="0"/>
            <w:vAlign w:val="center"/>
          </w:tcPr>
          <w:p w14:paraId="41D34637">
            <w:pPr>
              <w:jc w:val="center"/>
              <w:rPr>
                <w:rFonts w:hint="eastAsia" w:ascii="黑体" w:hAnsi="黑体" w:eastAsia="黑体" w:cs="黑体"/>
                <w:b w:val="0"/>
                <w:bCs w:val="0"/>
                <w:color w:val="auto"/>
                <w:sz w:val="21"/>
                <w:szCs w:val="21"/>
                <w:vertAlign w:val="baseline"/>
                <w:lang w:val="en-US" w:eastAsia="zh-CN" w:bidi="ar-SA"/>
              </w:rPr>
            </w:pPr>
            <w:r>
              <w:rPr>
                <w:rFonts w:hint="eastAsia" w:ascii="黑体" w:hAnsi="黑体" w:eastAsia="黑体" w:cs="黑体"/>
                <w:b w:val="0"/>
                <w:bCs w:val="0"/>
                <w:color w:val="auto"/>
                <w:sz w:val="21"/>
                <w:szCs w:val="21"/>
                <w:vertAlign w:val="baseline"/>
                <w:lang w:val="en-US" w:eastAsia="zh-CN" w:bidi="ar-SA"/>
              </w:rPr>
              <w:t>适用条件</w:t>
            </w:r>
          </w:p>
        </w:tc>
        <w:tc>
          <w:tcPr>
            <w:tcW w:w="1106" w:type="dxa"/>
            <w:noWrap w:val="0"/>
            <w:vAlign w:val="center"/>
          </w:tcPr>
          <w:p w14:paraId="25FBB5D6">
            <w:pPr>
              <w:jc w:val="center"/>
              <w:rPr>
                <w:rFonts w:hint="eastAsia" w:ascii="黑体" w:hAnsi="黑体" w:eastAsia="黑体" w:cs="黑体"/>
                <w:b w:val="0"/>
                <w:bCs w:val="0"/>
                <w:color w:val="auto"/>
                <w:sz w:val="21"/>
                <w:szCs w:val="21"/>
                <w:vertAlign w:val="baseline"/>
                <w:lang w:val="en-US" w:eastAsia="zh-CN" w:bidi="ar-SA"/>
              </w:rPr>
            </w:pPr>
            <w:r>
              <w:rPr>
                <w:rFonts w:hint="eastAsia" w:ascii="黑体" w:hAnsi="黑体" w:eastAsia="黑体" w:cs="黑体"/>
                <w:b w:val="0"/>
                <w:bCs w:val="0"/>
                <w:color w:val="auto"/>
                <w:sz w:val="21"/>
                <w:szCs w:val="21"/>
                <w:vertAlign w:val="baseline"/>
                <w:lang w:val="en-US" w:eastAsia="zh-CN" w:bidi="ar-SA"/>
              </w:rPr>
              <w:t>处理结果</w:t>
            </w:r>
          </w:p>
        </w:tc>
      </w:tr>
      <w:tr w14:paraId="7314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dxa"/>
            <w:noWrap w:val="0"/>
            <w:vAlign w:val="center"/>
          </w:tcPr>
          <w:p w14:paraId="65736821">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1</w:t>
            </w:r>
          </w:p>
        </w:tc>
        <w:tc>
          <w:tcPr>
            <w:tcW w:w="3033" w:type="dxa"/>
            <w:noWrap w:val="0"/>
            <w:vAlign w:val="center"/>
          </w:tcPr>
          <w:p w14:paraId="734A2E70">
            <w:pPr>
              <w:jc w:val="both"/>
              <w:rPr>
                <w:rFonts w:hint="eastAsia" w:ascii="仿宋" w:eastAsia="仿宋" w:cs="仿宋"/>
                <w:color w:val="auto"/>
                <w:sz w:val="21"/>
                <w:szCs w:val="21"/>
                <w:vertAlign w:val="baseline"/>
                <w:lang w:bidi="ar-SA"/>
              </w:rPr>
            </w:pPr>
            <w:r>
              <w:rPr>
                <w:rFonts w:hint="eastAsia" w:ascii="仿宋" w:eastAsia="仿宋" w:cs="仿宋"/>
                <w:color w:val="auto"/>
                <w:sz w:val="21"/>
                <w:szCs w:val="21"/>
                <w:vertAlign w:val="baseline"/>
                <w:lang w:bidi="ar-SA"/>
              </w:rPr>
              <w:t>采购人、采购代理机构拒收质疑供应商在法定质疑期内发出的质疑函</w:t>
            </w:r>
          </w:p>
        </w:tc>
        <w:tc>
          <w:tcPr>
            <w:tcW w:w="7704" w:type="dxa"/>
            <w:noWrap w:val="0"/>
            <w:vAlign w:val="center"/>
          </w:tcPr>
          <w:p w14:paraId="03DD8376">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《政府采购质疑和投诉办法》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第三十六条 采购人、采购代理机构有下列情形之一的，由财政部门责令限期改正；情节严重的，给予警告，对直接负责的主管人员和其他直接责任人员，由其行政主管部门或者有关机关给予处分，并予通报：</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（一）拒收质疑供应商在法定质疑期内发出的质疑函；</w:t>
            </w:r>
          </w:p>
        </w:tc>
        <w:tc>
          <w:tcPr>
            <w:tcW w:w="2580" w:type="dxa"/>
            <w:noWrap w:val="0"/>
            <w:vAlign w:val="center"/>
          </w:tcPr>
          <w:p w14:paraId="4504CABE">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拒收质疑供应商在法定质疑期内发出的质疑函，</w:t>
            </w:r>
            <w:r>
              <w:rPr>
                <w:rFonts w:hint="eastAsia" w:ascii="仿宋" w:eastAsia="仿宋" w:cs="仿宋"/>
                <w:color w:val="auto"/>
                <w:sz w:val="21"/>
                <w:szCs w:val="21"/>
                <w:vertAlign w:val="baseline"/>
                <w:lang w:val="en-US" w:eastAsia="zh-CN" w:bidi="ar-SA"/>
              </w:rPr>
              <w:t>初次违法，</w:t>
            </w:r>
            <w:r>
              <w:rPr>
                <w:rFonts w:hint="default" w:ascii="仿宋" w:eastAsia="仿宋" w:cs="仿宋"/>
                <w:color w:val="auto"/>
                <w:sz w:val="21"/>
                <w:szCs w:val="21"/>
                <w:vertAlign w:val="baseline"/>
                <w:lang w:val="en-US" w:eastAsia="zh-CN" w:bidi="ar-SA"/>
              </w:rPr>
              <w:t>未影响中标结果</w:t>
            </w:r>
            <w:r>
              <w:rPr>
                <w:rFonts w:hint="eastAsia" w:ascii="仿宋" w:eastAsia="仿宋" w:cs="仿宋"/>
                <w:color w:val="auto"/>
                <w:sz w:val="21"/>
                <w:szCs w:val="21"/>
                <w:vertAlign w:val="baseline"/>
                <w:lang w:val="en-US" w:eastAsia="zh-CN" w:bidi="ar-SA"/>
              </w:rPr>
              <w:t>，及时改正的</w:t>
            </w:r>
            <w:r>
              <w:rPr>
                <w:rFonts w:hint="default" w:ascii="仿宋" w:eastAsia="仿宋" w:cs="仿宋"/>
                <w:color w:val="auto"/>
                <w:sz w:val="21"/>
                <w:szCs w:val="21"/>
                <w:vertAlign w:val="baseline"/>
                <w:lang w:val="en-US" w:eastAsia="zh-CN" w:bidi="ar-SA"/>
              </w:rPr>
              <w:t>。</w:t>
            </w:r>
          </w:p>
        </w:tc>
        <w:tc>
          <w:tcPr>
            <w:tcW w:w="1106" w:type="dxa"/>
            <w:noWrap w:val="0"/>
            <w:vAlign w:val="center"/>
          </w:tcPr>
          <w:p w14:paraId="2DCD1804">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4120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6" w:type="dxa"/>
            <w:noWrap w:val="0"/>
            <w:vAlign w:val="center"/>
          </w:tcPr>
          <w:p w14:paraId="745BFBEA">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2</w:t>
            </w:r>
          </w:p>
        </w:tc>
        <w:tc>
          <w:tcPr>
            <w:tcW w:w="3033" w:type="dxa"/>
            <w:noWrap w:val="0"/>
            <w:vAlign w:val="center"/>
          </w:tcPr>
          <w:p w14:paraId="6804022F">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采购人、采购代理机构对质疑不予答复或者答复与事实明显不符，并不能作出合理说明</w:t>
            </w:r>
          </w:p>
        </w:tc>
        <w:tc>
          <w:tcPr>
            <w:tcW w:w="7704" w:type="dxa"/>
            <w:noWrap w:val="0"/>
            <w:vAlign w:val="center"/>
          </w:tcPr>
          <w:p w14:paraId="08D1EA71">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《政府采购质疑和投诉办法》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第三十六条 采购人、采购代理机构有下列情形之一的，由财政部门责令限期改正；情节严重的，给予警告，对直接负责的主管人员和其他直接责任人员，由其行政主管部门或者有关机关给予处分，并予通报：</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（二）对质疑不予答复或者答复与事实明显不符，并不能作出合理说明；</w:t>
            </w:r>
          </w:p>
        </w:tc>
        <w:tc>
          <w:tcPr>
            <w:tcW w:w="2580" w:type="dxa"/>
            <w:noWrap w:val="0"/>
            <w:vAlign w:val="center"/>
          </w:tcPr>
          <w:p w14:paraId="4DAB5315">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对质疑不予答复或者答复与事实明显不符，并不能作出合理说明，首次违法，且不影响中标结果，及时改正的。</w:t>
            </w:r>
          </w:p>
        </w:tc>
        <w:tc>
          <w:tcPr>
            <w:tcW w:w="1106" w:type="dxa"/>
            <w:noWrap w:val="0"/>
            <w:vAlign w:val="center"/>
          </w:tcPr>
          <w:p w14:paraId="62EA4982">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152B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546" w:type="dxa"/>
            <w:noWrap w:val="0"/>
            <w:vAlign w:val="center"/>
          </w:tcPr>
          <w:p w14:paraId="1A7D0272">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3</w:t>
            </w:r>
          </w:p>
        </w:tc>
        <w:tc>
          <w:tcPr>
            <w:tcW w:w="3033" w:type="dxa"/>
            <w:noWrap w:val="0"/>
            <w:vAlign w:val="center"/>
          </w:tcPr>
          <w:p w14:paraId="19AB74D6">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采购人、采购代理机构拒绝配合财政部门处理投诉事宜</w:t>
            </w:r>
          </w:p>
        </w:tc>
        <w:tc>
          <w:tcPr>
            <w:tcW w:w="7704" w:type="dxa"/>
            <w:noWrap w:val="0"/>
            <w:vAlign w:val="center"/>
          </w:tcPr>
          <w:p w14:paraId="5A294EC1">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《政府采购质疑和投诉办法》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第三十六条 采购人、采购代理机构有下列情形之一的，由财政部门责令限期改正；情节严重的，给予警告，对直接负责的主管人员和其他直接责任人员，由其行政主管部门或者有关机关给予处分，并予通报：</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（三）拒绝配合财政部门处理投诉事宜。</w:t>
            </w:r>
          </w:p>
        </w:tc>
        <w:tc>
          <w:tcPr>
            <w:tcW w:w="2580" w:type="dxa"/>
            <w:noWrap w:val="0"/>
            <w:vAlign w:val="center"/>
          </w:tcPr>
          <w:p w14:paraId="7435BFB2">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第一次拒绝配合财政部门处理投诉事宜，情节轻微，及时改正的。</w:t>
            </w:r>
          </w:p>
        </w:tc>
        <w:tc>
          <w:tcPr>
            <w:tcW w:w="1106" w:type="dxa"/>
            <w:noWrap w:val="0"/>
            <w:vAlign w:val="center"/>
          </w:tcPr>
          <w:p w14:paraId="4D23BFDF">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5540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546" w:type="dxa"/>
            <w:noWrap w:val="0"/>
            <w:vAlign w:val="center"/>
          </w:tcPr>
          <w:p w14:paraId="689CFD3F">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4</w:t>
            </w:r>
          </w:p>
        </w:tc>
        <w:tc>
          <w:tcPr>
            <w:tcW w:w="3033" w:type="dxa"/>
            <w:noWrap w:val="0"/>
            <w:vAlign w:val="center"/>
          </w:tcPr>
          <w:p w14:paraId="7084361B">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采购人未按照本办法的规定编制采购需求的</w:t>
            </w:r>
          </w:p>
        </w:tc>
        <w:tc>
          <w:tcPr>
            <w:tcW w:w="7704" w:type="dxa"/>
            <w:noWrap w:val="0"/>
            <w:vAlign w:val="center"/>
          </w:tcPr>
          <w:p w14:paraId="082EA4D3">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（一）未按照本办法的规定编制采购需求的；</w:t>
            </w:r>
          </w:p>
        </w:tc>
        <w:tc>
          <w:tcPr>
            <w:tcW w:w="2580" w:type="dxa"/>
            <w:noWrap w:val="0"/>
            <w:vAlign w:val="center"/>
          </w:tcPr>
          <w:p w14:paraId="657B44CF">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采购人未按照《政府采购货物和服务招标投标管理办法》的规定编制采购需求的，涉及的采购项目预算在200万元以下，初次违法，及时改正的。</w:t>
            </w:r>
          </w:p>
        </w:tc>
        <w:tc>
          <w:tcPr>
            <w:tcW w:w="1106" w:type="dxa"/>
            <w:noWrap w:val="0"/>
            <w:vAlign w:val="center"/>
          </w:tcPr>
          <w:p w14:paraId="2EA5FB67">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004B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546" w:type="dxa"/>
            <w:noWrap w:val="0"/>
            <w:vAlign w:val="center"/>
          </w:tcPr>
          <w:p w14:paraId="0403360F">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5</w:t>
            </w:r>
          </w:p>
        </w:tc>
        <w:tc>
          <w:tcPr>
            <w:tcW w:w="3033" w:type="dxa"/>
            <w:noWrap w:val="0"/>
            <w:vAlign w:val="center"/>
          </w:tcPr>
          <w:p w14:paraId="13F8E313">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采购人向供应商索要或者接受其给予的赠品、回扣或者与采购无关的其他商品、服务</w:t>
            </w:r>
          </w:p>
        </w:tc>
        <w:tc>
          <w:tcPr>
            <w:tcW w:w="7704" w:type="dxa"/>
            <w:noWrap w:val="0"/>
            <w:vAlign w:val="center"/>
          </w:tcPr>
          <w:p w14:paraId="1362AA64">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（二）违反本办法第六条第二款规定的；</w:t>
            </w:r>
          </w:p>
        </w:tc>
        <w:tc>
          <w:tcPr>
            <w:tcW w:w="2580" w:type="dxa"/>
            <w:noWrap w:val="0"/>
            <w:vAlign w:val="center"/>
          </w:tcPr>
          <w:p w14:paraId="34E62B7E">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采购人向供应商索要或者接受其给予的赠品、回扣或者与采购无关的其他商品、服务，初次违法，情节轻微，涉及的采购项目预算在200万元以下的，不影响中标结果，及时改正的。</w:t>
            </w:r>
          </w:p>
        </w:tc>
        <w:tc>
          <w:tcPr>
            <w:tcW w:w="1106" w:type="dxa"/>
            <w:noWrap w:val="0"/>
            <w:vAlign w:val="center"/>
          </w:tcPr>
          <w:p w14:paraId="00328AEA">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4A58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546" w:type="dxa"/>
            <w:noWrap w:val="0"/>
            <w:vAlign w:val="center"/>
          </w:tcPr>
          <w:p w14:paraId="5FC40AD1">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6</w:t>
            </w:r>
          </w:p>
        </w:tc>
        <w:tc>
          <w:tcPr>
            <w:tcW w:w="3033" w:type="dxa"/>
            <w:noWrap w:val="0"/>
            <w:vAlign w:val="center"/>
          </w:tcPr>
          <w:p w14:paraId="08BD1BAA">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采购人未在规定时间内确定中标人</w:t>
            </w:r>
          </w:p>
        </w:tc>
        <w:tc>
          <w:tcPr>
            <w:tcW w:w="7704" w:type="dxa"/>
            <w:noWrap w:val="0"/>
            <w:vAlign w:val="center"/>
          </w:tcPr>
          <w:p w14:paraId="0D583866">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（三）未在规定时间内确定中标人的；</w:t>
            </w:r>
          </w:p>
        </w:tc>
        <w:tc>
          <w:tcPr>
            <w:tcW w:w="2580" w:type="dxa"/>
            <w:noWrap w:val="0"/>
            <w:vAlign w:val="center"/>
          </w:tcPr>
          <w:p w14:paraId="08D8A801">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采购人未在规定时间内确定中标人，初次违法，涉及项目1个，及时改正的。</w:t>
            </w:r>
          </w:p>
        </w:tc>
        <w:tc>
          <w:tcPr>
            <w:tcW w:w="1106" w:type="dxa"/>
            <w:noWrap w:val="0"/>
            <w:vAlign w:val="center"/>
          </w:tcPr>
          <w:p w14:paraId="0D162095">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4BF6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546" w:type="dxa"/>
            <w:noWrap w:val="0"/>
            <w:vAlign w:val="center"/>
          </w:tcPr>
          <w:p w14:paraId="582D5933">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7</w:t>
            </w:r>
          </w:p>
        </w:tc>
        <w:tc>
          <w:tcPr>
            <w:tcW w:w="3033" w:type="dxa"/>
            <w:noWrap w:val="0"/>
            <w:vAlign w:val="center"/>
          </w:tcPr>
          <w:p w14:paraId="142064E2">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采购人向中标人提出不合理要求作为签订合同条件的</w:t>
            </w:r>
          </w:p>
        </w:tc>
        <w:tc>
          <w:tcPr>
            <w:tcW w:w="7704" w:type="dxa"/>
            <w:noWrap w:val="0"/>
            <w:vAlign w:val="center"/>
          </w:tcPr>
          <w:p w14:paraId="60495801">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（四）向中标人提出不合理要求作为签订合同条件的。</w:t>
            </w:r>
          </w:p>
        </w:tc>
        <w:tc>
          <w:tcPr>
            <w:tcW w:w="2580" w:type="dxa"/>
            <w:noWrap w:val="0"/>
            <w:vAlign w:val="center"/>
          </w:tcPr>
          <w:p w14:paraId="7BC6A309">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采购人向中标人提出不合理要求作为签订合同条件，涉及项目1个，初次违法，情节轻微，及时改正的。</w:t>
            </w:r>
          </w:p>
        </w:tc>
        <w:tc>
          <w:tcPr>
            <w:tcW w:w="1106" w:type="dxa"/>
            <w:noWrap w:val="0"/>
            <w:vAlign w:val="center"/>
          </w:tcPr>
          <w:p w14:paraId="07E7D42D">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20E0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46" w:type="dxa"/>
            <w:noWrap w:val="0"/>
            <w:vAlign w:val="center"/>
          </w:tcPr>
          <w:p w14:paraId="690BEC91">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8</w:t>
            </w:r>
          </w:p>
        </w:tc>
        <w:tc>
          <w:tcPr>
            <w:tcW w:w="3033" w:type="dxa"/>
            <w:noWrap w:val="0"/>
            <w:vAlign w:val="center"/>
          </w:tcPr>
          <w:p w14:paraId="25F0680C">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 xml:space="preserve"> 采购代理机构及其分支机构在所代理的采购项目中投标或者代理投标，或为所代理的采购项目的投标人参加本项目提供投标咨询</w:t>
            </w:r>
          </w:p>
        </w:tc>
        <w:tc>
          <w:tcPr>
            <w:tcW w:w="7704" w:type="dxa"/>
            <w:noWrap w:val="0"/>
            <w:vAlign w:val="center"/>
          </w:tcPr>
          <w:p w14:paraId="5792C12C">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（一）违反本办法第八条第二款规定的；</w:t>
            </w:r>
          </w:p>
        </w:tc>
        <w:tc>
          <w:tcPr>
            <w:tcW w:w="2580" w:type="dxa"/>
            <w:noWrap w:val="0"/>
            <w:vAlign w:val="center"/>
          </w:tcPr>
          <w:p w14:paraId="37D824BA">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采购代理机构及其分支机构在所代理的采购项目中投标或者代理投标，为所代理的采购项目的投标人参加本项目提供投标咨询，初次违法，只涉及1个项目且最终未中标的，及时改正的。</w:t>
            </w:r>
          </w:p>
        </w:tc>
        <w:tc>
          <w:tcPr>
            <w:tcW w:w="1106" w:type="dxa"/>
            <w:noWrap w:val="0"/>
            <w:vAlign w:val="center"/>
          </w:tcPr>
          <w:p w14:paraId="4E32989C">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7E43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4" w:hRule="atLeast"/>
          <w:jc w:val="center"/>
        </w:trPr>
        <w:tc>
          <w:tcPr>
            <w:tcW w:w="546" w:type="dxa"/>
            <w:noWrap w:val="0"/>
            <w:vAlign w:val="center"/>
          </w:tcPr>
          <w:p w14:paraId="135C2C24">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9</w:t>
            </w:r>
          </w:p>
        </w:tc>
        <w:tc>
          <w:tcPr>
            <w:tcW w:w="3033" w:type="dxa"/>
            <w:noWrap w:val="0"/>
            <w:vAlign w:val="center"/>
          </w:tcPr>
          <w:p w14:paraId="5F1C6E7D">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采购人、采购代理机构设定最低限价的</w:t>
            </w:r>
          </w:p>
        </w:tc>
        <w:tc>
          <w:tcPr>
            <w:tcW w:w="7704" w:type="dxa"/>
            <w:noWrap w:val="0"/>
            <w:vAlign w:val="center"/>
          </w:tcPr>
          <w:p w14:paraId="3DFB3973">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（二）设定最低限价的；</w:t>
            </w:r>
          </w:p>
        </w:tc>
        <w:tc>
          <w:tcPr>
            <w:tcW w:w="2580" w:type="dxa"/>
            <w:noWrap w:val="0"/>
            <w:vAlign w:val="center"/>
          </w:tcPr>
          <w:p w14:paraId="624F675F">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在招标文件中设定最低限价，初次违法但未影响中标结果，及时改正的。</w:t>
            </w:r>
          </w:p>
        </w:tc>
        <w:tc>
          <w:tcPr>
            <w:tcW w:w="1106" w:type="dxa"/>
            <w:noWrap w:val="0"/>
            <w:vAlign w:val="center"/>
          </w:tcPr>
          <w:p w14:paraId="57A8EDFD">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0690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546" w:type="dxa"/>
            <w:noWrap w:val="0"/>
            <w:vAlign w:val="center"/>
          </w:tcPr>
          <w:p w14:paraId="2A51EB6F">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10</w:t>
            </w:r>
          </w:p>
        </w:tc>
        <w:tc>
          <w:tcPr>
            <w:tcW w:w="3033" w:type="dxa"/>
            <w:noWrap w:val="0"/>
            <w:vAlign w:val="center"/>
          </w:tcPr>
          <w:p w14:paraId="5F509EB8">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采购人、采购代理机构未按照规定进行资格预审或者资格审查的</w:t>
            </w:r>
          </w:p>
        </w:tc>
        <w:tc>
          <w:tcPr>
            <w:tcW w:w="7704" w:type="dxa"/>
            <w:noWrap w:val="0"/>
            <w:vAlign w:val="center"/>
          </w:tcPr>
          <w:p w14:paraId="55CB4494">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（三）未按照规定进行资格预审或者资格审查的；</w:t>
            </w:r>
          </w:p>
        </w:tc>
        <w:tc>
          <w:tcPr>
            <w:tcW w:w="2580" w:type="dxa"/>
            <w:noWrap w:val="0"/>
            <w:vAlign w:val="center"/>
          </w:tcPr>
          <w:p w14:paraId="21BAB0A9">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未按照规定进行资格预审或者资格审查，初次违法，只涉及1个项目，且未影响中标结果，及时改正的。</w:t>
            </w:r>
          </w:p>
        </w:tc>
        <w:tc>
          <w:tcPr>
            <w:tcW w:w="1106" w:type="dxa"/>
            <w:noWrap w:val="0"/>
            <w:vAlign w:val="center"/>
          </w:tcPr>
          <w:p w14:paraId="435A9D41">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7E32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546" w:type="dxa"/>
            <w:noWrap w:val="0"/>
            <w:vAlign w:val="center"/>
          </w:tcPr>
          <w:p w14:paraId="044D13A4">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11</w:t>
            </w:r>
          </w:p>
        </w:tc>
        <w:tc>
          <w:tcPr>
            <w:tcW w:w="3033" w:type="dxa"/>
            <w:noWrap w:val="0"/>
            <w:vAlign w:val="center"/>
          </w:tcPr>
          <w:p w14:paraId="45A53059">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采购人、采购代理机构违反规定确定招标文件售价的</w:t>
            </w:r>
          </w:p>
        </w:tc>
        <w:tc>
          <w:tcPr>
            <w:tcW w:w="7704" w:type="dxa"/>
            <w:noWrap w:val="0"/>
            <w:vAlign w:val="center"/>
          </w:tcPr>
          <w:p w14:paraId="1BA732EA">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（四）违反本办法规定确定招标文件售价的；</w:t>
            </w:r>
          </w:p>
        </w:tc>
        <w:tc>
          <w:tcPr>
            <w:tcW w:w="2580" w:type="dxa"/>
            <w:noWrap w:val="0"/>
            <w:vAlign w:val="center"/>
          </w:tcPr>
          <w:p w14:paraId="7D06BDCF">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违反《政府采购货物和服务招标投标管理办法》规定确定招标文件售价的，初次违法，只涉及1个项目，及时改正的。</w:t>
            </w:r>
          </w:p>
        </w:tc>
        <w:tc>
          <w:tcPr>
            <w:tcW w:w="1106" w:type="dxa"/>
            <w:noWrap w:val="0"/>
            <w:vAlign w:val="center"/>
          </w:tcPr>
          <w:p w14:paraId="4C81180C">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17FE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jc w:val="center"/>
        </w:trPr>
        <w:tc>
          <w:tcPr>
            <w:tcW w:w="546" w:type="dxa"/>
            <w:noWrap w:val="0"/>
            <w:vAlign w:val="center"/>
          </w:tcPr>
          <w:p w14:paraId="59123F1E">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12</w:t>
            </w:r>
          </w:p>
        </w:tc>
        <w:tc>
          <w:tcPr>
            <w:tcW w:w="3033" w:type="dxa"/>
            <w:noWrap w:val="0"/>
            <w:vAlign w:val="center"/>
          </w:tcPr>
          <w:p w14:paraId="4EB92574">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采购人、采购代理机构未按规定对开标、评标活动进行全程录音录像的</w:t>
            </w:r>
          </w:p>
        </w:tc>
        <w:tc>
          <w:tcPr>
            <w:tcW w:w="7704" w:type="dxa"/>
            <w:noWrap w:val="0"/>
            <w:vAlign w:val="center"/>
          </w:tcPr>
          <w:p w14:paraId="43990012">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（五）未按规定对开标、评标活动进行全程录音录像的；</w:t>
            </w:r>
          </w:p>
        </w:tc>
        <w:tc>
          <w:tcPr>
            <w:tcW w:w="2580" w:type="dxa"/>
            <w:noWrap w:val="0"/>
            <w:vAlign w:val="center"/>
          </w:tcPr>
          <w:p w14:paraId="229297EF">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未按规定对开标、评标活动进行全程录音录像的，初次违法，只涉及1个项目，及时改正的。</w:t>
            </w:r>
          </w:p>
        </w:tc>
        <w:tc>
          <w:tcPr>
            <w:tcW w:w="1106" w:type="dxa"/>
            <w:noWrap w:val="0"/>
            <w:vAlign w:val="center"/>
          </w:tcPr>
          <w:p w14:paraId="5689E893">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098A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546" w:type="dxa"/>
            <w:noWrap w:val="0"/>
            <w:vAlign w:val="center"/>
          </w:tcPr>
          <w:p w14:paraId="26E89A92">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13</w:t>
            </w:r>
          </w:p>
        </w:tc>
        <w:tc>
          <w:tcPr>
            <w:tcW w:w="3033" w:type="dxa"/>
            <w:noWrap w:val="0"/>
            <w:vAlign w:val="center"/>
          </w:tcPr>
          <w:p w14:paraId="4B1466D9">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采购人、采购代理机构擅自终止招标活动的</w:t>
            </w:r>
          </w:p>
        </w:tc>
        <w:tc>
          <w:tcPr>
            <w:tcW w:w="7704" w:type="dxa"/>
            <w:noWrap w:val="0"/>
            <w:vAlign w:val="center"/>
          </w:tcPr>
          <w:p w14:paraId="70B3B8C7">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（六）擅自终止招标活动的；</w:t>
            </w:r>
          </w:p>
        </w:tc>
        <w:tc>
          <w:tcPr>
            <w:tcW w:w="2580" w:type="dxa"/>
            <w:noWrap w:val="0"/>
            <w:vAlign w:val="center"/>
          </w:tcPr>
          <w:p w14:paraId="174E4A08">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擅自终止招标活动，初次违法，只涉及1个项目，及时改正的。</w:t>
            </w:r>
          </w:p>
        </w:tc>
        <w:tc>
          <w:tcPr>
            <w:tcW w:w="1106" w:type="dxa"/>
            <w:noWrap w:val="0"/>
            <w:vAlign w:val="center"/>
          </w:tcPr>
          <w:p w14:paraId="577BEE84">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3886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546" w:type="dxa"/>
            <w:noWrap w:val="0"/>
            <w:vAlign w:val="center"/>
          </w:tcPr>
          <w:p w14:paraId="14DFEDAF">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14</w:t>
            </w:r>
          </w:p>
        </w:tc>
        <w:tc>
          <w:tcPr>
            <w:tcW w:w="3033" w:type="dxa"/>
            <w:noWrap w:val="0"/>
            <w:vAlign w:val="center"/>
          </w:tcPr>
          <w:p w14:paraId="21403C51">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采购人、采购代理机构未按照规定进行开标和组织评标的</w:t>
            </w:r>
          </w:p>
        </w:tc>
        <w:tc>
          <w:tcPr>
            <w:tcW w:w="7704" w:type="dxa"/>
            <w:noWrap w:val="0"/>
            <w:vAlign w:val="center"/>
          </w:tcPr>
          <w:p w14:paraId="078BB7CF">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（七）未按照规定进行开标和组织评标的；</w:t>
            </w:r>
          </w:p>
        </w:tc>
        <w:tc>
          <w:tcPr>
            <w:tcW w:w="2580" w:type="dxa"/>
            <w:noWrap w:val="0"/>
            <w:vAlign w:val="center"/>
          </w:tcPr>
          <w:p w14:paraId="5D8F8E39">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未按照规定进行开标和组织评标的，初次违法，只涉及1个项目，但未影响中标结果，及时改正的。</w:t>
            </w:r>
          </w:p>
        </w:tc>
        <w:tc>
          <w:tcPr>
            <w:tcW w:w="1106" w:type="dxa"/>
            <w:noWrap w:val="0"/>
            <w:vAlign w:val="center"/>
          </w:tcPr>
          <w:p w14:paraId="7AB8E4D2">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4D16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546" w:type="dxa"/>
            <w:noWrap w:val="0"/>
            <w:vAlign w:val="center"/>
          </w:tcPr>
          <w:p w14:paraId="5CB24F13">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15</w:t>
            </w:r>
          </w:p>
        </w:tc>
        <w:tc>
          <w:tcPr>
            <w:tcW w:w="3033" w:type="dxa"/>
            <w:noWrap w:val="0"/>
            <w:vAlign w:val="center"/>
          </w:tcPr>
          <w:p w14:paraId="3458D749">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采购人、采购代理机构未按照规定退还投标保证金的</w:t>
            </w:r>
          </w:p>
        </w:tc>
        <w:tc>
          <w:tcPr>
            <w:tcW w:w="7704" w:type="dxa"/>
            <w:noWrap w:val="0"/>
            <w:vAlign w:val="center"/>
          </w:tcPr>
          <w:p w14:paraId="6865B866">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（八）未按照规定退还投标保证金的；</w:t>
            </w:r>
          </w:p>
        </w:tc>
        <w:tc>
          <w:tcPr>
            <w:tcW w:w="2580" w:type="dxa"/>
            <w:noWrap w:val="0"/>
            <w:vAlign w:val="center"/>
          </w:tcPr>
          <w:p w14:paraId="7AD07EBE">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未按照规定退还投标保证金，初次违法，只涉及1个项目，及时改正的。</w:t>
            </w:r>
          </w:p>
        </w:tc>
        <w:tc>
          <w:tcPr>
            <w:tcW w:w="1106" w:type="dxa"/>
            <w:noWrap w:val="0"/>
            <w:vAlign w:val="center"/>
          </w:tcPr>
          <w:p w14:paraId="7BE8A222">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43D0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386ADFE4">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16</w:t>
            </w:r>
          </w:p>
        </w:tc>
        <w:tc>
          <w:tcPr>
            <w:tcW w:w="3033" w:type="dxa"/>
            <w:noWrap w:val="0"/>
            <w:vAlign w:val="center"/>
          </w:tcPr>
          <w:p w14:paraId="21B392E0">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采购人、采购代理机构违反本办法规定进行重新评审或者重新组建评标委员会进行评标的</w:t>
            </w:r>
          </w:p>
        </w:tc>
        <w:tc>
          <w:tcPr>
            <w:tcW w:w="7704" w:type="dxa"/>
            <w:noWrap w:val="0"/>
            <w:vAlign w:val="center"/>
          </w:tcPr>
          <w:p w14:paraId="3FCC849F">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（九）违反本办法规定进行重新评审或者重新组建评标委员会进行评标的；</w:t>
            </w:r>
          </w:p>
        </w:tc>
        <w:tc>
          <w:tcPr>
            <w:tcW w:w="2580" w:type="dxa"/>
            <w:noWrap w:val="0"/>
            <w:vAlign w:val="center"/>
          </w:tcPr>
          <w:p w14:paraId="41425669">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违反规定进行重新评审或者重新组建评标委员会进行评标的，初次违法，只涉及1个项目，但未影响中标结果，及时改正的。</w:t>
            </w:r>
          </w:p>
        </w:tc>
        <w:tc>
          <w:tcPr>
            <w:tcW w:w="1106" w:type="dxa"/>
            <w:noWrap w:val="0"/>
            <w:vAlign w:val="center"/>
          </w:tcPr>
          <w:p w14:paraId="3417970E">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免于处罚</w:t>
            </w:r>
          </w:p>
        </w:tc>
      </w:tr>
      <w:tr w14:paraId="1299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546" w:type="dxa"/>
            <w:noWrap w:val="0"/>
            <w:vAlign w:val="center"/>
          </w:tcPr>
          <w:p w14:paraId="62C52B69">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17</w:t>
            </w:r>
          </w:p>
        </w:tc>
        <w:tc>
          <w:tcPr>
            <w:tcW w:w="3033" w:type="dxa"/>
            <w:noWrap w:val="0"/>
            <w:vAlign w:val="center"/>
          </w:tcPr>
          <w:p w14:paraId="674085F0">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采购人、采购代理机构在开标前泄露已获取招标文件的潜在投标人的名称、数量或者其他可能影响公平竞争的有关招标投标情况的</w:t>
            </w:r>
          </w:p>
        </w:tc>
        <w:tc>
          <w:tcPr>
            <w:tcW w:w="7704" w:type="dxa"/>
            <w:noWrap w:val="0"/>
            <w:vAlign w:val="center"/>
          </w:tcPr>
          <w:p w14:paraId="51D26EA3">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（十）开标前泄露已获取招标文件的潜在投标人的名称、数量或者其他可能影响公平竞争的有关招标投标情况的；</w:t>
            </w:r>
          </w:p>
        </w:tc>
        <w:tc>
          <w:tcPr>
            <w:tcW w:w="2580" w:type="dxa"/>
            <w:noWrap w:val="0"/>
            <w:vAlign w:val="center"/>
          </w:tcPr>
          <w:p w14:paraId="18D59A80">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开标前泄露已获取招标文件的潜在投标人的名称、数量或者其他可能影响公平竞争的有关招标投标情况的，初次违法，只涉及1个项目，但未影响中标结果，及时改正的。</w:t>
            </w:r>
          </w:p>
        </w:tc>
        <w:tc>
          <w:tcPr>
            <w:tcW w:w="1106" w:type="dxa"/>
            <w:noWrap w:val="0"/>
            <w:vAlign w:val="center"/>
          </w:tcPr>
          <w:p w14:paraId="5F665A78">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6D2D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546" w:type="dxa"/>
            <w:noWrap w:val="0"/>
            <w:vAlign w:val="center"/>
          </w:tcPr>
          <w:p w14:paraId="296812CD">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18</w:t>
            </w:r>
          </w:p>
        </w:tc>
        <w:tc>
          <w:tcPr>
            <w:tcW w:w="3033" w:type="dxa"/>
            <w:noWrap w:val="0"/>
            <w:vAlign w:val="center"/>
          </w:tcPr>
          <w:p w14:paraId="18CE3BB5">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采购人、采购代理机构未妥善保存采购文件的</w:t>
            </w:r>
          </w:p>
        </w:tc>
        <w:tc>
          <w:tcPr>
            <w:tcW w:w="7704" w:type="dxa"/>
            <w:noWrap w:val="0"/>
            <w:vAlign w:val="center"/>
          </w:tcPr>
          <w:p w14:paraId="50F0E420">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（十一）未妥善保存采购文件的；</w:t>
            </w:r>
          </w:p>
        </w:tc>
        <w:tc>
          <w:tcPr>
            <w:tcW w:w="2580" w:type="dxa"/>
            <w:noWrap w:val="0"/>
            <w:vAlign w:val="center"/>
          </w:tcPr>
          <w:p w14:paraId="5458A380">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未妥善保存1个项目采购文件，初次违法，及时改正的。</w:t>
            </w:r>
          </w:p>
        </w:tc>
        <w:tc>
          <w:tcPr>
            <w:tcW w:w="1106" w:type="dxa"/>
            <w:noWrap w:val="0"/>
            <w:vAlign w:val="center"/>
          </w:tcPr>
          <w:p w14:paraId="463D3DE8">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2711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546" w:type="dxa"/>
            <w:noWrap w:val="0"/>
            <w:vAlign w:val="center"/>
          </w:tcPr>
          <w:p w14:paraId="1C59B85A">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19</w:t>
            </w:r>
          </w:p>
        </w:tc>
        <w:tc>
          <w:tcPr>
            <w:tcW w:w="3033" w:type="dxa"/>
            <w:noWrap w:val="0"/>
            <w:vAlign w:val="center"/>
          </w:tcPr>
          <w:p w14:paraId="024F0448">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采购人、采购代理机构其他违反87号令规定的情形</w:t>
            </w:r>
          </w:p>
        </w:tc>
        <w:tc>
          <w:tcPr>
            <w:tcW w:w="7704" w:type="dxa"/>
            <w:noWrap w:val="0"/>
            <w:vAlign w:val="center"/>
          </w:tcPr>
          <w:p w14:paraId="1B05DD50">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（十二）其他违反本办法规定的情形。</w:t>
            </w:r>
          </w:p>
        </w:tc>
        <w:tc>
          <w:tcPr>
            <w:tcW w:w="2580" w:type="dxa"/>
            <w:noWrap w:val="0"/>
            <w:vAlign w:val="center"/>
          </w:tcPr>
          <w:p w14:paraId="5D5BEAFA">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其他违反《政府采购货物和服务招标投标管理办法》规定的情形。</w:t>
            </w:r>
          </w:p>
        </w:tc>
        <w:tc>
          <w:tcPr>
            <w:tcW w:w="1106" w:type="dxa"/>
            <w:noWrap w:val="0"/>
            <w:vAlign w:val="center"/>
          </w:tcPr>
          <w:p w14:paraId="3D360A22">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免于处罚</w:t>
            </w:r>
          </w:p>
        </w:tc>
      </w:tr>
      <w:tr w14:paraId="044D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6" w:type="dxa"/>
            <w:noWrap w:val="0"/>
            <w:vAlign w:val="center"/>
          </w:tcPr>
          <w:p w14:paraId="3D39F979">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20</w:t>
            </w:r>
          </w:p>
        </w:tc>
        <w:tc>
          <w:tcPr>
            <w:tcW w:w="3033" w:type="dxa"/>
            <w:noWrap w:val="0"/>
            <w:vAlign w:val="center"/>
          </w:tcPr>
          <w:p w14:paraId="4FE5C4BA">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评标委员会及成员在确定参与评标至评标结束前私自接触投标人</w:t>
            </w:r>
          </w:p>
        </w:tc>
        <w:tc>
          <w:tcPr>
            <w:tcW w:w="7704" w:type="dxa"/>
            <w:noWrap w:val="0"/>
            <w:vAlign w:val="center"/>
          </w:tcPr>
          <w:p w14:paraId="4D326511">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第六十二条  评标委员会及其成员不得有下列行为：</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（一）确定参与评标至评标结束前私自接触投标人；</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第八十一条  评标委员会成员有本办法第六十二条所列行为之一的，由财政部门责令限期改正；情节严重的，给予警告，并对其不良行为予以记录。</w:t>
            </w:r>
          </w:p>
        </w:tc>
        <w:tc>
          <w:tcPr>
            <w:tcW w:w="2580" w:type="dxa"/>
            <w:noWrap w:val="0"/>
            <w:vAlign w:val="center"/>
          </w:tcPr>
          <w:p w14:paraId="7CD82849">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评标委员会及成员在确定参与评标至评标结束前私自接触投标人，初次违法，涉及项目1个，但未影响中标结果的，及时改正的。</w:t>
            </w:r>
          </w:p>
        </w:tc>
        <w:tc>
          <w:tcPr>
            <w:tcW w:w="1106" w:type="dxa"/>
            <w:noWrap w:val="0"/>
            <w:vAlign w:val="center"/>
          </w:tcPr>
          <w:p w14:paraId="09D0B38C">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2567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0E9AC170">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21</w:t>
            </w:r>
          </w:p>
        </w:tc>
        <w:tc>
          <w:tcPr>
            <w:tcW w:w="3033" w:type="dxa"/>
            <w:noWrap w:val="0"/>
            <w:vAlign w:val="center"/>
          </w:tcPr>
          <w:p w14:paraId="557D3885">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评标委员会及成员接受投标人提出的与投标文件不一致的澄清或者说明</w:t>
            </w:r>
          </w:p>
        </w:tc>
        <w:tc>
          <w:tcPr>
            <w:tcW w:w="7704" w:type="dxa"/>
            <w:noWrap w:val="0"/>
            <w:vAlign w:val="center"/>
          </w:tcPr>
          <w:p w14:paraId="00B185AB">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w:t>
            </w: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第六十二条  评标委员会及其成员不得有下列行为：</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（二）接受投标人提出的与投标文件不一致的澄清或者说明，本办法第五十一条规定的情形除外；</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第八十一条  评标委员会成员有本办法第六十二条所列行为之一的，由财政部门责令限期改正；情节严重的，给予警告，并对其不良行为予以记录。</w:t>
            </w:r>
          </w:p>
        </w:tc>
        <w:tc>
          <w:tcPr>
            <w:tcW w:w="2580" w:type="dxa"/>
            <w:noWrap w:val="0"/>
            <w:vAlign w:val="center"/>
          </w:tcPr>
          <w:p w14:paraId="34577FDB">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评标委员会及成员接受投标人提出的与投标文件不一致的澄清或者说明（《政府采购货物和服务招标投标管理办法》第五十一条规定的情形除外），初次违法，未影响中标结果，及时改正的。</w:t>
            </w:r>
          </w:p>
        </w:tc>
        <w:tc>
          <w:tcPr>
            <w:tcW w:w="1106" w:type="dxa"/>
            <w:noWrap w:val="0"/>
            <w:vAlign w:val="center"/>
          </w:tcPr>
          <w:p w14:paraId="0F7B7D6C">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7502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546" w:type="dxa"/>
            <w:noWrap w:val="0"/>
            <w:vAlign w:val="center"/>
          </w:tcPr>
          <w:p w14:paraId="3337EFD3">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22</w:t>
            </w:r>
          </w:p>
        </w:tc>
        <w:tc>
          <w:tcPr>
            <w:tcW w:w="3033" w:type="dxa"/>
            <w:noWrap w:val="0"/>
            <w:vAlign w:val="center"/>
          </w:tcPr>
          <w:p w14:paraId="0669FAD6">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评标委员会及成员违反评标纪律发表倾向性意见或者征询采购人的倾向性意见</w:t>
            </w:r>
          </w:p>
        </w:tc>
        <w:tc>
          <w:tcPr>
            <w:tcW w:w="7704" w:type="dxa"/>
            <w:noWrap w:val="0"/>
            <w:vAlign w:val="center"/>
          </w:tcPr>
          <w:p w14:paraId="2C7FB0C9">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第六十二条  评标委员会及其成员不得有下列行为：</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（三）违反评标纪律发表倾向性意见或者征询采购人的倾向性意见；</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第八十一条  评标委员会成员有本办法第六十二条所列行为之一的，由财政部门责令限期改正；情节严重的，给予警告，并对其不良行为予以记录</w:t>
            </w:r>
            <w:r>
              <w:rPr>
                <w:rFonts w:hint="eastAsia" w:ascii="仿宋" w:eastAsia="仿宋" w:cs="仿宋"/>
                <w:color w:val="auto"/>
                <w:sz w:val="21"/>
                <w:szCs w:val="21"/>
                <w:vertAlign w:val="baseline"/>
                <w:lang w:val="en-US" w:eastAsia="zh-CN" w:bidi="ar-SA"/>
              </w:rPr>
              <w:t>。</w:t>
            </w:r>
          </w:p>
        </w:tc>
        <w:tc>
          <w:tcPr>
            <w:tcW w:w="2580" w:type="dxa"/>
            <w:noWrap w:val="0"/>
            <w:vAlign w:val="center"/>
          </w:tcPr>
          <w:p w14:paraId="69A4D677">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评标委员会及成员违反评标纪律发表倾向性意见或者征询采购人的倾向性意见，初次违法，未影响中标结果，及时改正的。</w:t>
            </w:r>
          </w:p>
        </w:tc>
        <w:tc>
          <w:tcPr>
            <w:tcW w:w="1106" w:type="dxa"/>
            <w:noWrap w:val="0"/>
            <w:vAlign w:val="center"/>
          </w:tcPr>
          <w:p w14:paraId="09D8889D">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0623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546" w:type="dxa"/>
            <w:noWrap w:val="0"/>
            <w:vAlign w:val="center"/>
          </w:tcPr>
          <w:p w14:paraId="71F19BC2">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23</w:t>
            </w:r>
          </w:p>
        </w:tc>
        <w:tc>
          <w:tcPr>
            <w:tcW w:w="3033" w:type="dxa"/>
            <w:noWrap w:val="0"/>
            <w:vAlign w:val="center"/>
          </w:tcPr>
          <w:p w14:paraId="185DB31A">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评标委员会及成员对需要专业判断的主观评审因素协商评分</w:t>
            </w:r>
          </w:p>
        </w:tc>
        <w:tc>
          <w:tcPr>
            <w:tcW w:w="7704" w:type="dxa"/>
            <w:noWrap w:val="0"/>
            <w:vAlign w:val="center"/>
          </w:tcPr>
          <w:p w14:paraId="6616D2F1">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第六十二条  评标委员会及其成员不得有下列行为：</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（四）对需要专业判断的主观评审因素协商评分；</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第八十一条  评标委员会成员有本办法第六十二条所列行为之一的，由财政部门责令限期改正；情节严重的，给予警告，并对其不良行为予以记录。</w:t>
            </w:r>
          </w:p>
        </w:tc>
        <w:tc>
          <w:tcPr>
            <w:tcW w:w="2580" w:type="dxa"/>
            <w:noWrap w:val="0"/>
            <w:vAlign w:val="center"/>
          </w:tcPr>
          <w:p w14:paraId="5D63718C">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评标委员会及成员对需要专业判断的主观评审因素协商评分，初次违法，未影响中标结果，及时改正的。</w:t>
            </w:r>
          </w:p>
        </w:tc>
        <w:tc>
          <w:tcPr>
            <w:tcW w:w="1106" w:type="dxa"/>
            <w:noWrap w:val="0"/>
            <w:vAlign w:val="center"/>
          </w:tcPr>
          <w:p w14:paraId="36285352">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412F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46" w:type="dxa"/>
            <w:noWrap w:val="0"/>
            <w:vAlign w:val="center"/>
          </w:tcPr>
          <w:p w14:paraId="0842DE9A">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24</w:t>
            </w:r>
          </w:p>
        </w:tc>
        <w:tc>
          <w:tcPr>
            <w:tcW w:w="3033" w:type="dxa"/>
            <w:noWrap w:val="0"/>
            <w:vAlign w:val="center"/>
          </w:tcPr>
          <w:p w14:paraId="1FB30F6D">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评标委员会及成员在评标过程中擅离职守，影响评标程序正常进行的</w:t>
            </w:r>
          </w:p>
        </w:tc>
        <w:tc>
          <w:tcPr>
            <w:tcW w:w="7704" w:type="dxa"/>
            <w:noWrap w:val="0"/>
            <w:vAlign w:val="center"/>
          </w:tcPr>
          <w:p w14:paraId="58B32271">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第六十二条 评标委员会及其成员不得有下列行为：</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（五）在评标过程中擅离职守，影响评标程序正常进行的；</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第八十一条评标委员会成员有本办法第六十二条所列行为之一的，由财政部门责令限期改正；情节严重的，给予警告，并对其不良行为予以记录。</w:t>
            </w:r>
          </w:p>
        </w:tc>
        <w:tc>
          <w:tcPr>
            <w:tcW w:w="2580" w:type="dxa"/>
            <w:noWrap w:val="0"/>
            <w:vAlign w:val="center"/>
          </w:tcPr>
          <w:p w14:paraId="17592A50">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评标委员会及其成员在评标过程中擅离职守，影响评标程序正常进行的，初次违法，未影响中标结果，及时改正的。</w:t>
            </w:r>
          </w:p>
        </w:tc>
        <w:tc>
          <w:tcPr>
            <w:tcW w:w="1106" w:type="dxa"/>
            <w:noWrap w:val="0"/>
            <w:vAlign w:val="center"/>
          </w:tcPr>
          <w:p w14:paraId="3C17F6E8">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1BBE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46" w:type="dxa"/>
            <w:noWrap w:val="0"/>
            <w:vAlign w:val="center"/>
          </w:tcPr>
          <w:p w14:paraId="1E55A2B4">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25</w:t>
            </w:r>
          </w:p>
        </w:tc>
        <w:tc>
          <w:tcPr>
            <w:tcW w:w="3033" w:type="dxa"/>
            <w:noWrap w:val="0"/>
            <w:vAlign w:val="center"/>
          </w:tcPr>
          <w:p w14:paraId="3B0C0263">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评标委员会及成员记录、复制或者带走任何评标资料</w:t>
            </w:r>
          </w:p>
        </w:tc>
        <w:tc>
          <w:tcPr>
            <w:tcW w:w="7704" w:type="dxa"/>
            <w:noWrap w:val="0"/>
            <w:vAlign w:val="center"/>
          </w:tcPr>
          <w:p w14:paraId="1D1950BD">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第六十二条  评标委员会及其成员不得有下列行为：</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（六）记录、复制或者带走任何评标资料；</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第八十一条  评标委员会成员有本办法第六十二条所列行为之一的，由财政部门责令限期改正；情节严重的，给予警告，并对其不良行为予以记录。</w:t>
            </w:r>
          </w:p>
        </w:tc>
        <w:tc>
          <w:tcPr>
            <w:tcW w:w="2580" w:type="dxa"/>
            <w:noWrap w:val="0"/>
            <w:vAlign w:val="center"/>
          </w:tcPr>
          <w:p w14:paraId="324495ED">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评标委员会及成员在1个项目中记录、复制或者带走任何评标资料，危害后果轻微，及时改正的。</w:t>
            </w:r>
          </w:p>
        </w:tc>
        <w:tc>
          <w:tcPr>
            <w:tcW w:w="1106" w:type="dxa"/>
            <w:noWrap w:val="0"/>
            <w:vAlign w:val="center"/>
          </w:tcPr>
          <w:p w14:paraId="7D5C2DC3">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6F18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02AEFFC8">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26</w:t>
            </w:r>
          </w:p>
        </w:tc>
        <w:tc>
          <w:tcPr>
            <w:tcW w:w="3033" w:type="dxa"/>
            <w:noWrap w:val="0"/>
            <w:vAlign w:val="center"/>
          </w:tcPr>
          <w:p w14:paraId="15680800">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评标委员会及成员其他不遵守评标纪律的行为</w:t>
            </w:r>
          </w:p>
        </w:tc>
        <w:tc>
          <w:tcPr>
            <w:tcW w:w="7704" w:type="dxa"/>
            <w:noWrap w:val="0"/>
            <w:vAlign w:val="center"/>
          </w:tcPr>
          <w:p w14:paraId="4106FA0A">
            <w:pPr>
              <w:jc w:val="center"/>
              <w:rPr>
                <w:rFonts w:hint="eastAsia" w:ascii="仿宋" w:eastAsia="仿宋" w:cs="仿宋"/>
                <w:color w:val="auto"/>
                <w:sz w:val="21"/>
                <w:szCs w:val="21"/>
                <w:vertAlign w:val="baseline"/>
                <w:lang w:val="en-US" w:eastAsia="zh-CN" w:bidi="ar-SA"/>
              </w:rPr>
            </w:pPr>
            <w:r>
              <w:rPr>
                <w:rFonts w:hint="default" w:ascii="仿宋" w:eastAsia="仿宋" w:cs="仿宋"/>
                <w:color w:val="auto"/>
                <w:sz w:val="21"/>
                <w:szCs w:val="21"/>
                <w:vertAlign w:val="baseline"/>
                <w:lang w:val="en-US" w:eastAsia="zh-CN" w:bidi="ar-SA"/>
              </w:rPr>
              <w:t>《政府采购货物和服务招标投标管理办法》</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第六十二条  评标委员会及其成员不得有下列行为：</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（七）其他不遵守评标纪律的行为。</w:t>
            </w:r>
            <w:r>
              <w:rPr>
                <w:rFonts w:hint="default" w:ascii="仿宋" w:eastAsia="仿宋" w:cs="仿宋"/>
                <w:color w:val="auto"/>
                <w:sz w:val="21"/>
                <w:szCs w:val="21"/>
                <w:vertAlign w:val="baseline"/>
                <w:lang w:val="en-US" w:eastAsia="zh-CN" w:bidi="ar-SA"/>
              </w:rPr>
              <w:br w:type="textWrapping"/>
            </w:r>
            <w:r>
              <w:rPr>
                <w:rFonts w:hint="default" w:ascii="仿宋" w:eastAsia="仿宋" w:cs="仿宋"/>
                <w:color w:val="auto"/>
                <w:sz w:val="21"/>
                <w:szCs w:val="21"/>
                <w:vertAlign w:val="baseline"/>
                <w:lang w:val="en-US" w:eastAsia="zh-CN" w:bidi="ar-SA"/>
              </w:rPr>
              <w:t xml:space="preserve">  第八十一条  评标委员会成员有本办法第六十二条所列行为之一的，由财政部门责令限期改正；情节严重的，给予警告，并对其不良行为予以记录。</w:t>
            </w:r>
          </w:p>
        </w:tc>
        <w:tc>
          <w:tcPr>
            <w:tcW w:w="2580" w:type="dxa"/>
            <w:noWrap w:val="0"/>
            <w:vAlign w:val="center"/>
          </w:tcPr>
          <w:p w14:paraId="3DA8F837">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评标委员会及成员在1个项目中有其他不遵守评标纪律的行为，危害后果轻微，及时改正的。</w:t>
            </w:r>
          </w:p>
        </w:tc>
        <w:tc>
          <w:tcPr>
            <w:tcW w:w="1106" w:type="dxa"/>
            <w:noWrap w:val="0"/>
            <w:vAlign w:val="center"/>
          </w:tcPr>
          <w:p w14:paraId="51DFF862">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3A02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5A6F1953">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27</w:t>
            </w:r>
          </w:p>
        </w:tc>
        <w:tc>
          <w:tcPr>
            <w:tcW w:w="3033" w:type="dxa"/>
            <w:noWrap w:val="0"/>
            <w:vAlign w:val="center"/>
          </w:tcPr>
          <w:p w14:paraId="3250AF9B">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不依法设置会计账簿的</w:t>
            </w:r>
          </w:p>
        </w:tc>
        <w:tc>
          <w:tcPr>
            <w:tcW w:w="7704" w:type="dxa"/>
            <w:noWrap w:val="0"/>
            <w:vAlign w:val="center"/>
          </w:tcPr>
          <w:p w14:paraId="4705F21E">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1、《中华人民共和国会计法》</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 xml:space="preserve">  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一）不依法设置会计账簿的；有前款所列行为之一，构成犯罪的，依法追究刑事责任。会计人员有第一款所列行为之一，情节严重的，五年内不得从事会计工作。有关法律对第一款所列行为的处罚另有规定的，依照有关法律的规定办理。</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2、《湖南省实施&lt;中华人民共和国会计法&gt;办法》</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 xml:space="preserve">  第二十六条 违反本办法规定，有下列行为之一，尚不构成犯罪的，由县级以上人民政府财政部门责令限期改正，可以对单位处三千元以上五万元以下的罚款；对其直接负责的主管人员和其他直接责任人员，可以处二千元以上二万元以下的罚款；属于国家工作人员的，还应当由其所在单位或者有关单位依法给予行政处分：（一）违反会计法和国家统一会计制度的规定设账的；</w:t>
            </w:r>
          </w:p>
        </w:tc>
        <w:tc>
          <w:tcPr>
            <w:tcW w:w="2580" w:type="dxa"/>
            <w:noWrap w:val="0"/>
            <w:vAlign w:val="center"/>
          </w:tcPr>
          <w:p w14:paraId="2418209F">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初次违反财务会计管理类法律规范，未依法规定设置辅助性账簿的，及时改正的。</w:t>
            </w:r>
          </w:p>
        </w:tc>
        <w:tc>
          <w:tcPr>
            <w:tcW w:w="1106" w:type="dxa"/>
            <w:noWrap w:val="0"/>
            <w:vAlign w:val="center"/>
          </w:tcPr>
          <w:p w14:paraId="36424986">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6960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dxa"/>
            <w:noWrap w:val="0"/>
            <w:vAlign w:val="center"/>
          </w:tcPr>
          <w:p w14:paraId="3C3E606A">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28</w:t>
            </w:r>
          </w:p>
        </w:tc>
        <w:tc>
          <w:tcPr>
            <w:tcW w:w="3033" w:type="dxa"/>
            <w:noWrap w:val="0"/>
            <w:vAlign w:val="center"/>
          </w:tcPr>
          <w:p w14:paraId="0BB3AC3A">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未按照规定填制、取得原始凭证或者填制、取得的原始凭证不符合规定的</w:t>
            </w:r>
          </w:p>
        </w:tc>
        <w:tc>
          <w:tcPr>
            <w:tcW w:w="7704" w:type="dxa"/>
            <w:noWrap w:val="0"/>
            <w:vAlign w:val="center"/>
          </w:tcPr>
          <w:p w14:paraId="6C6EC468">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《中华人民共和国会计法》</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 xml:space="preserve">  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三）未按照规定填制、取得原始凭证或者填制、取得的原始凭证不符合规定的；有前款所列行为之一，构成犯罪的，依法追究刑事责任。会计人员有第一款所列行为之一，情节严重的，五年内不得从事会计工作。有关法律对第一款所列行为的处罚另有规定的，依照有关法律的规定办理。</w:t>
            </w:r>
          </w:p>
        </w:tc>
        <w:tc>
          <w:tcPr>
            <w:tcW w:w="2580" w:type="dxa"/>
            <w:noWrap w:val="0"/>
            <w:vAlign w:val="center"/>
          </w:tcPr>
          <w:p w14:paraId="3DF96AF9">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初次违反财务会计管理类法律法规，有以下情形之一，且金额合计10000元以下，及时改正的：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1.未按照规定取得原始凭证，且凭证数量5份以下的；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2.原始凭证内容错误，且凭证数量5份以下的；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3.记账凭证不按规定签章装订，且凭证数量5份以下的；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4.记账凭证内容不完整，且凭证数量5份以下的；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5.记账凭证的填制方法不符合会计规范要求，且凭证数量5份以下的；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6.记账凭证不按规定的方法更正错误，且凭证数量5份以下的。</w:t>
            </w:r>
          </w:p>
        </w:tc>
        <w:tc>
          <w:tcPr>
            <w:tcW w:w="1106" w:type="dxa"/>
            <w:noWrap w:val="0"/>
            <w:vAlign w:val="center"/>
          </w:tcPr>
          <w:p w14:paraId="723D56F8">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14AA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0E9B5F99">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29</w:t>
            </w:r>
          </w:p>
        </w:tc>
        <w:tc>
          <w:tcPr>
            <w:tcW w:w="3033" w:type="dxa"/>
            <w:noWrap w:val="0"/>
            <w:vAlign w:val="center"/>
          </w:tcPr>
          <w:p w14:paraId="247CF980">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以未经审核的会计凭证为依据登记会计账簿或者登记会计账簿不符合规定的</w:t>
            </w:r>
          </w:p>
        </w:tc>
        <w:tc>
          <w:tcPr>
            <w:tcW w:w="7704" w:type="dxa"/>
            <w:noWrap w:val="0"/>
            <w:vAlign w:val="center"/>
          </w:tcPr>
          <w:p w14:paraId="58661324">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《中华人民共和国会计法》</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 xml:space="preserve">  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四）以未经审核的会计凭证为依据登记会计账簿或者登记会计账簿不符合规定的；有前款所列行为之一，构成犯罪的，依法追究刑事责任。会计人员有第一款所列行为之一，情节严重的，五年内不得从事会计工作。有关法律对第一款所列行为的处罚另有规定的，依照有关法律的规定办理。</w:t>
            </w:r>
          </w:p>
        </w:tc>
        <w:tc>
          <w:tcPr>
            <w:tcW w:w="2580" w:type="dxa"/>
            <w:noWrap w:val="0"/>
            <w:vAlign w:val="center"/>
          </w:tcPr>
          <w:p w14:paraId="11ACCA3B">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初次违法有以下情形之一，情节轻微，及时改正的：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1.原始凭证未按《会计法》第十四条第三款规定进行审核的；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2.打印的会计账簿不连续编号的；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3.启用账簿时未在封面上填写单位和扉页启用表填写不全的；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4.不按账户顺序编号和编写页码的；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5.红笔记账不按规定的；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6.无日期或无内容摘要的；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7.跳行、隔页登记未按规定划线注销的或未有会计人员和会计机构负责人（会计主管人员）在更正处盖章的；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8.现金、银行存款记账不逐日结出余额的；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9.各账户未按规定按月结出余额的；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10.银行存款日记账余额和银行对账单不及时核对，不按规定编制银行存款调节表的；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11.转页和结计发生额不符合规定的；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12.打印的会计账簿不装订成册的；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13.活页式账簿不定期装订成册的；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14.会计账簿无记账人员和会计机构负责人或会计主管人员签章的；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15.任意简化国家统一的会计制度规定的会计科目，或填制会计凭证登记账簿时，只填科目编号，不填科目名称的；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16.会计账簿改错不符规定的；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17.会计电算化单位并行3个月后脱离手工账未按规定备案的。</w:t>
            </w:r>
          </w:p>
        </w:tc>
        <w:tc>
          <w:tcPr>
            <w:tcW w:w="1106" w:type="dxa"/>
            <w:noWrap w:val="0"/>
            <w:vAlign w:val="center"/>
          </w:tcPr>
          <w:p w14:paraId="113D8607">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46F7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1B21DF2E">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30</w:t>
            </w:r>
          </w:p>
        </w:tc>
        <w:tc>
          <w:tcPr>
            <w:tcW w:w="3033" w:type="dxa"/>
            <w:noWrap w:val="0"/>
            <w:vAlign w:val="center"/>
          </w:tcPr>
          <w:p w14:paraId="5F1D1B6B">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随意变更会计处理方法的</w:t>
            </w:r>
          </w:p>
        </w:tc>
        <w:tc>
          <w:tcPr>
            <w:tcW w:w="7704" w:type="dxa"/>
            <w:noWrap w:val="0"/>
            <w:vAlign w:val="center"/>
          </w:tcPr>
          <w:p w14:paraId="4EE55DB8">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《中华人民共和国会计法》</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 xml:space="preserve">  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五）随意变更会计处理方法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 xml:space="preserve">  有前款所列行为之一，构成犯罪的，依法追究刑事责任。会计人员有第一款所列行为之一，情节严重的，五年内不得从事会计工作。有关法律对第一款所列行为的处罚另有规定的，依照有关法律的规定办理。</w:t>
            </w:r>
          </w:p>
        </w:tc>
        <w:tc>
          <w:tcPr>
            <w:tcW w:w="2580" w:type="dxa"/>
            <w:noWrap w:val="0"/>
            <w:vAlign w:val="center"/>
          </w:tcPr>
          <w:p w14:paraId="04BAA59A">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初次违法，有以下情形之一，情节轻微，及时改正的：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1.未按国家统一的会计制度规定设置会计科目的；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2.未按会计制度规定的科目进行核算的。</w:t>
            </w:r>
          </w:p>
        </w:tc>
        <w:tc>
          <w:tcPr>
            <w:tcW w:w="1106" w:type="dxa"/>
            <w:noWrap w:val="0"/>
            <w:vAlign w:val="center"/>
          </w:tcPr>
          <w:p w14:paraId="7C60A271">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47D7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5C884DED">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31</w:t>
            </w:r>
          </w:p>
        </w:tc>
        <w:tc>
          <w:tcPr>
            <w:tcW w:w="3033" w:type="dxa"/>
            <w:noWrap w:val="0"/>
            <w:vAlign w:val="center"/>
          </w:tcPr>
          <w:p w14:paraId="176E3259">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向不同的会计资料使用者提供的财务会计报告编制依据不一致的</w:t>
            </w:r>
          </w:p>
        </w:tc>
        <w:tc>
          <w:tcPr>
            <w:tcW w:w="7704" w:type="dxa"/>
            <w:noWrap w:val="0"/>
            <w:vAlign w:val="center"/>
          </w:tcPr>
          <w:p w14:paraId="42DF05F4">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《中华人民共和国会计法》</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 xml:space="preserve">  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六）向不同的会计资料使用者提供的财务会计报告编制依据不一致的；有前款所列行为之一，构成犯罪的，依法追究刑事责任。会计人员有第一款所列行为之一，情节严重的，五年内不得从事会计工作。有关法律对第一款所列行为的处罚另有规定的，依照有关法律的规定办理。</w:t>
            </w:r>
          </w:p>
        </w:tc>
        <w:tc>
          <w:tcPr>
            <w:tcW w:w="2580" w:type="dxa"/>
            <w:noWrap w:val="0"/>
            <w:vAlign w:val="center"/>
          </w:tcPr>
          <w:p w14:paraId="26046D1B">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该项违法行为仅发生1次，情节轻微并及时改正的。</w:t>
            </w:r>
          </w:p>
        </w:tc>
        <w:tc>
          <w:tcPr>
            <w:tcW w:w="1106" w:type="dxa"/>
            <w:noWrap w:val="0"/>
            <w:vAlign w:val="center"/>
          </w:tcPr>
          <w:p w14:paraId="1D2D5BD5">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5B9E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2F933692">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32</w:t>
            </w:r>
          </w:p>
        </w:tc>
        <w:tc>
          <w:tcPr>
            <w:tcW w:w="3033" w:type="dxa"/>
            <w:noWrap w:val="0"/>
            <w:vAlign w:val="center"/>
          </w:tcPr>
          <w:p w14:paraId="43B84696">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未按照规定保管会计资料，致使会计资料毁损、灭失的</w:t>
            </w:r>
          </w:p>
        </w:tc>
        <w:tc>
          <w:tcPr>
            <w:tcW w:w="7704" w:type="dxa"/>
            <w:noWrap w:val="0"/>
            <w:vAlign w:val="center"/>
          </w:tcPr>
          <w:p w14:paraId="658A16FD">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《中华人民共和国会计法》</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 xml:space="preserve">  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八）未按照规定保管会计资料，致使会计资料毁损、灭失的；会计人员有第一款所列行为之一，情节严重的，五年内不得从事会计工作。有关法律对第一款所列行为的处罚另有规定的，依照有关法律的规定办理。</w:t>
            </w:r>
          </w:p>
        </w:tc>
        <w:tc>
          <w:tcPr>
            <w:tcW w:w="2580" w:type="dxa"/>
            <w:noWrap w:val="0"/>
            <w:vAlign w:val="center"/>
          </w:tcPr>
          <w:p w14:paraId="6A4A6F3B">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1.初次违反财务会计管理类法律法规，因管理不善，致使少于1个月的会计资料毁损、灭失的；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2.没有其他违反财政法律法规的行为；</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3.对主要账目影响较小；</w:t>
            </w:r>
          </w:p>
          <w:p w14:paraId="772398E2">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4.及时改正的。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以上情形需同时满足，方适用。</w:t>
            </w:r>
          </w:p>
        </w:tc>
        <w:tc>
          <w:tcPr>
            <w:tcW w:w="1106" w:type="dxa"/>
            <w:noWrap w:val="0"/>
            <w:vAlign w:val="center"/>
          </w:tcPr>
          <w:p w14:paraId="4C50C47B">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38AC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dxa"/>
            <w:noWrap w:val="0"/>
            <w:vAlign w:val="center"/>
          </w:tcPr>
          <w:p w14:paraId="3BD6A0FC">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33</w:t>
            </w:r>
          </w:p>
        </w:tc>
        <w:tc>
          <w:tcPr>
            <w:tcW w:w="3033" w:type="dxa"/>
            <w:noWrap w:val="0"/>
            <w:vAlign w:val="center"/>
          </w:tcPr>
          <w:p w14:paraId="3B7648B0">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未按照规定建立并实施单位内部会计监督制度</w:t>
            </w:r>
          </w:p>
        </w:tc>
        <w:tc>
          <w:tcPr>
            <w:tcW w:w="7704" w:type="dxa"/>
            <w:noWrap w:val="0"/>
            <w:vAlign w:val="center"/>
          </w:tcPr>
          <w:p w14:paraId="7ED14113">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《中华人民共和国会计法》</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 xml:space="preserve">  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九）未按照规定建立并实施单位内部会计监督制度或者拒绝依法实施的监督或者不如实提供有关会计资料及有关情况的；会计人员有第一款所列行为之一，情节严重的，五年内不得从事会计工作。有关法律对第一款所列行为的处罚另有规定的，依照有关法律的规定办理。</w:t>
            </w:r>
          </w:p>
        </w:tc>
        <w:tc>
          <w:tcPr>
            <w:tcW w:w="2580" w:type="dxa"/>
            <w:noWrap w:val="0"/>
            <w:vAlign w:val="center"/>
          </w:tcPr>
          <w:p w14:paraId="508CBD19">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1.首次发现，单位未建立内部会计监督制度或建立的内部会计监督制度不符合要求，但执行了内部会计监督行为的；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2.没有其他违反财政法律法规的行为；</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3.造成较小的经济损失和不良社会影响；</w:t>
            </w:r>
          </w:p>
          <w:p w14:paraId="12989CC7">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4.及时改正的。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以上情形需同时满足，方适用。</w:t>
            </w:r>
          </w:p>
        </w:tc>
        <w:tc>
          <w:tcPr>
            <w:tcW w:w="1106" w:type="dxa"/>
            <w:noWrap w:val="0"/>
            <w:vAlign w:val="center"/>
          </w:tcPr>
          <w:p w14:paraId="38F34A70">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3465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617D057F">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34</w:t>
            </w:r>
          </w:p>
        </w:tc>
        <w:tc>
          <w:tcPr>
            <w:tcW w:w="3033" w:type="dxa"/>
            <w:noWrap w:val="0"/>
            <w:vAlign w:val="center"/>
          </w:tcPr>
          <w:p w14:paraId="6F48A545">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任用会计人员不符合本法规定的</w:t>
            </w:r>
          </w:p>
        </w:tc>
        <w:tc>
          <w:tcPr>
            <w:tcW w:w="7704" w:type="dxa"/>
            <w:noWrap w:val="0"/>
            <w:vAlign w:val="center"/>
          </w:tcPr>
          <w:p w14:paraId="4EFC30B3">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《中华人民共和国会计法》</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 xml:space="preserve">  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十）任用会计人员不符合本法规定的。会计人员有第一款所列行为之一，情节严重的，五年内不得从事会计工作。有关法律对第一款所列行为的处罚另有规定的，依照有关法律的规定办理。</w:t>
            </w:r>
          </w:p>
        </w:tc>
        <w:tc>
          <w:tcPr>
            <w:tcW w:w="2580" w:type="dxa"/>
            <w:noWrap w:val="0"/>
            <w:vAlign w:val="center"/>
          </w:tcPr>
          <w:p w14:paraId="213DDF37">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初次违反财务会计管理类法律法规，任用会计人员不符合会计法规定的，及时改正的。</w:t>
            </w:r>
          </w:p>
        </w:tc>
        <w:tc>
          <w:tcPr>
            <w:tcW w:w="1106" w:type="dxa"/>
            <w:noWrap w:val="0"/>
            <w:vAlign w:val="center"/>
          </w:tcPr>
          <w:p w14:paraId="602B425E">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7FD7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747CC500">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35</w:t>
            </w:r>
          </w:p>
        </w:tc>
        <w:tc>
          <w:tcPr>
            <w:tcW w:w="3033" w:type="dxa"/>
            <w:noWrap w:val="0"/>
            <w:vAlign w:val="center"/>
          </w:tcPr>
          <w:p w14:paraId="0F027F15">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使用电子计算机进行会计核算的单位，所使用的会计核算软件生成的会计账簿不符合国家统一会计制度的规定的</w:t>
            </w:r>
          </w:p>
        </w:tc>
        <w:tc>
          <w:tcPr>
            <w:tcW w:w="7704" w:type="dxa"/>
            <w:noWrap w:val="0"/>
            <w:vAlign w:val="center"/>
          </w:tcPr>
          <w:p w14:paraId="5ECE467B">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《湖南省实施&lt;中华人民共和国会计法&gt;办法》</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 xml:space="preserve">  第二十六条 违反本办法规定，有下列行为之一，尚不构成犯罪的，由县级以上人民政府财政部门责令限期改正，可以对单位处三千元以上五万元以下的罚款；对其直接负责的主管人员和其他直接责任人员，可以处二千元以上三万元以下的罚款；属于国家工作人员的，还应当由其所在单位或者有关单位依法给予行政处分：（二）使用电子计算机进行会计核算的单位，所使用的会计核算软件生成的会计账簿不符合国家统一会计制度的规定的；</w:t>
            </w:r>
          </w:p>
        </w:tc>
        <w:tc>
          <w:tcPr>
            <w:tcW w:w="2580" w:type="dxa"/>
            <w:noWrap w:val="0"/>
            <w:vAlign w:val="center"/>
          </w:tcPr>
          <w:p w14:paraId="1B6A1987">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初次违反，不影响主要账目监督检查的，经责令改正，及时改正的。</w:t>
            </w:r>
          </w:p>
        </w:tc>
        <w:tc>
          <w:tcPr>
            <w:tcW w:w="1106" w:type="dxa"/>
            <w:noWrap w:val="0"/>
            <w:vAlign w:val="center"/>
          </w:tcPr>
          <w:p w14:paraId="3CDD8CFB">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3111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0D0BA626">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36</w:t>
            </w:r>
          </w:p>
        </w:tc>
        <w:tc>
          <w:tcPr>
            <w:tcW w:w="3033" w:type="dxa"/>
            <w:noWrap w:val="0"/>
            <w:vAlign w:val="center"/>
          </w:tcPr>
          <w:p w14:paraId="6484029C">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委托不具有代理记账资格的机构代理记账的</w:t>
            </w:r>
          </w:p>
        </w:tc>
        <w:tc>
          <w:tcPr>
            <w:tcW w:w="7704" w:type="dxa"/>
            <w:noWrap w:val="0"/>
            <w:vAlign w:val="center"/>
          </w:tcPr>
          <w:p w14:paraId="09102B2C">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《湖南省实施&lt;中华人民共和国会计法&gt;办法》</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 xml:space="preserve">  第二十六条 违反本办法规定，有下列行为之一，尚不构成犯罪的，由县级以上人民政府财政部门责令限期改正，可以对单位处三千元以上五万元以下的罚款；对其直接负责的主管人员和其他直接责任人员，可以处二千元以上三万元以下的罚款；属于国家工作人员的，还应当由其所在单位或者有关单位依法给予行政处分：（三）委托不具有代理记账资格的机构代理记账的；</w:t>
            </w:r>
          </w:p>
        </w:tc>
        <w:tc>
          <w:tcPr>
            <w:tcW w:w="2580" w:type="dxa"/>
            <w:noWrap w:val="0"/>
            <w:vAlign w:val="center"/>
          </w:tcPr>
          <w:p w14:paraId="4273BB48">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初次违反财务会计管理类法律法规，不影响财政监督检查的，经责令改正，及时改正的。</w:t>
            </w:r>
          </w:p>
        </w:tc>
        <w:tc>
          <w:tcPr>
            <w:tcW w:w="1106" w:type="dxa"/>
            <w:noWrap w:val="0"/>
            <w:vAlign w:val="center"/>
          </w:tcPr>
          <w:p w14:paraId="13D91BB6">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0E13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6E2C6129">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37</w:t>
            </w:r>
          </w:p>
        </w:tc>
        <w:tc>
          <w:tcPr>
            <w:tcW w:w="3033" w:type="dxa"/>
            <w:noWrap w:val="0"/>
            <w:vAlign w:val="center"/>
          </w:tcPr>
          <w:p w14:paraId="018BE31E">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使用电子计算机进行会计核算的单位，所使用的会计核算软件生成的会计账簿不符合国家统一会计制度的规定的</w:t>
            </w:r>
          </w:p>
        </w:tc>
        <w:tc>
          <w:tcPr>
            <w:tcW w:w="7704" w:type="dxa"/>
            <w:noWrap w:val="0"/>
            <w:vAlign w:val="center"/>
          </w:tcPr>
          <w:p w14:paraId="4E0B12C3">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湖南省实施&lt;中华人民共和国会计法&gt;办法》</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 xml:space="preserve">  第二十六条 违反本办法规定，有下列行为之一，尚不构成犯罪的，由县级以上人民政府财政部门责令限期改正，可以对单位处三千元以上五万元以下的罚款；对其直接负责的主管人员和其他直接责任人员，可以处二千元以上二万元以下的罚款；属于国家工作人员的，还应当由其所在单位或者有关单位依法给予行政处分：（二）使用电子计算机进行会计核算的单位，所使用的会计核算软件生成的会计账簿不符合国家统一会计制度的规定的；</w:t>
            </w:r>
          </w:p>
        </w:tc>
        <w:tc>
          <w:tcPr>
            <w:tcW w:w="2580" w:type="dxa"/>
            <w:noWrap w:val="0"/>
            <w:vAlign w:val="center"/>
          </w:tcPr>
          <w:p w14:paraId="0C932D46">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初次违反财务会计管理类法律法规，其他辅助性账簿不符合国家统一会计制度的规定的。</w:t>
            </w:r>
          </w:p>
        </w:tc>
        <w:tc>
          <w:tcPr>
            <w:tcW w:w="1106" w:type="dxa"/>
            <w:noWrap w:val="0"/>
            <w:vAlign w:val="center"/>
          </w:tcPr>
          <w:p w14:paraId="35C5DA88">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782F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3BDC783A">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38</w:t>
            </w:r>
          </w:p>
        </w:tc>
        <w:tc>
          <w:tcPr>
            <w:tcW w:w="3033" w:type="dxa"/>
            <w:noWrap w:val="0"/>
            <w:vAlign w:val="center"/>
          </w:tcPr>
          <w:p w14:paraId="39390F16">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随意改变财务会计报告的编制基础、编制依据、编制原则和方法的</w:t>
            </w:r>
          </w:p>
        </w:tc>
        <w:tc>
          <w:tcPr>
            <w:tcW w:w="7704" w:type="dxa"/>
            <w:noWrap w:val="0"/>
            <w:vAlign w:val="center"/>
          </w:tcPr>
          <w:p w14:paraId="637D31AC">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《企业财务会计报告条例》</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 xml:space="preserve">  第三十九条 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二）随意改变财务会计报告的编制基础、编制依据、编制原则和方法的；会计人员有前款所列行为之一，情节严重的，由县级以上人民政府财政部门吊销会计人员从业资格证书。</w:t>
            </w:r>
          </w:p>
        </w:tc>
        <w:tc>
          <w:tcPr>
            <w:tcW w:w="2580" w:type="dxa"/>
            <w:noWrap w:val="0"/>
            <w:vAlign w:val="center"/>
          </w:tcPr>
          <w:p w14:paraId="1A27D959">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初次违反财务会计管理类法律法规，不以持续经营为基础编制财务报表时，未在附注中予以披露的，积极改正或者承诺在限定期限内改正。</w:t>
            </w:r>
          </w:p>
        </w:tc>
        <w:tc>
          <w:tcPr>
            <w:tcW w:w="1106" w:type="dxa"/>
            <w:noWrap w:val="0"/>
            <w:vAlign w:val="center"/>
          </w:tcPr>
          <w:p w14:paraId="76FDB51D">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4BD8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dxa"/>
            <w:noWrap w:val="0"/>
            <w:vAlign w:val="center"/>
          </w:tcPr>
          <w:p w14:paraId="62D457FA">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39</w:t>
            </w:r>
          </w:p>
        </w:tc>
        <w:tc>
          <w:tcPr>
            <w:tcW w:w="3033" w:type="dxa"/>
            <w:noWrap w:val="0"/>
            <w:vAlign w:val="center"/>
          </w:tcPr>
          <w:p w14:paraId="167DA479">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提前或者延迟结帐日结帐</w:t>
            </w:r>
          </w:p>
        </w:tc>
        <w:tc>
          <w:tcPr>
            <w:tcW w:w="7704" w:type="dxa"/>
            <w:noWrap w:val="0"/>
            <w:vAlign w:val="center"/>
          </w:tcPr>
          <w:p w14:paraId="4FF77E64">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《企业财务会计报告条例》</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 xml:space="preserve">  第三十九条 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三）提前或者延迟结帐日结帐；会计人员有前款所列行为之一，情节严重的，由县级以上人民政府财政部门吊销会计人员从业资格证书。</w:t>
            </w:r>
          </w:p>
        </w:tc>
        <w:tc>
          <w:tcPr>
            <w:tcW w:w="2580" w:type="dxa"/>
            <w:noWrap w:val="0"/>
            <w:vAlign w:val="center"/>
          </w:tcPr>
          <w:p w14:paraId="5E078C1A">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1.提前或者延迟10日以下结账的；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2.该项违法行为的发生涉及1个会计年度以内，且不涉及调节当年损溢的；</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3.承诺积极改正；</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以上情形须同时满足。</w:t>
            </w:r>
          </w:p>
        </w:tc>
        <w:tc>
          <w:tcPr>
            <w:tcW w:w="1106" w:type="dxa"/>
            <w:noWrap w:val="0"/>
            <w:vAlign w:val="center"/>
          </w:tcPr>
          <w:p w14:paraId="1C900153">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7437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0A672601">
            <w:pPr>
              <w:jc w:val="center"/>
              <w:rPr>
                <w:rFonts w:hint="default"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40</w:t>
            </w:r>
          </w:p>
        </w:tc>
        <w:tc>
          <w:tcPr>
            <w:tcW w:w="3033" w:type="dxa"/>
            <w:noWrap w:val="0"/>
            <w:vAlign w:val="center"/>
          </w:tcPr>
          <w:p w14:paraId="3F853554">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在编制年度财务会计报告前，未按照本条例规定全面清查资产、核实债务的</w:t>
            </w:r>
          </w:p>
        </w:tc>
        <w:tc>
          <w:tcPr>
            <w:tcW w:w="7704" w:type="dxa"/>
            <w:noWrap w:val="0"/>
            <w:vAlign w:val="center"/>
          </w:tcPr>
          <w:p w14:paraId="29CABC3D">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《企业财务会计报告条例》</w:t>
            </w:r>
            <w:r>
              <w:rPr>
                <w:rFonts w:hint="eastAsia" w:ascii="仿宋" w:eastAsia="仿宋" w:cs="仿宋"/>
                <w:color w:val="auto"/>
                <w:sz w:val="21"/>
                <w:szCs w:val="21"/>
                <w:vertAlign w:val="baseline"/>
                <w:lang w:val="en-US" w:eastAsia="zh-CN" w:bidi="ar-SA"/>
              </w:rPr>
              <w:br w:type="textWrapping"/>
            </w:r>
            <w:r>
              <w:rPr>
                <w:rFonts w:hint="eastAsia" w:ascii="仿宋" w:eastAsia="仿宋" w:cs="仿宋"/>
                <w:color w:val="auto"/>
                <w:sz w:val="21"/>
                <w:szCs w:val="21"/>
                <w:vertAlign w:val="baseline"/>
                <w:lang w:val="en-US" w:eastAsia="zh-CN" w:bidi="ar-SA"/>
              </w:rPr>
              <w:t xml:space="preserve">  第三十九条 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四）在编制年度财务会计报告前，未按照本条例规定全面清查资产、核实债务的；会计人员有前款所列行为之一，情节严重的，由县级以上人民政府财政部门吊销会计人员从业资格证书。</w:t>
            </w:r>
          </w:p>
        </w:tc>
        <w:tc>
          <w:tcPr>
            <w:tcW w:w="2580" w:type="dxa"/>
            <w:noWrap w:val="0"/>
            <w:vAlign w:val="center"/>
          </w:tcPr>
          <w:p w14:paraId="2EAADE5A">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初次违反财务会计管理类法律法规，未按《企业财务会计报告条例》第二十条规定，在年度中间根据具体情况，对各项财产物资和结算款项进行重点抽查、轮流清查或者定期清查的，承诺限期改正的。</w:t>
            </w:r>
          </w:p>
        </w:tc>
        <w:tc>
          <w:tcPr>
            <w:tcW w:w="1106" w:type="dxa"/>
            <w:noWrap w:val="0"/>
            <w:vAlign w:val="center"/>
          </w:tcPr>
          <w:p w14:paraId="3036B123">
            <w:pPr>
              <w:jc w:val="center"/>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首违不罚</w:t>
            </w:r>
          </w:p>
        </w:tc>
      </w:tr>
      <w:tr w14:paraId="3E55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01D4E07A">
            <w:pPr>
              <w:jc w:val="center"/>
              <w:rPr>
                <w:rFonts w:hint="eastAsia" w:ascii="仿宋" w:eastAsia="仿宋" w:cs="仿宋"/>
                <w:color w:val="auto"/>
                <w:sz w:val="21"/>
                <w:szCs w:val="21"/>
                <w:vertAlign w:val="baseline"/>
                <w:lang w:val="en-US" w:eastAsia="zh-CN" w:bidi="ar-SA"/>
              </w:rPr>
            </w:pPr>
          </w:p>
        </w:tc>
        <w:tc>
          <w:tcPr>
            <w:tcW w:w="14423" w:type="dxa"/>
            <w:gridSpan w:val="4"/>
            <w:noWrap w:val="0"/>
            <w:vAlign w:val="center"/>
          </w:tcPr>
          <w:p w14:paraId="2A171800">
            <w:pPr>
              <w:tabs>
                <w:tab w:val="left" w:pos="3561"/>
              </w:tabs>
              <w:jc w:val="left"/>
              <w:rPr>
                <w:rFonts w:hint="eastAsia" w:ascii="仿宋" w:eastAsia="仿宋" w:cs="仿宋"/>
                <w:color w:val="auto"/>
                <w:sz w:val="21"/>
                <w:szCs w:val="21"/>
                <w:vertAlign w:val="baseline"/>
                <w:lang w:val="en-US" w:eastAsia="zh-CN" w:bidi="ar-SA"/>
              </w:rPr>
            </w:pPr>
            <w:r>
              <w:rPr>
                <w:rFonts w:hint="eastAsia" w:ascii="仿宋" w:eastAsia="仿宋" w:cs="仿宋"/>
                <w:color w:val="auto"/>
                <w:sz w:val="21"/>
                <w:szCs w:val="21"/>
                <w:vertAlign w:val="baseline"/>
                <w:lang w:val="en-US" w:eastAsia="zh-CN" w:bidi="ar-SA"/>
              </w:rPr>
              <w:t>注：免罚清单事项包括免于处罚和可以免于处罚事项。</w:t>
            </w:r>
          </w:p>
        </w:tc>
      </w:tr>
    </w:tbl>
    <w:p w14:paraId="177D7EC8">
      <w:pPr>
        <w:jc w:val="center"/>
        <w:rPr>
          <w:rFonts w:hint="eastAsia" w:ascii="仿宋" w:eastAsia="仿宋" w:cs="仿宋"/>
          <w:color w:val="auto"/>
          <w:sz w:val="21"/>
          <w:szCs w:val="21"/>
          <w:vertAlign w:val="baseline"/>
          <w:lang w:val="en-US" w:eastAsia="zh-CN" w:bidi="ar-SA"/>
        </w:rPr>
      </w:pPr>
    </w:p>
    <w:sectPr>
      <w:footerReference r:id="rId3" w:type="default"/>
      <w:pgSz w:w="16838" w:h="11906" w:orient="landscape"/>
      <w:pgMar w:top="1434" w:right="1701" w:bottom="1134" w:left="1701"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A23C">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FD105">
                          <w:pPr>
                            <w:pStyle w:val="2"/>
                          </w:pPr>
                          <w:r>
                            <w:t xml:space="preserve">— </w:t>
                          </w:r>
                          <w:r>
                            <w:fldChar w:fldCharType="begin"/>
                          </w:r>
                          <w:r>
                            <w:instrText xml:space="preserve"> PAGE  \* MERGEFORMAT </w:instrText>
                          </w:r>
                          <w:r>
                            <w:fldChar w:fldCharType="separate"/>
                          </w:r>
                          <w:r>
                            <w:t>- 3 -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CFD105">
                    <w:pPr>
                      <w:pStyle w:val="2"/>
                    </w:pPr>
                    <w:r>
                      <w:t xml:space="preserve">— </w:t>
                    </w:r>
                    <w:r>
                      <w:fldChar w:fldCharType="begin"/>
                    </w:r>
                    <w:r>
                      <w:instrText xml:space="preserve"> PAGE  \* MERGEFORMAT </w:instrText>
                    </w:r>
                    <w:r>
                      <w:fldChar w:fldCharType="separate"/>
                    </w:r>
                    <w:r>
                      <w:t>- 3 -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ODNkMjY4MGYwZmM1NTNmZDliZjFmNWEwNDU1NmQifQ=="/>
  </w:docVars>
  <w:rsids>
    <w:rsidRoot w:val="32C344EC"/>
    <w:rsid w:val="0CCB6FA8"/>
    <w:rsid w:val="137E5002"/>
    <w:rsid w:val="292F411F"/>
    <w:rsid w:val="2ADE34FE"/>
    <w:rsid w:val="2C7D570A"/>
    <w:rsid w:val="32C344EC"/>
    <w:rsid w:val="3DF379B0"/>
    <w:rsid w:val="5A3B646E"/>
    <w:rsid w:val="5D56467E"/>
    <w:rsid w:val="62DC7D83"/>
    <w:rsid w:val="67CD4FA9"/>
    <w:rsid w:val="7D6310FB"/>
    <w:rsid w:val="EDD48CB0"/>
    <w:rsid w:val="FCBFE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next w:val="3"/>
    <w:autoRedefine/>
    <w:qFormat/>
    <w:uiPriority w:val="0"/>
    <w:pPr>
      <w:widowControl/>
      <w:spacing w:before="100" w:beforeAutospacing="1" w:after="100" w:afterAutospacing="1"/>
      <w:jc w:val="left"/>
    </w:pPr>
    <w:rPr>
      <w:rFonts w:ascii="宋体" w:cs="宋体"/>
      <w:color w:val="000000"/>
      <w:kern w:val="0"/>
      <w:sz w:val="24"/>
      <w:szCs w:val="20"/>
      <w:lang w:bidi="ar-SA"/>
    </w:rPr>
  </w:style>
  <w:style w:type="paragraph" w:styleId="5">
    <w:name w:val="Body Text First Indent 2"/>
    <w:basedOn w:val="1"/>
    <w:autoRedefine/>
    <w:qFormat/>
    <w:uiPriority w:val="0"/>
    <w:pPr>
      <w:spacing w:before="100" w:beforeAutospacing="1" w:after="0"/>
      <w:ind w:firstLine="200" w:firstLineChars="200"/>
    </w:pPr>
    <w:rPr>
      <w:rFonts w:ascii="Times New Roman" w:hAnsi="Times New Roman" w:eastAsia="宋体" w:cs="Times New Roman"/>
      <w:lang w:bidi="ar-SA"/>
    </w:rPr>
  </w:style>
  <w:style w:type="paragraph" w:customStyle="1" w:styleId="8">
    <w:name w:val="Table Paragraph"/>
    <w:basedOn w:val="1"/>
    <w:autoRedefine/>
    <w:qFormat/>
    <w:uiPriority w:val="0"/>
    <w:rPr>
      <w:rFonts w:ascii="仿宋" w:eastAsia="仿宋" w:cs="仿宋"/>
      <w:szCs w:val="20"/>
      <w:lang w:val="zh-CN" w:eastAsia="zh-CN" w:bidi="zh-CN"/>
    </w:rPr>
  </w:style>
  <w:style w:type="paragraph" w:customStyle="1" w:styleId="9">
    <w:name w:val="Normal (Web)"/>
    <w:basedOn w:val="1"/>
    <w:autoRedefine/>
    <w:qFormat/>
    <w:uiPriority w:val="0"/>
    <w:pPr>
      <w:spacing w:before="100" w:beforeAutospacing="1" w:after="100" w:afterAutospacing="1"/>
      <w:ind w:left="0" w:right="0"/>
      <w:jc w:val="left"/>
    </w:pPr>
    <w:rPr>
      <w:rFonts w:ascii="Times New Roman" w:hAnsi="Times New Roman" w:cs="Times New Roman"/>
      <w:kern w:val="0"/>
      <w:sz w:val="24"/>
      <w:szCs w:val="20"/>
      <w:lang w:val="en-US" w:eastAsia="zh-CN" w:bidi="ar-SA"/>
    </w:rPr>
  </w:style>
  <w:style w:type="paragraph" w:customStyle="1" w:styleId="10">
    <w:name w:val="Other|1"/>
    <w:basedOn w:val="1"/>
    <w:autoRedefine/>
    <w:qFormat/>
    <w:uiPriority w:val="0"/>
    <w:pPr>
      <w:spacing w:line="200" w:lineRule="exact"/>
      <w:jc w:val="left"/>
    </w:pPr>
    <w:rPr>
      <w:rFonts w:ascii="宋体" w:cs="宋体"/>
      <w:kern w:val="0"/>
      <w:sz w:val="14"/>
      <w:szCs w:val="14"/>
      <w:lang w:val="zh-TW" w:eastAsia="zh-TW" w:bidi="zh-TW"/>
    </w:rPr>
  </w:style>
  <w:style w:type="paragraph" w:customStyle="1" w:styleId="11">
    <w:name w:val="Other|2"/>
    <w:basedOn w:val="1"/>
    <w:autoRedefine/>
    <w:qFormat/>
    <w:uiPriority w:val="0"/>
    <w:pPr>
      <w:jc w:val="center"/>
    </w:pPr>
    <w:rPr>
      <w:rFonts w:ascii="宋体" w:cs="宋体"/>
      <w:kern w:val="0"/>
      <w:sz w:val="16"/>
      <w:szCs w:val="16"/>
      <w:lang w:val="zh-TW" w:eastAsia="zh-TW" w:bidi="zh-TW"/>
    </w:rPr>
  </w:style>
  <w:style w:type="character" w:customStyle="1" w:styleId="12">
    <w:name w:val="font61"/>
    <w:autoRedefine/>
    <w:qFormat/>
    <w:uiPriority w:val="0"/>
    <w:rPr>
      <w:rFonts w:hint="eastAsia" w:ascii="仿宋_GB2312" w:eastAsia="仿宋_GB2312" w:cs="仿宋_GB2312"/>
      <w:b/>
      <w:color w:val="000000"/>
      <w:sz w:val="18"/>
      <w:szCs w:val="18"/>
      <w:u w:val="none"/>
    </w:rPr>
  </w:style>
  <w:style w:type="character" w:customStyle="1" w:styleId="13">
    <w:name w:val="font51"/>
    <w:autoRedefine/>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11652</Words>
  <Characters>11737</Characters>
  <Lines>0</Lines>
  <Paragraphs>0</Paragraphs>
  <TotalTime>19</TotalTime>
  <ScaleCrop>false</ScaleCrop>
  <LinksUpToDate>false</LinksUpToDate>
  <CharactersWithSpaces>11896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2024-10-18T12:06:00Z</dcterms:created>
  <dc:creator>Administrator</dc:creator>
  <cp:lastModifiedBy>烈焰</cp:lastModifiedBy>
  <dcterms:modified xsi:type="dcterms:W3CDTF">2025-06-24T01:37:10Z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DC34ED9BCC574222AF46C975E7289373_13</vt:lpwstr>
  </property>
  <property fmtid="{D5CDD505-2E9C-101B-9397-08002B2CF9AE}" pid="4" name="KSOTemplateDocerSaveRecord">
    <vt:lpwstr>eyJoZGlkIjoiNGMwOGY0YjY4Yzg0OTQ4YTNkOGViNDI0MmJlNWU1ODIiLCJ1c2VySWQiOiIxMTIyNjM2NDExIn0=</vt:lpwstr>
  </property>
</Properties>
</file>