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2"/>
        <w:jc w:val="left"/>
        <w:rPr>
          <w:rFonts w:ascii="方正公文小标宋" w:eastAsia="方正公文小标宋"/>
          <w:b w:val="0"/>
          <w:sz w:val="84"/>
          <w:szCs w:val="84"/>
          <w:lang w:eastAsia="zh-CN"/>
        </w:rPr>
      </w:pPr>
    </w:p>
    <w:p w14:paraId="2AC89766">
      <w:pPr>
        <w:pStyle w:val="2"/>
        <w:jc w:val="left"/>
        <w:rPr>
          <w:rFonts w:ascii="方正公文小标宋" w:eastAsia="方正公文小标宋"/>
          <w:b w:val="0"/>
          <w:sz w:val="84"/>
          <w:szCs w:val="84"/>
          <w:lang w:eastAsia="zh-CN"/>
        </w:rPr>
      </w:pPr>
    </w:p>
    <w:p w14:paraId="7DD48A69">
      <w:pPr>
        <w:adjustRightInd/>
        <w:snapToGrid/>
        <w:spacing w:before="0" w:beforeLines="0" w:after="0" w:afterLines="0"/>
        <w:jc w:val="center"/>
        <w:rPr>
          <w:rFonts w:hint="eastAsia" w:ascii="Times New Roman" w:hAnsi="方正公文小标宋" w:eastAsia="方正公文小标宋"/>
          <w:b/>
          <w:bCs/>
          <w:snapToGrid/>
          <w:kern w:val="0"/>
          <w:sz w:val="84"/>
          <w:szCs w:val="84"/>
          <w:lang w:eastAsia="zh-CN"/>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eastAsia="zh-CN"/>
        </w:rPr>
        <w:t>凼底乡</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44"/>
          <w:szCs w:val="44"/>
          <w:lang w:val="en-US" w:eastAsia="en-US" w:bidi="ar-SA"/>
        </w:rPr>
        <w:id w:val="147452269"/>
        <w15:color w:val="DBDBDB"/>
        <w:docPartObj>
          <w:docPartGallery w:val="Table of Contents"/>
          <w:docPartUnique/>
        </w:docPartObj>
      </w:sdtPr>
      <w:sdtEndPr>
        <w:rPr>
          <w:rFonts w:ascii="Times New Roman" w:hAnsi="Times New Roman" w:eastAsia="方正小标宋_GBK" w:cs="Times New Roman"/>
          <w:b/>
          <w:bCs/>
          <w:snapToGrid w:val="0"/>
          <w:color w:val="auto"/>
          <w:spacing w:val="7"/>
          <w:kern w:val="0"/>
          <w:sz w:val="32"/>
          <w:szCs w:val="44"/>
          <w:lang w:val="en-US" w:eastAsia="zh-CN" w:bidi="ar-SA"/>
        </w:rPr>
      </w:sdtEndPr>
      <w:sdtContent>
        <w:p w14:paraId="1FD56672">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519530EB">
          <w:pPr>
            <w:pStyle w:val="7"/>
            <w:tabs>
              <w:tab w:val="right" w:leader="dot" w:pos="14001"/>
            </w:tabs>
            <w:rPr>
              <w:b/>
              <w:bCs/>
              <w:sz w:val="32"/>
              <w:szCs w:val="32"/>
            </w:rPr>
          </w:pPr>
          <w:r>
            <w:rPr>
              <w:rFonts w:ascii="Times New Roman" w:hAnsi="Times New Roman" w:eastAsia="方正小标宋_GBK" w:cs="Times New Roman"/>
              <w:b/>
              <w:bCs/>
              <w:color w:val="auto"/>
              <w:spacing w:val="7"/>
              <w:sz w:val="32"/>
              <w:szCs w:val="32"/>
              <w:lang w:eastAsia="zh-CN"/>
            </w:rPr>
            <w:fldChar w:fldCharType="begin"/>
          </w:r>
          <w:r>
            <w:rPr>
              <w:rFonts w:ascii="Times New Roman" w:hAnsi="Times New Roman" w:eastAsia="方正小标宋_GBK" w:cs="Times New Roman"/>
              <w:b/>
              <w:bCs/>
              <w:color w:val="auto"/>
              <w:spacing w:val="7"/>
              <w:sz w:val="32"/>
              <w:szCs w:val="32"/>
              <w:lang w:eastAsia="zh-CN"/>
            </w:rPr>
            <w:instrText xml:space="preserve">TOC \o "1-1" \h \u </w:instrText>
          </w:r>
          <w:r>
            <w:rPr>
              <w:rFonts w:ascii="Times New Roman" w:hAnsi="Times New Roman" w:eastAsia="方正小标宋_GBK" w:cs="Times New Roman"/>
              <w:b/>
              <w:bCs/>
              <w:color w:val="auto"/>
              <w:spacing w:val="7"/>
              <w:sz w:val="32"/>
              <w:szCs w:val="32"/>
              <w:lang w:eastAsia="zh-CN"/>
            </w:rPr>
            <w:fldChar w:fldCharType="separate"/>
          </w:r>
          <w:r>
            <w:rPr>
              <w:rFonts w:ascii="Times New Roman" w:hAnsi="Times New Roman" w:eastAsia="方正小标宋_GBK" w:cs="Times New Roman"/>
              <w:b/>
              <w:bCs/>
              <w:color w:val="auto"/>
              <w:spacing w:val="7"/>
              <w:sz w:val="32"/>
              <w:szCs w:val="32"/>
              <w:lang w:eastAsia="zh-CN"/>
            </w:rPr>
            <w:fldChar w:fldCharType="begin"/>
          </w:r>
          <w:r>
            <w:rPr>
              <w:rFonts w:ascii="Times New Roman" w:hAnsi="Times New Roman" w:eastAsia="方正小标宋_GBK" w:cs="Times New Roman"/>
              <w:b/>
              <w:bCs/>
              <w:spacing w:val="7"/>
              <w:sz w:val="32"/>
              <w:szCs w:val="32"/>
              <w:lang w:eastAsia="zh-CN"/>
            </w:rPr>
            <w:instrText xml:space="preserve"> HYPERLINK \l _Toc32136 </w:instrText>
          </w:r>
          <w:r>
            <w:rPr>
              <w:rFonts w:ascii="Times New Roman" w:hAnsi="Times New Roman" w:eastAsia="方正小标宋_GBK" w:cs="Times New Roman"/>
              <w:b/>
              <w:bCs/>
              <w:spacing w:val="7"/>
              <w:sz w:val="32"/>
              <w:szCs w:val="32"/>
              <w:lang w:eastAsia="zh-CN"/>
            </w:rPr>
            <w:fldChar w:fldCharType="separate"/>
          </w:r>
          <w:r>
            <w:rPr>
              <w:rFonts w:ascii="Times New Roman" w:hAnsi="Times New Roman" w:eastAsia="方正公文小标宋" w:cs="Times New Roman"/>
              <w:b/>
              <w:bCs/>
              <w:sz w:val="32"/>
              <w:szCs w:val="32"/>
              <w:lang w:eastAsia="zh-CN"/>
            </w:rPr>
            <w:t>基本</w:t>
          </w:r>
          <w:r>
            <w:rPr>
              <w:rFonts w:hint="eastAsia" w:ascii="Times New Roman" w:hAnsi="Times New Roman" w:eastAsia="方正公文小标宋" w:cs="Times New Roman"/>
              <w:b/>
              <w:bCs/>
              <w:sz w:val="32"/>
              <w:szCs w:val="32"/>
              <w:lang w:eastAsia="zh-CN"/>
            </w:rPr>
            <w:t>履职事项</w:t>
          </w:r>
          <w:r>
            <w:rPr>
              <w:rFonts w:ascii="Times New Roman" w:hAnsi="Times New Roman" w:eastAsia="方正公文小标宋" w:cs="Times New Roman"/>
              <w:b/>
              <w:bCs/>
              <w:sz w:val="32"/>
              <w:szCs w:val="32"/>
              <w:lang w:eastAsia="zh-CN"/>
            </w:rPr>
            <w:t>清单</w:t>
          </w:r>
          <w:r>
            <w:rPr>
              <w:b/>
              <w:bCs/>
              <w:sz w:val="32"/>
              <w:szCs w:val="32"/>
            </w:rPr>
            <w:tab/>
          </w:r>
          <w:r>
            <w:rPr>
              <w:b/>
              <w:bCs/>
              <w:sz w:val="32"/>
              <w:szCs w:val="32"/>
            </w:rPr>
            <w:fldChar w:fldCharType="begin"/>
          </w:r>
          <w:r>
            <w:rPr>
              <w:b/>
              <w:bCs/>
              <w:sz w:val="32"/>
              <w:szCs w:val="32"/>
            </w:rPr>
            <w:instrText xml:space="preserve"> PAGEREF _Toc32136 \h </w:instrText>
          </w:r>
          <w:r>
            <w:rPr>
              <w:b/>
              <w:bCs/>
              <w:sz w:val="32"/>
              <w:szCs w:val="32"/>
            </w:rPr>
            <w:fldChar w:fldCharType="separate"/>
          </w:r>
          <w:r>
            <w:rPr>
              <w:b/>
              <w:bCs/>
              <w:sz w:val="32"/>
              <w:szCs w:val="32"/>
            </w:rPr>
            <w:t>1</w:t>
          </w:r>
          <w:r>
            <w:rPr>
              <w:b/>
              <w:bCs/>
              <w:sz w:val="32"/>
              <w:szCs w:val="32"/>
            </w:rPr>
            <w:fldChar w:fldCharType="end"/>
          </w:r>
          <w:r>
            <w:rPr>
              <w:rFonts w:ascii="Times New Roman" w:hAnsi="Times New Roman" w:eastAsia="方正小标宋_GBK" w:cs="Times New Roman"/>
              <w:b/>
              <w:bCs/>
              <w:color w:val="auto"/>
              <w:spacing w:val="7"/>
              <w:sz w:val="32"/>
              <w:szCs w:val="32"/>
              <w:lang w:eastAsia="zh-CN"/>
            </w:rPr>
            <w:fldChar w:fldCharType="end"/>
          </w:r>
        </w:p>
        <w:p w14:paraId="2B403C51">
          <w:pPr>
            <w:pStyle w:val="7"/>
            <w:tabs>
              <w:tab w:val="right" w:leader="dot" w:pos="14001"/>
            </w:tabs>
            <w:rPr>
              <w:b/>
              <w:bCs/>
              <w:sz w:val="32"/>
              <w:szCs w:val="32"/>
            </w:rPr>
          </w:pPr>
          <w:r>
            <w:rPr>
              <w:rFonts w:ascii="Times New Roman" w:hAnsi="Times New Roman" w:eastAsia="方正小标宋_GBK" w:cs="Times New Roman"/>
              <w:b/>
              <w:bCs/>
              <w:color w:val="auto"/>
              <w:spacing w:val="7"/>
              <w:sz w:val="32"/>
              <w:szCs w:val="32"/>
              <w:lang w:eastAsia="zh-CN"/>
            </w:rPr>
            <w:fldChar w:fldCharType="begin"/>
          </w:r>
          <w:r>
            <w:rPr>
              <w:rFonts w:ascii="Times New Roman" w:hAnsi="Times New Roman" w:eastAsia="方正小标宋_GBK" w:cs="Times New Roman"/>
              <w:b/>
              <w:bCs/>
              <w:spacing w:val="7"/>
              <w:sz w:val="32"/>
              <w:szCs w:val="32"/>
              <w:lang w:eastAsia="zh-CN"/>
            </w:rPr>
            <w:instrText xml:space="preserve"> HYPERLINK \l _Toc15301 </w:instrText>
          </w:r>
          <w:r>
            <w:rPr>
              <w:rFonts w:ascii="Times New Roman" w:hAnsi="Times New Roman" w:eastAsia="方正小标宋_GBK" w:cs="Times New Roman"/>
              <w:b/>
              <w:bCs/>
              <w:spacing w:val="7"/>
              <w:sz w:val="32"/>
              <w:szCs w:val="32"/>
              <w:lang w:eastAsia="zh-CN"/>
            </w:rPr>
            <w:fldChar w:fldCharType="separate"/>
          </w:r>
          <w:r>
            <w:rPr>
              <w:rFonts w:ascii="Times New Roman" w:hAnsi="Times New Roman" w:eastAsia="方正公文小标宋" w:cs="Times New Roman"/>
              <w:b/>
              <w:bCs/>
              <w:sz w:val="32"/>
              <w:szCs w:val="32"/>
              <w:lang w:eastAsia="zh-CN"/>
            </w:rPr>
            <w:t>配合</w:t>
          </w:r>
          <w:r>
            <w:rPr>
              <w:rFonts w:hint="eastAsia" w:ascii="Times New Roman" w:hAnsi="Times New Roman" w:eastAsia="方正公文小标宋" w:cs="Times New Roman"/>
              <w:b/>
              <w:bCs/>
              <w:sz w:val="32"/>
              <w:szCs w:val="32"/>
              <w:lang w:eastAsia="zh-CN"/>
            </w:rPr>
            <w:t>履职事项</w:t>
          </w:r>
          <w:r>
            <w:rPr>
              <w:rFonts w:ascii="Times New Roman" w:hAnsi="Times New Roman" w:eastAsia="方正公文小标宋" w:cs="Times New Roman"/>
              <w:b/>
              <w:bCs/>
              <w:sz w:val="32"/>
              <w:szCs w:val="32"/>
              <w:lang w:eastAsia="zh-CN"/>
            </w:rPr>
            <w:t>清单</w:t>
          </w:r>
          <w:r>
            <w:rPr>
              <w:b/>
              <w:bCs/>
              <w:sz w:val="32"/>
              <w:szCs w:val="32"/>
            </w:rPr>
            <w:tab/>
          </w:r>
          <w:r>
            <w:rPr>
              <w:b/>
              <w:bCs/>
              <w:sz w:val="32"/>
              <w:szCs w:val="32"/>
            </w:rPr>
            <w:fldChar w:fldCharType="begin"/>
          </w:r>
          <w:r>
            <w:rPr>
              <w:b/>
              <w:bCs/>
              <w:sz w:val="32"/>
              <w:szCs w:val="32"/>
            </w:rPr>
            <w:instrText xml:space="preserve"> PAGEREF _Toc15301 \h </w:instrText>
          </w:r>
          <w:r>
            <w:rPr>
              <w:b/>
              <w:bCs/>
              <w:sz w:val="32"/>
              <w:szCs w:val="32"/>
            </w:rPr>
            <w:fldChar w:fldCharType="separate"/>
          </w:r>
          <w:r>
            <w:rPr>
              <w:b/>
              <w:bCs/>
              <w:sz w:val="32"/>
              <w:szCs w:val="32"/>
            </w:rPr>
            <w:t>11</w:t>
          </w:r>
          <w:r>
            <w:rPr>
              <w:b/>
              <w:bCs/>
              <w:sz w:val="32"/>
              <w:szCs w:val="32"/>
            </w:rPr>
            <w:fldChar w:fldCharType="end"/>
          </w:r>
          <w:r>
            <w:rPr>
              <w:rFonts w:ascii="Times New Roman" w:hAnsi="Times New Roman" w:eastAsia="方正小标宋_GBK" w:cs="Times New Roman"/>
              <w:b/>
              <w:bCs/>
              <w:color w:val="auto"/>
              <w:spacing w:val="7"/>
              <w:sz w:val="32"/>
              <w:szCs w:val="32"/>
              <w:lang w:eastAsia="zh-CN"/>
            </w:rPr>
            <w:fldChar w:fldCharType="end"/>
          </w:r>
        </w:p>
        <w:p w14:paraId="59A4D923">
          <w:pPr>
            <w:pStyle w:val="7"/>
            <w:tabs>
              <w:tab w:val="right" w:leader="dot" w:pos="14001"/>
            </w:tabs>
            <w:rPr>
              <w:b/>
              <w:bCs/>
              <w:sz w:val="32"/>
              <w:szCs w:val="32"/>
            </w:rPr>
          </w:pPr>
          <w:r>
            <w:rPr>
              <w:rFonts w:ascii="Times New Roman" w:hAnsi="Times New Roman" w:eastAsia="方正小标宋_GBK" w:cs="Times New Roman"/>
              <w:b/>
              <w:bCs/>
              <w:color w:val="auto"/>
              <w:spacing w:val="7"/>
              <w:sz w:val="32"/>
              <w:szCs w:val="32"/>
              <w:lang w:eastAsia="zh-CN"/>
            </w:rPr>
            <w:fldChar w:fldCharType="begin"/>
          </w:r>
          <w:r>
            <w:rPr>
              <w:rFonts w:ascii="Times New Roman" w:hAnsi="Times New Roman" w:eastAsia="方正小标宋_GBK" w:cs="Times New Roman"/>
              <w:b/>
              <w:bCs/>
              <w:spacing w:val="7"/>
              <w:sz w:val="32"/>
              <w:szCs w:val="32"/>
              <w:lang w:eastAsia="zh-CN"/>
            </w:rPr>
            <w:instrText xml:space="preserve"> HYPERLINK \l _Toc578 </w:instrText>
          </w:r>
          <w:r>
            <w:rPr>
              <w:rFonts w:ascii="Times New Roman" w:hAnsi="Times New Roman" w:eastAsia="方正小标宋_GBK" w:cs="Times New Roman"/>
              <w:b/>
              <w:bCs/>
              <w:spacing w:val="7"/>
              <w:sz w:val="32"/>
              <w:szCs w:val="32"/>
              <w:lang w:eastAsia="zh-CN"/>
            </w:rPr>
            <w:fldChar w:fldCharType="separate"/>
          </w:r>
          <w:r>
            <w:rPr>
              <w:rFonts w:hint="eastAsia" w:ascii="Times New Roman" w:hAnsi="Times New Roman" w:eastAsia="方正公文小标宋" w:cs="Times New Roman"/>
              <w:b/>
              <w:bCs/>
              <w:sz w:val="32"/>
              <w:szCs w:val="32"/>
              <w:lang w:eastAsia="zh-CN"/>
            </w:rPr>
            <w:t>上级部门收回事项清单</w:t>
          </w:r>
          <w:r>
            <w:rPr>
              <w:b/>
              <w:bCs/>
              <w:sz w:val="32"/>
              <w:szCs w:val="32"/>
            </w:rPr>
            <w:tab/>
          </w:r>
          <w:r>
            <w:rPr>
              <w:rFonts w:hint="eastAsia"/>
              <w:b/>
              <w:bCs/>
              <w:sz w:val="32"/>
              <w:szCs w:val="32"/>
              <w:lang w:val="en-US" w:eastAsia="zh-CN"/>
            </w:rPr>
            <w:t>5</w:t>
          </w:r>
          <w:r>
            <w:rPr>
              <w:rFonts w:ascii="Times New Roman" w:hAnsi="Times New Roman" w:eastAsia="方正小标宋_GBK" w:cs="Times New Roman"/>
              <w:b/>
              <w:bCs/>
              <w:color w:val="auto"/>
              <w:spacing w:val="7"/>
              <w:sz w:val="32"/>
              <w:szCs w:val="32"/>
              <w:lang w:eastAsia="zh-CN"/>
            </w:rPr>
            <w:fldChar w:fldCharType="end"/>
          </w:r>
          <w:r>
            <w:rPr>
              <w:rFonts w:hint="eastAsia" w:eastAsia="方正小标宋_GBK" w:cs="Times New Roman"/>
              <w:b/>
              <w:bCs/>
              <w:color w:val="auto"/>
              <w:spacing w:val="7"/>
              <w:sz w:val="32"/>
              <w:szCs w:val="32"/>
              <w:lang w:val="en-US" w:eastAsia="zh-CN"/>
            </w:rPr>
            <w:t>0</w:t>
          </w:r>
        </w:p>
        <w:p w14:paraId="35C8E9C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 w:val="32"/>
              <w:szCs w:val="32"/>
              <w:lang w:eastAsia="zh-CN"/>
            </w:rPr>
            <w:fldChar w:fldCharType="end"/>
          </w:r>
        </w:p>
      </w:sdtContent>
    </w:sdt>
    <w:p w14:paraId="704714DF">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62729A2">
      <w:pPr>
        <w:pStyle w:val="3"/>
        <w:spacing w:before="0" w:after="0" w:line="240" w:lineRule="auto"/>
        <w:jc w:val="center"/>
        <w:rPr>
          <w:rFonts w:ascii="Times New Roman" w:hAnsi="Times New Roman" w:eastAsia="方正公文小标宋" w:cs="Times New Roman"/>
          <w:b/>
          <w:bCs w:val="0"/>
          <w:color w:val="auto"/>
          <w:spacing w:val="7"/>
          <w:lang w:eastAsia="zh-CN"/>
        </w:rPr>
      </w:pPr>
      <w:bookmarkStart w:id="0" w:name="_Toc32136"/>
      <w:bookmarkStart w:id="1" w:name="_Toc172077551"/>
      <w:bookmarkStart w:id="2" w:name="_Toc172077949"/>
      <w:bookmarkStart w:id="3" w:name="_Toc172077416"/>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开展网络安全宣传教育工作，及时上报</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落实人民代表大会制度，组织召开</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加强商会组织建设，引导商会发挥经济服务、权益维护等作用，促进</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支持水稻、果蔬等农产品示范基地和本地农产品系列品牌建设。</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开展社会信用体系建设相关宣传、培训和信息上报工作。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人民调解委员会，统筹派出所、司法所等力量，开展人民调解工作。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1B7E97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D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培育建设凼底红皮萝卜种植、桴江村鹦鹉等特种鸟类养殖等产业基地，助力乡村产业振兴。</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C2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开展天然商品林、公益林补贴的数据收集、初审、公示、上报工作。</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1C08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D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负责零散烈士墓的巡查保护工作，组织开展烈士祭扫、红色教育等活动。</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负责设施农业用地备案申请审查、巡查监管、备案注销。</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w:t>
            </w:r>
            <w:r>
              <w:rPr>
                <w:rStyle w:val="16"/>
                <w:rFonts w:hint="eastAsia" w:ascii="Times New Roman" w:hAnsi="方正公文黑体" w:eastAsia="方正公文黑体"/>
                <w:color w:val="auto"/>
                <w:lang w:val="en-US" w:eastAsia="zh-CN" w:bidi="ar"/>
              </w:rPr>
              <w:t>1</w:t>
            </w:r>
            <w:r>
              <w:rPr>
                <w:rStyle w:val="16"/>
                <w:rFonts w:hint="eastAsia" w:ascii="Times New Roman" w:hAnsi="方正公文黑体" w:eastAsia="方正公文黑体"/>
                <w:color w:val="auto"/>
                <w:lang w:bidi="ar"/>
              </w:rPr>
              <w:t>项）</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发展乡村旅游，丰富旅游业态，做好游客服务相关工作，利用媒体平台开展文化旅游宣传，加强乡村旅游安全监督管理。</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w:t>
            </w:r>
          </w:p>
        </w:tc>
      </w:tr>
    </w:tbl>
    <w:p w14:paraId="6FBEAD1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5301"/>
      <w:bookmarkStart w:id="5" w:name="_Toc172077552"/>
      <w:bookmarkStart w:id="6" w:name="_Toc172077417"/>
      <w:bookmarkStart w:id="7" w:name="_Toc172077950"/>
      <w:r>
        <w:rPr>
          <w:rFonts w:ascii="Times New Roman" w:hAnsi="Times New Roman" w:eastAsia="方正公文小标宋" w:cs="Times New Roman"/>
          <w:b/>
          <w:bCs w:val="0"/>
          <w:lang w:eastAsia="zh-CN"/>
        </w:rPr>
        <w:t>配合</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535"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w:t>
            </w:r>
            <w:r>
              <w:rPr>
                <w:rFonts w:ascii="Times New Roman" w:hAnsi="Times New Roman" w:eastAsia="方正公文黑体"/>
                <w:color w:val="auto"/>
                <w:lang w:eastAsia="zh-CN" w:bidi="ar"/>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2.审核发放村（社区）干部基本报酬、养老保险补贴，组织村（社区）干部购买人身意外伤害保险、进行健康体检；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3.审定正常离任村干部生活补贴资格；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1.负责村（社区）干部基本报酬、离任村（社区）干部生活补贴、村级组织办公经费、服务群众专项经费、党建活动经费的日常监管；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3.统计上报已购买养老保险村（社区）党组织书记和村民委员会主任名单；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2.组织实施“五方面人员”比选的报名推荐、资格联审、公开比选、考察、体检等工作；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区委编办</w:t>
            </w:r>
          </w:p>
          <w:p w14:paraId="164BC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6.全程参与监督；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7.负责审核用编计划，办理入编手续；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2.组织开展谈话推荐、会议推荐、民主测评、集体研究等工作；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3.协助做好体检、人选考察、公示等工作；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1.做好选调生、挂职锻炼人员的日常管理和教育培养工作；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1.根据区委工作安排开展干部选拔任用及公务员职级晋升工作，成立干部考察组，组织推荐考察；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1.制定有关干部名册，组织干部参加谈话推荐、会议推荐、考察谈话等工作；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1.负责组织“农民大学生培养计划”“党建+高素质农民培养”的宣传、报名工作；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2.负责审定发放“光荣在党50年”纪念章人员名单</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1.负责区级及以上“两优一先”等表彰对象推荐；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2.摸底排查党龄50周年及以上的党员，按程序上报、申领、发放“光荣在党50年”纪念章；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0112B2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区人大机关</w:t>
            </w:r>
          </w:p>
          <w:p w14:paraId="7E406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1.负责组织开展区级及以上党代表、人大代表、政协委员的提名推荐及人选的资格审查、考察等工作；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2.负责全区党外人大代表、政协委员的推荐、考察等工作；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3.协助做好区级及以上人大代表的推荐，做好区级人大代表选举工作；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2.协助做好区级及以上“两代表一委员”考察工作；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2.协助做好驻村第一书记和工作队的日常管理、考勤、考核；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1.采取会议述职和书面述职相结合的方式进行述职；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1.依托区档案馆加强村（社区）干部党员的档案管理，保障档案日常管理经费；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1.整理村（社区）干部党员档案，审核合格后移交到区档案馆进行统一管理；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2.按程序查阅、借阅、转递档案。</w:t>
            </w:r>
          </w:p>
        </w:tc>
      </w:tr>
      <w:tr w14:paraId="6EC706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3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区委宣传部（牵头）</w:t>
            </w:r>
          </w:p>
          <w:p w14:paraId="40EB03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7D8FF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1.负责组织开展革命传统教育、爱国主义教育、思想道德教育等活动；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1.开展红色旅游线路、学习体验线路调研，并提出建议；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2.对红色旅游线路、学习体验线路进行宣传；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3.负责革命传统教育、爱国主义教育等活动的具体组织实施；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4.负责本土红色文化挖掘、宣传工作。</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1.组织实施巡察工作，落实巡察全覆盖任务；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2.统筹协调相关部门指导督促被巡察单位落实巡察反馈问题整改工作；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1.做好接受巡察监督的准备工作；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2.统筹协调对村（社区）巡察的相关工作；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1.加强水利基础设施、应急水源工程建设，保障干旱时的用水需求；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2.审批相关的抗旱救灾项目，并监督实施；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1.做好抗旱救灾的项目申报；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2.项目移交到</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后，做好日常管护。</w:t>
            </w:r>
          </w:p>
        </w:tc>
      </w:tr>
      <w:tr w14:paraId="72FD7289">
        <w:tblPrEx>
          <w:tblCellMar>
            <w:top w:w="0" w:type="dxa"/>
            <w:left w:w="108" w:type="dxa"/>
            <w:bottom w:w="0" w:type="dxa"/>
            <w:right w:w="108" w:type="dxa"/>
          </w:tblCellMar>
        </w:tblPrEx>
        <w:trPr>
          <w:cantSplit/>
          <w:trHeight w:val="225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F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1.每年组织核实种植面积和质量，指导制定种植计划；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2.根据标准发放示范片种粮补贴；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3.负责示范片种植技术指导；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4.负责示范片的测产、验收工作；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1.组织种植主体落实示范片种植面积；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2.开展种植大户主体培育；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3.采集统计粮食生产信息并上报；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4.核实种植面积到户台账；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5.配合开展技术推广与服务对接工作；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6.配合做好种植面积验收、复核工作。</w:t>
            </w:r>
          </w:p>
        </w:tc>
      </w:tr>
      <w:tr w14:paraId="53BECB65">
        <w:tblPrEx>
          <w:tblCellMar>
            <w:top w:w="0" w:type="dxa"/>
            <w:left w:w="108" w:type="dxa"/>
            <w:bottom w:w="0" w:type="dxa"/>
            <w:right w:w="108" w:type="dxa"/>
          </w:tblCellMar>
        </w:tblPrEx>
        <w:trPr>
          <w:cantSplit/>
          <w:trHeight w:val="33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1.研究提出农民专业合作社和家庭农场发展的政策措施，指导、扶持农民专业合作社和家庭农场的建设与发展；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2.负责新型农业经营主体评定、定期运行监测、动态调整；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3.负责审批农民专业合作社和家庭农场补贴；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2.开展好农业社会化服务项目上报、实施和验收工作；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3.指导农民专业合作社和家庭农场做好补贴申报工作；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4.组织相关经营主体参加培训。</w:t>
            </w:r>
          </w:p>
        </w:tc>
      </w:tr>
      <w:tr w14:paraId="1174FE27">
        <w:tblPrEx>
          <w:tblCellMar>
            <w:top w:w="0" w:type="dxa"/>
            <w:left w:w="108" w:type="dxa"/>
            <w:bottom w:w="0" w:type="dxa"/>
            <w:right w:w="108" w:type="dxa"/>
          </w:tblCellMar>
        </w:tblPrEx>
        <w:trPr>
          <w:cantSplit/>
          <w:trHeight w:val="199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1.申报符合条件的村（社区）名单；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3.指导村（社区）对已移交的项目进行维护和管理；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4.及时上报在建、已建高标准农田建设项目质量安全问题。</w:t>
            </w:r>
          </w:p>
        </w:tc>
      </w:tr>
      <w:tr w14:paraId="7AC34DC3">
        <w:tblPrEx>
          <w:tblCellMar>
            <w:top w:w="0" w:type="dxa"/>
            <w:left w:w="108" w:type="dxa"/>
            <w:bottom w:w="0" w:type="dxa"/>
            <w:right w:w="108" w:type="dxa"/>
          </w:tblCellMar>
        </w:tblPrEx>
        <w:trPr>
          <w:cantSplit/>
          <w:trHeight w:val="23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D0A1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2.负责监督和管理集中育秧设施建设项目的实施；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3.负责组织集中育秧设施建设验收，兑付补助资金；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1.做好集中育秧方面的政策宣传；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2.组织项目申报，收集项目申报资料；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3.建立集中育秧设施建设需求台账；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4.协调化解集中育秧设施建设的矛盾、纠纷；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6.组织指导育秧经营主体做好集中育秧服务。</w:t>
            </w:r>
          </w:p>
        </w:tc>
      </w:tr>
      <w:tr w14:paraId="67AC93E9">
        <w:tblPrEx>
          <w:tblCellMar>
            <w:top w:w="0" w:type="dxa"/>
            <w:left w:w="108" w:type="dxa"/>
            <w:bottom w:w="0" w:type="dxa"/>
            <w:right w:w="108" w:type="dxa"/>
          </w:tblCellMar>
        </w:tblPrEx>
        <w:trPr>
          <w:cantSplit/>
          <w:trHeight w:val="153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1.负责全区电子商务工作，制订电子商务发展规划；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2.负责全区电子商务服务体系建设，建立电子商务统计和评价体系；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1.协助企业做好农产品直播时的选品等工作；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9FB6B0C">
        <w:tblPrEx>
          <w:tblCellMar>
            <w:top w:w="0" w:type="dxa"/>
            <w:left w:w="108" w:type="dxa"/>
            <w:bottom w:w="0" w:type="dxa"/>
            <w:right w:w="108" w:type="dxa"/>
          </w:tblCellMar>
        </w:tblPrEx>
        <w:trPr>
          <w:cantSplit/>
          <w:trHeight w:val="36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610860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932C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2.负责办理适龄儿童、少年因身体状况需要延缓入学的手续；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3.对“五类”残疾儿童实施送教上门服务；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4.做好家庭经济困难学生的认定和排查工作，确保应助尽助；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303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1.负责推进全区殡葬改革，拟定殡葬改革规范性文件并组织实施；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3.负责全区殡葬领域移风易俗工作，积极推广和倡导宣传低碳文明祭扫、节地生态安葬、惠民殡葬政策的落实；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4.负责农村公益性公墓建设审批、建设工作；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1.开展文明丧葬宣传工作，对违反殡葬管理有关规定的行为进行劝阻并及时上报；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2.推动农村殡葬领域移风易俗，积极推广和倡导低碳文明祭扫；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3.负责农村公益性公墓申报、管理工作。</w:t>
            </w:r>
          </w:p>
        </w:tc>
      </w:tr>
      <w:tr w14:paraId="48555C5B">
        <w:tblPrEx>
          <w:tblCellMar>
            <w:top w:w="0" w:type="dxa"/>
            <w:left w:w="108" w:type="dxa"/>
            <w:bottom w:w="0" w:type="dxa"/>
            <w:right w:w="108" w:type="dxa"/>
          </w:tblCellMar>
        </w:tblPrEx>
        <w:trPr>
          <w:cantSplit/>
          <w:trHeight w:val="19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1.组织全区慈善相关活动，管理资金账户，审核慈善捐赠救助对象资格，进行捐赠救助；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1.开展慈善事业的宣传、发动；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2.促进社会力量参与慈善帮扶；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221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1.承担行政区划设立、命名、变更和政府驻地迁移的申报工作，做好全区行政区划信息管理工作；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2.开展行政区域界线勘定与管理，开展界线联检工作，调处行政区划争议；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1.做好行政区划调整的申报工作及区划信息调整后续工作；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2.对村（社区）及其街路巷等乡村地名的命名、更名方案进行审核并报区人民政府审批；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26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1.负责摸排、统计适老化改造对象名单，进行初审并上报；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2.配合有关机构开展老年人自理能力评估。</w:t>
            </w:r>
          </w:p>
        </w:tc>
      </w:tr>
      <w:tr w14:paraId="7B7CFC79">
        <w:tblPrEx>
          <w:tblCellMar>
            <w:top w:w="0" w:type="dxa"/>
            <w:left w:w="108" w:type="dxa"/>
            <w:bottom w:w="0" w:type="dxa"/>
            <w:right w:w="108" w:type="dxa"/>
          </w:tblCellMar>
        </w:tblPrEx>
        <w:trPr>
          <w:cantSplit/>
          <w:trHeight w:val="21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区民政局（牵头）</w:t>
            </w:r>
          </w:p>
          <w:p w14:paraId="3A8C4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1.负责城市生活无着落的流浪乞讨人员收容救助、送返安置工作，登记并留存个人信息，建立救助档案；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1.接收安置、帮扶本</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内流浪乞讨的遇困人员信息统计上报；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区水利局（牵头）</w:t>
            </w:r>
          </w:p>
          <w:p w14:paraId="396532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79CADB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3D061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1.指导农村饮水工程运行管理和供水服务，组织开展农村饮水安全工程从业人员的相关技术培训；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2.对突发性缺水的地方协调有关部门提供送水服务；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3.负责农村饮用水源地保护区或保护范围划定及方案拟定有关工作，对农村水源污染防治实施统一监督管理；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5.负责农村饮用水水质检测；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1.做好安全饮水、饮用水水源地保护宣传工作；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2.排查上报饮水困难问题，协调化解饮水工程建设和用水矛盾纠纷；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3.开展饮用水水源地保护巡查，发现问题及时制止并上报。</w:t>
            </w:r>
          </w:p>
        </w:tc>
      </w:tr>
      <w:tr w14:paraId="3E06E01F">
        <w:tblPrEx>
          <w:tblCellMar>
            <w:top w:w="0" w:type="dxa"/>
            <w:left w:w="108" w:type="dxa"/>
            <w:bottom w:w="0" w:type="dxa"/>
            <w:right w:w="108" w:type="dxa"/>
          </w:tblCellMar>
        </w:tblPrEx>
        <w:trPr>
          <w:cantSplit/>
          <w:trHeight w:val="31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2.完善移民后扶项目资产管理，建立项目资产台账，完善项目档案；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3.负责移民资金监督管理，组织对移民后扶资金使用情况进行监督检查；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1.做好移民后扶人口减员申报工作，开展后续扶持跟踪；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2.做好移民后扶项目申报、建设、验收、管理维护工作。</w:t>
            </w:r>
          </w:p>
        </w:tc>
      </w:tr>
      <w:tr w14:paraId="2BE96C71">
        <w:tblPrEx>
          <w:tblCellMar>
            <w:top w:w="0" w:type="dxa"/>
            <w:left w:w="108" w:type="dxa"/>
            <w:bottom w:w="0" w:type="dxa"/>
            <w:right w:w="108" w:type="dxa"/>
          </w:tblCellMar>
        </w:tblPrEx>
        <w:trPr>
          <w:cantSplit/>
          <w:trHeight w:val="24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1.开展面向残疾人的免费职业指导、职业介绍和职业培训；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2.开展残疾人就业宣传，鼓励用人单位按照适当的比例、工种、岗位安排残疾人就业；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3.审批残疾人创业扶持申请，对扶持对象进行入户评估；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731056C2">
        <w:tblPrEx>
          <w:tblCellMar>
            <w:top w:w="0" w:type="dxa"/>
            <w:left w:w="108" w:type="dxa"/>
            <w:bottom w:w="0" w:type="dxa"/>
            <w:right w:w="108" w:type="dxa"/>
          </w:tblCellMar>
        </w:tblPrEx>
        <w:trPr>
          <w:cantSplit/>
          <w:trHeight w:val="59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143792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5955B3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1.确保校车服务符合学生实际乘车需求；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2.督促学校落实校车安全管理责任并开展监督检查；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3.牵头实施校车使用许可审查，向区人民政府提出综合审查意见与建议；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5.参与校车服务提供者监管，督促校车服务提供者改进校车服务；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6.参与校车路线的勘察和审查，负责养护职责范围内校车沿线道路安全建设和警示牌设立；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7.负责加强对校车采购的指导，查处生产、销售不合格校车产品的违法行为，保障校车产品质量安全；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8.交通管理支队零陵大队负责查验校车，发放校车标牌，依法发放、注销、收回校车驾驶证；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1.向学校、校车方、学生、学生家长进行交通安全宣传教育；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2.配合区教育局对校车行驶路线、停靠点进行实地勘察；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280E2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2.负责肇事肇祸的精神病人的送诊工作；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3.负责基层医疗卫生机构的精神病防治政策宣传和业务指导；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4.教育指导监护人履行监护管理责任;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5.负责对有肇事肇祸风险人员进行危险性评估；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6.做好疑似患者的诊断复核和确诊登记在册的随访管理；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1.配合公安部门做好信息采集工作；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2.督促有肇事肇祸风险的精神障碍患者的监护人做好监护工作；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1BC61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1.负责协调推进，并做好中央财政资金扶持村级集体经济发展项目的审核上报、参与项目验收工作；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2.参与项目验收，拨付配套项目扶持资金，加强资金监管等；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1.制定本级工作方案，指导村（社区）做好财务监管工作；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1.负责统筹各职能部门做好易地扶贫搬迁后续扶持工作；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2.开展易地搬迁安置点基础设施和公共服务配套设施调研，拨付资金用于安置点设施维护、提质改造；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协助</w:t>
            </w:r>
            <w:r>
              <w:rPr>
                <w:rFonts w:hint="eastAsia" w:ascii="Times New Roman" w:hAnsi="方正公文仿宋" w:eastAsia="方正公文仿宋"/>
                <w:kern w:val="0"/>
                <w:szCs w:val="21"/>
                <w:lang w:bidi="ar"/>
              </w:rPr>
              <w:t>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1.负责对全区水利工程实施统一监督管理；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2.负责维护水利工程运行秩序，依法查处破坏水利工程的违法行为；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1.摸底水利工程项目建设情况，上报现有水利工程调查情况；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1.负责编制小型农田水利规划，制定年度实施方案，统筹安排项目，集中连片推进小型农田水利建设；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2.负责组织、指导、协调小型农田水利设施建设和维护管理，加强工程建设的指导和监督，引导、支持小型农田水利设施的维护管理；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3.负责组织落实落细管护工作、明确管护主体，建立区级管护工作台账及工程巡查制度；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4.加强监督检查，及时受理投诉，依法查处危害小型农田水利设施的行为；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1.负责申报小型农田水利设施项目；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2.协调解决跨村小型农田水利设施管护工作矛盾；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牵头）</w:t>
            </w:r>
          </w:p>
          <w:p w14:paraId="6303C3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07789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1.建立健全动物防疫信息管理系统和溯源体系，建立健全动物疫病强制免疫评估机制；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2.负责对动物、动物产品实施检疫；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3.承担动物疫病的监测、检测、诊断、流行病学调查、疫情报告以及其他预防、控制等技术工作，承担动物疫病净化、消灭的技术工作；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4.按照国务院农业农村主管部门的规定和动物疫病监测计划，对动物疫病的发生、流行等情况进行监测；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5.按照动物疫病净化、消灭规划、计划，开展动物疫病净化技术指导、培训，对动物疫病净化效果进行监测、评估；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6.对免疫的密度和质量进行评估，提出免疫效果评估报告。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1.负责动物防疫宣传、疫情排查、畜禽强制免疫的组织实施、疫情报告；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2.组织和督促饲养动物的单位和个人做好动物强制免疫，履行动物强制免疫义务；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1.组织开展农作物病虫害防治的宣传和教育；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2.负责农作物病虫害防治的监督管理；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3.负责农作物病虫害的防治技术指导工作，农药（械）科学安全使用及其他植保新技术试验推广等工作；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1.做好农作物病虫害防治宣传、动员、组织等工作；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2.协助做好农作物疫情和病虫害的检测调查及情况上报；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1.组织实施农产品质量安全监督管理工作，发布有关农产品质量安全状况信息；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2.开展农产品质量安全监管体系、检验检测体系和信用体系建设；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3.承担农产品质量安全标准、监测、追溯、风险评估等相关工作；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4.承担农业绿色发展有关工作；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5.组织实施符合安全标准的农产品认证和监督管理；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1.摸排清查各类农产品生产经营主体并建立名录；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2.负责各主体农产品质量安全的网格化监管巡查；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3.配合完成农产品质量安全监测任务；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1.负责开展优质种质推广、组织专项培训；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2.加强对农业技术人员的培养和服务；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1.承担宣传发动、收集上报信息、发放专业资料工作；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2.配合开展种植业、养殖业种质资源普查；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1.负责指导开展养殖场（户）标准化建设；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1.对养殖场（户）发放防控宣传资料；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2.指导养殖场（户）建立生产台账、粪污资源化利用、申报检疫等工作；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3.加强养殖场（户）的农产品质量安全、禁用违规兽药和添加剂等宣传教育；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4.对生猪养殖场（户）开展疑似非洲猪瘟等疫病的排查上报；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w:t>
            </w:r>
            <w:r>
              <w:rPr>
                <w:rFonts w:hint="eastAsia" w:ascii="Times New Roman" w:hAnsi="方正公文仿宋" w:eastAsia="方正公文仿宋"/>
                <w:kern w:val="0"/>
                <w:szCs w:val="21"/>
                <w:lang w:val="en-US" w:eastAsia="zh-CN" w:bidi="ar"/>
              </w:rPr>
              <w:t>成果</w:t>
            </w:r>
            <w:r>
              <w:rPr>
                <w:rFonts w:hint="eastAsia" w:ascii="Times New Roman" w:hAnsi="方正公文仿宋" w:eastAsia="方正公文仿宋"/>
                <w:kern w:val="0"/>
                <w:szCs w:val="21"/>
                <w:lang w:bidi="ar"/>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1.负责重点做好项目审核入库、验收等全过程跟踪指导工作；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3.指导完成资产确权登记工作；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4.督促衔接资金项目实施，并加强业务指导和监管；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5.对乡镇（街道）验收的衔接资金项目进行复核和抽查；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2.组织村（社区）实施项目，开展项目验收，配合资金拨付；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1.根据农户的申请，核实并做好改厕计划申报；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2.组织落实改厕工作；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3.对改厕进行监督管理；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1.负责组织实施空心房拆除；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1.拟定全区秸秆综合利用工作方案，统筹指导和监督管理全区秸秆综合利用工作;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2.负责以村（社区）为单位分区域、分时段有序错峰焚烧，并加强指导、巡查和管控；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1.负责指导综合文化阵地建设、活动开展、优秀传统文化传承；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2.负责加强公共文化体育设施建设；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3.指导乡镇（街道）开展文化体育活动，做好相关数据调查统计；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1.组织形式多样的公共文化体育服务活动；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2.整合公共文体服务资源，做好农家书屋管理与服务，开展全民阅读、全民艺术普及、全民健身、优秀传统文化传承等活动；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3.配合开展相关公共文体数据调查统计；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170627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0D3BE4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1.负责从事再生资源回收经营的备案；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2.负责制定和实施再生资源回收行业发展规划和其他具体措施；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3.负责组织资源综合利用等领域的建设项目申报；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4.负责将再生资源回收网点纳入国土空间规划，依法对违反城区规划管理有关法律法规的行为进行查处和清理整顿；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5.负责对建设再生资源回收站建筑施工安全的监督管理，对安全隐患和违法行为进行线索移交；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6.负责对再生资源回收站证照手续的监督管理，对安全隐患和违法行为进行查处；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7.负责对再生资源回收过程中环境污染的防治工作实施监督管理，依法对违反污染环境防治法律法规的行为进行处罚；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1.对开展再生资源回收活动的经营主体进行摸底调查；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val="en-US" w:eastAsia="zh-CN" w:bidi="ar"/>
              </w:rPr>
              <w:t>八</w:t>
            </w:r>
            <w:r>
              <w:rPr>
                <w:rStyle w:val="16"/>
                <w:rFonts w:hint="eastAsia" w:ascii="Times New Roman" w:hAnsi="方正公文黑体" w:eastAsia="方正公文黑体"/>
                <w:color w:val="auto"/>
                <w:lang w:bidi="ar"/>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1.负责有关政策法规宣传；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1.负责医疗救助政策制定及资金发放；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1.负责对医疗救助申请资料进行受理、初审；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val="en-US" w:eastAsia="zh-CN" w:bidi="ar"/>
              </w:rPr>
              <w:t>九</w:t>
            </w:r>
            <w:r>
              <w:rPr>
                <w:rStyle w:val="16"/>
                <w:rFonts w:hint="eastAsia" w:ascii="Times New Roman" w:hAnsi="方正公文黑体" w:eastAsia="方正公文黑体"/>
                <w:color w:val="auto"/>
                <w:lang w:bidi="ar"/>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1.统筹开展全区耕地占补平衡补充耕地工作，保持耕地总量不减少，质量不降低；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1.做好补充耕地项目的土地流转、项目监督、矛盾调处工作，配合做好项目立项、选址、验收工作；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376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5CB629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w:t>
            </w:r>
          </w:p>
          <w:p w14:paraId="394968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2C687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2.负责农村村民住宅用地农转用审批工作及中心城区以外的国有土地规划许可；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3.审核占用林地的新建、改（扩）建设施农业用地，按程序报上级审查审批；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1.负责汇总农村村民住宅建设用地情况，收集资料、初审和上报；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28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1.负责耕地遥感卫星、铁塔视频监测和“非农化”问题整治；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2.负责耕地恢复整改情况销号；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3.指导开展土地管理工作，并对违法情况进行立案查处；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4.对田长制责任单位责任落实情况进行监督检查；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1.组织村（社区）对恢复耕地的后期管护；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2.宣传普及防止耕地“非农化”相关知识，安装上级部门制作的管理耕地和永久基本农田公示牌及保护标志；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3.对农田设施进行巡查，对破坏、占用耕地、基本农田及其保护区标志等进行劝告、制止，并上报违法违规行为；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4.配合进行耕地恢复并举证上报。</w:t>
            </w:r>
          </w:p>
        </w:tc>
      </w:tr>
      <w:tr w14:paraId="08080750">
        <w:tblPrEx>
          <w:tblCellMar>
            <w:top w:w="0" w:type="dxa"/>
            <w:left w:w="108" w:type="dxa"/>
            <w:bottom w:w="0" w:type="dxa"/>
            <w:right w:w="108" w:type="dxa"/>
          </w:tblCellMar>
        </w:tblPrEx>
        <w:trPr>
          <w:cantSplit/>
          <w:trHeight w:val="34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2A39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1.负责已审批但改建扩建行为的处罚整改及处置，做好集体建设用地（增减挂钩）项目卫片图斑核查；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2.负责“非农化”违法卫片图斑下发和违法行为处置；负责卫片图斑问题的销号；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3.负责对农村乱占耕地建住宅私搭乱建违法行为的处罚、整改及处置；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1.对违法卫片图斑进行实地核查并上报情况；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1.负责核查土地权属性质；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2.组织统筹并审核自然资源权属争议的调处；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1.负责调处村民小组内发生的个人与个人之间土地（含林地）使用权争议。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2.负责调解</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32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1.负责耕地监测和组织牵头永久基本农田增量“非粮化”问题整治；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2.指导新增耕地后期质量提升和种植技术服务；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3.负责耕地恢复整改情况销号；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4.组织开展土地管理工作，并对违法情况进行立案处罚；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5.对田长制责任单位责任落实情况进行监督检查；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6.负责对已审批但未按要求建设的行为进行处理；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1.依法对耕地和永久基本农田开展巡查，及时发现、制止、整改和上报“非粮化”违法违规行为；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2.督促农户落实耕种措施，做好新增耕地后期管护；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3.督促违法主体落实整改措施。</w:t>
            </w:r>
          </w:p>
        </w:tc>
      </w:tr>
      <w:tr w14:paraId="0CC31AAA">
        <w:tblPrEx>
          <w:tblCellMar>
            <w:top w:w="0" w:type="dxa"/>
            <w:left w:w="108" w:type="dxa"/>
            <w:bottom w:w="0" w:type="dxa"/>
            <w:right w:w="108" w:type="dxa"/>
          </w:tblCellMar>
        </w:tblPrEx>
        <w:trPr>
          <w:cantSplit/>
          <w:trHeight w:val="201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1.组织专业人员对受损林木进行详细的调查，包括林木的地点、森林类别、树种、面积、蓄积、林木权属和受损类型（程度）等‌；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7025BE60">
        <w:tblPrEx>
          <w:tblCellMar>
            <w:top w:w="0" w:type="dxa"/>
            <w:left w:w="108" w:type="dxa"/>
            <w:bottom w:w="0" w:type="dxa"/>
            <w:right w:w="108" w:type="dxa"/>
          </w:tblCellMar>
        </w:tblPrEx>
        <w:trPr>
          <w:cantSplit/>
          <w:trHeight w:val="1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1.统筹乡镇污水管网以及污水收集、输送、处理相关设施的规划、建设、运行、维护和管理工作；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2.编制排水与污水处理专项规划；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3.开展乡镇污水管网工程的监督抽测，发现问题责令整改；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19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1.制定工作实施方案，建立部门协调和动态监测机制；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2.负责组织对申请危房改造农户房屋的鉴定和资格审查；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3.负责组织质量安全检查和技术指导；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4.负责组织开展竣工抽查和验收审核；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1.做好农村危房改造相关政策的宣传；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2.做好农村低收入群体住房信息摸底，危房改造对象上报、审核、公示及函告工作；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3.督促危房改造对象做好建房、拆除、改造等工作；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4.做好信息录入与档案整理；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5.做好改造过程中的定期巡查、质量安全监管、技术指导。</w:t>
            </w:r>
          </w:p>
        </w:tc>
      </w:tr>
      <w:tr w14:paraId="2955A8BE">
        <w:tblPrEx>
          <w:tblCellMar>
            <w:top w:w="0" w:type="dxa"/>
            <w:left w:w="108" w:type="dxa"/>
            <w:bottom w:w="0" w:type="dxa"/>
            <w:right w:w="108" w:type="dxa"/>
          </w:tblCellMar>
        </w:tblPrEx>
        <w:trPr>
          <w:cantSplit/>
          <w:trHeight w:val="53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ADBA1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310019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3.将鉴定结果数据录入系统，经鉴定为C、D级房屋且有垮塌风险的，组织采取应急处置措施；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5.对危房采取设置警示标志、设围挡等措施进行封闭。</w:t>
            </w:r>
          </w:p>
        </w:tc>
      </w:tr>
      <w:tr w14:paraId="215F6CB0">
        <w:tblPrEx>
          <w:tblCellMar>
            <w:top w:w="0" w:type="dxa"/>
            <w:left w:w="108" w:type="dxa"/>
            <w:bottom w:w="0" w:type="dxa"/>
            <w:right w:w="108" w:type="dxa"/>
          </w:tblCellMar>
        </w:tblPrEx>
        <w:trPr>
          <w:cantSplit/>
          <w:trHeight w:val="33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1.负责中国传统村落、传统建筑工匠认定，完善中国传统村落名录；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2.编制传统村落保护发展规划；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3.负责传统村落保护管理，对违法活动进行查处，对影响整体风貌的建设活动和规划区内新建、修缮和改造等建设活动进行监管；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1.摸排并上报传统村落名单；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2.做好传统村落和连片木结构村寨的安全隐患摸排。</w:t>
            </w:r>
          </w:p>
        </w:tc>
      </w:tr>
      <w:tr w14:paraId="5581782E">
        <w:tblPrEx>
          <w:tblCellMar>
            <w:top w:w="0" w:type="dxa"/>
            <w:left w:w="108" w:type="dxa"/>
            <w:bottom w:w="0" w:type="dxa"/>
            <w:right w:w="108" w:type="dxa"/>
          </w:tblCellMar>
        </w:tblPrEx>
        <w:trPr>
          <w:cantSplit/>
          <w:trHeight w:val="227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1.摸底上报农村建筑工匠培训意向人员；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一</w:t>
            </w:r>
            <w:r>
              <w:rPr>
                <w:rStyle w:val="16"/>
                <w:rFonts w:hint="eastAsia" w:ascii="Times New Roman" w:hAnsi="方正公文黑体" w:eastAsia="方正公文黑体"/>
                <w:color w:val="auto"/>
                <w:lang w:bidi="ar"/>
              </w:rPr>
              <w:t>、生态环保（</w:t>
            </w:r>
            <w:r>
              <w:rPr>
                <w:rStyle w:val="16"/>
                <w:rFonts w:hint="eastAsia" w:ascii="Times New Roman" w:hAnsi="方正公文黑体" w:eastAsia="方正公文黑体"/>
                <w:color w:val="auto"/>
                <w:lang w:val="en-US" w:eastAsia="zh-CN" w:bidi="ar"/>
              </w:rPr>
              <w:t>9</w:t>
            </w:r>
            <w:r>
              <w:rPr>
                <w:rStyle w:val="16"/>
                <w:rFonts w:hint="eastAsia" w:ascii="Times New Roman" w:hAnsi="方正公文黑体" w:eastAsia="方正公文黑体"/>
                <w:color w:val="auto"/>
                <w:lang w:bidi="ar"/>
              </w:rPr>
              <w:t>项）</w:t>
            </w:r>
          </w:p>
        </w:tc>
      </w:tr>
      <w:tr w14:paraId="0F36833E">
        <w:tblPrEx>
          <w:tblCellMar>
            <w:top w:w="0" w:type="dxa"/>
            <w:left w:w="108" w:type="dxa"/>
            <w:bottom w:w="0" w:type="dxa"/>
            <w:right w:w="108" w:type="dxa"/>
          </w:tblCellMar>
        </w:tblPrEx>
        <w:trPr>
          <w:cantSplit/>
          <w:trHeight w:val="292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A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0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湖南零陵潇水国家湿地公园管理局（牵头）</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3B66">
            <w:pPr>
              <w:widowControl/>
              <w:kinsoku/>
              <w:spacing w:before="0" w:beforeLines="0" w:after="0" w:afterLines="0"/>
              <w:jc w:val="left"/>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湖南零陵潇水国家湿地公园管理局：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1.负责湿地公园规划控制区的规划建设、保护管理和开发利用，制定湿地保护规章制度；进行湿地科研监测和建立湿地档案；</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2.开展湿地管理巡护和湿地科普教育；</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3.负责湿地旅游开发和湿地设施日常维护管理；</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4.统筹协调各部门之间、湿地公园与所在地群众之间的相互关系。</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5.负责指导和监督湿地公园保护管理工作，协助湿地公园管理局做好与上级业务主管部门的政策衔接，依法查处和打击破坏湿地公园资源的行政违法行为，加强对候鸟等野生动物的救助指导工作。</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6.负责依法对湿地公园内土地资源的使用进行监督管理，加强生态红线管控，禁止开矿和取土，依法保护湿地公园的产权资源；</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7.负责湿地公园范围内农业生产污染源的管理，防止造成湿地环境污染，引导和帮助农民发展高效生态农业；</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8.负责规范湿地区域垂钓，打击非法捕捞，保护鱼类等生物资源的生物多样性；</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9.负责湿地公园的渔业、渔政管理，对渔业资源及其生态环境进行监测与管理；</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市生态环境局零陵分局：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2F1D">
            <w:pPr>
              <w:widowControl/>
              <w:kinsoku/>
              <w:spacing w:before="0" w:beforeLines="0" w:after="0" w:afterLines="0"/>
              <w:jc w:val="left"/>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1.配合开展湿地公园保护的科普宣传；</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2.加强日常巡查，发现与湿地保护相关的排污行为及时上报；</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3.配合湿地公园管理局开展栖息地修复的矛盾调处。</w:t>
            </w:r>
          </w:p>
        </w:tc>
      </w:tr>
      <w:tr w14:paraId="7DCB4E2D">
        <w:tblPrEx>
          <w:tblCellMar>
            <w:top w:w="0" w:type="dxa"/>
            <w:left w:w="108" w:type="dxa"/>
            <w:bottom w:w="0" w:type="dxa"/>
            <w:right w:w="108" w:type="dxa"/>
          </w:tblCellMar>
        </w:tblPrEx>
        <w:trPr>
          <w:cantSplit/>
          <w:trHeight w:val="31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5F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区水利局（牵头）</w:t>
            </w:r>
          </w:p>
          <w:p w14:paraId="72758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1.负责监督检查河道管理范围内是否存在乱建乱采乱挖乱种等行为，并对发现的违法行为进行查处；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2.负责水利行业安全生产工作，对水利工程、水工建筑物的安全运行进行监督管理，确保河道及其设施的安全运行；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1.摸排上报占用河道违法私搭乱建房屋、种植养殖行为；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2.开展河道不定期巡查，发现违法违规行为及时劝阻并上报；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2.负责古树名木抢救复壮和破坏古树生存自然环境问题的查处；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1.开展古树名木和野生动植物保护知识宣传工作，加强法律法规宣传和科学普及工作；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2.配合开展古树名木、野生动植物实地核查、信息采集工作；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3.发现非法侵害、非法捕杀野生动物现象或因意外、疫情等导致野生动物受伤、死亡等情况及时上报；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区林业局（牵头）</w:t>
            </w:r>
          </w:p>
          <w:p w14:paraId="65237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1.负责核发林业采伐许可证，对涉嫌违法的采伐行为进行查处；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1.加强宣传，引导群众凭证采伐；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2.上报涉及林木采伐违法案件线索。</w:t>
            </w:r>
          </w:p>
        </w:tc>
      </w:tr>
      <w:tr w14:paraId="35B66B6B">
        <w:tblPrEx>
          <w:tblCellMar>
            <w:top w:w="0" w:type="dxa"/>
            <w:left w:w="108" w:type="dxa"/>
            <w:bottom w:w="0" w:type="dxa"/>
            <w:right w:w="108" w:type="dxa"/>
          </w:tblCellMar>
        </w:tblPrEx>
        <w:trPr>
          <w:cantSplit/>
          <w:trHeight w:val="13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1.建立土壤污染防治工作机制；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2.负责对建设单位在河流新建、改建、扩建排污口进行审核监管；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牵头）</w:t>
            </w:r>
          </w:p>
          <w:p w14:paraId="57CD4F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1.开展声环境功能区划定和评估、建设项目噪声污染防治分析、预测和评估，负责声环境质量监测，做好工业企业噪声污染防治；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3.负责交通运输工具运行过程产生的噪声污染防治（城市道路除外）</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1.加强噪音污染防治宣传教育；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1.负责畜禽养殖污染防治的统一监督管理，确保各项防治措施得到有效执行；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2.负责畜禽养殖废弃物综合利用的指导和服务，推动废弃物的资源化利用和无害化处理；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1.开展畜禽养殖污染防治宣传，提倡绿色养殖；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236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1.负责统筹农村黑臭水体排查和整治工作，制定实施黑臭水体整治计划、实施方案并开展治理；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1.开展黑臭水体治理宣传，提高居民环保意识和参与度；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二</w:t>
            </w:r>
            <w:r>
              <w:rPr>
                <w:rStyle w:val="16"/>
                <w:rFonts w:hint="eastAsia" w:ascii="Times New Roman" w:hAnsi="方正公文黑体" w:eastAsia="方正公文黑体"/>
                <w:color w:val="auto"/>
                <w:lang w:bidi="ar"/>
              </w:rPr>
              <w:t>、交通运输（3项）</w:t>
            </w:r>
          </w:p>
        </w:tc>
      </w:tr>
      <w:tr w14:paraId="15E0890E">
        <w:tblPrEx>
          <w:tblCellMar>
            <w:top w:w="0" w:type="dxa"/>
            <w:left w:w="108" w:type="dxa"/>
            <w:bottom w:w="0" w:type="dxa"/>
            <w:right w:w="108" w:type="dxa"/>
          </w:tblCellMar>
        </w:tblPrEx>
        <w:trPr>
          <w:cantSplit/>
          <w:trHeight w:val="21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1.负责争取改造计划和资金，制定农村公路建设规划，做好县道、乡道的设计、建设、管理工作和村道的路面建设工程；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2.监督和指导改造工程；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1.配合开展县道、乡道建设前期准备工作，做好征地拆迁及矛盾纠纷化解；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31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2.对本行政区域内乡村道路日常养护工作进行技术指导和资金支持；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3.对公路养护资金使用情况进行监管，并对完成情况进行验收；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1.做好乡村道路砍青、清障、修缮工作；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2.做好道路两旁违章建筑巡查摸排，发现线索及时上报。</w:t>
            </w:r>
          </w:p>
        </w:tc>
      </w:tr>
      <w:tr w14:paraId="5E8ED572">
        <w:tblPrEx>
          <w:tblCellMar>
            <w:top w:w="0" w:type="dxa"/>
            <w:left w:w="108" w:type="dxa"/>
            <w:bottom w:w="0" w:type="dxa"/>
            <w:right w:w="108" w:type="dxa"/>
          </w:tblCellMar>
        </w:tblPrEx>
        <w:trPr>
          <w:cantSplit/>
          <w:trHeight w:val="531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牵头）</w:t>
            </w:r>
          </w:p>
          <w:p w14:paraId="65C8DB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096A7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1.负责道路交通事故防控及处置、交通安全宣传、交通违法行为的劝导和秩序维护；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2.对道路交通违法犯罪行为进行处理；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3.负责对道路两旁的私搭乱建及未经许可在道路施工影响交通的行为线索移交；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4.负责开展交通运输领域安全生产隐患排查调查治理工作；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1.加强本辖区道路交通安全工作的统筹协调；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2.做好交通安全宣传、协助做好秩序维护；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3.对道路交通安全进行隐患摸排与上报；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4.协助交通事故处理；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、文化和旅游（1项）</w:t>
            </w:r>
          </w:p>
        </w:tc>
      </w:tr>
      <w:tr w14:paraId="1A462076">
        <w:tblPrEx>
          <w:tblCellMar>
            <w:top w:w="0" w:type="dxa"/>
            <w:left w:w="108" w:type="dxa"/>
            <w:bottom w:w="0" w:type="dxa"/>
            <w:right w:w="108" w:type="dxa"/>
          </w:tblCellMar>
        </w:tblPrEx>
        <w:trPr>
          <w:cantSplit/>
          <w:trHeight w:val="24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1.负责指导对非遗资源进行挖掘、保护与传承；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1.申报各级非遗项目和非遗传承人；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、卫生健康（4项）</w:t>
            </w:r>
          </w:p>
        </w:tc>
      </w:tr>
      <w:tr w14:paraId="4DD20EBB">
        <w:tblPrEx>
          <w:tblCellMar>
            <w:top w:w="0" w:type="dxa"/>
            <w:left w:w="108" w:type="dxa"/>
            <w:bottom w:w="0" w:type="dxa"/>
            <w:right w:w="108" w:type="dxa"/>
          </w:tblCellMar>
        </w:tblPrEx>
        <w:trPr>
          <w:cantSplit/>
          <w:trHeight w:val="31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1.指导乡镇（街道）开展生育及奖补政策宣传；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2.对各项奖补资格上报情况进行审核确认，对符合条件的对象发放相关奖补资金；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3.协同区计生协会制定计生家庭、特扶家庭的节日走访、慰问计划；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1.做好各项生育及奖补政策宣传；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2.对计划生育家庭奖励、优待、扶助等对象资格进行初审和上报；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4.开展计生家庭、特扶家庭的节日走访、慰问。</w:t>
            </w:r>
          </w:p>
        </w:tc>
      </w:tr>
      <w:tr w14:paraId="52537061">
        <w:tblPrEx>
          <w:tblCellMar>
            <w:top w:w="0" w:type="dxa"/>
            <w:left w:w="108" w:type="dxa"/>
            <w:bottom w:w="0" w:type="dxa"/>
            <w:right w:w="108" w:type="dxa"/>
          </w:tblCellMar>
        </w:tblPrEx>
        <w:trPr>
          <w:cantSplit/>
          <w:trHeight w:val="347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1.负责职责范围内的职业卫生、放射卫生等公共卫生的监督管理；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2.组织实施全区职业卫生、放射卫生相关政策、标准；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3.开展重点职业病监测、专项调查、职业健康风险评估和职业人群健康管理工作；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4.组织协调职业病防治工作，统一领导、指挥职业卫生突发事件应对工作；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5.负责用人单位职业卫生和职业病防治违法行为查处、案件调查处理；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1.开展职业病危害摸底调查工作；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2.开展职业健康相关法律法规及防治知识的宣传普及工作；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3.督促用人单位落实职业卫生和职业病防治相关措施和要求。</w:t>
            </w:r>
          </w:p>
        </w:tc>
      </w:tr>
      <w:tr w14:paraId="0A95960A">
        <w:tblPrEx>
          <w:tblCellMar>
            <w:top w:w="0" w:type="dxa"/>
            <w:left w:w="108" w:type="dxa"/>
            <w:bottom w:w="0" w:type="dxa"/>
            <w:right w:w="108" w:type="dxa"/>
          </w:tblCellMar>
        </w:tblPrEx>
        <w:trPr>
          <w:cantSplit/>
          <w:trHeight w:val="110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1.开展全区范围内传染病防控知识宣传；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96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1.宣传突发公共卫生事件相关知识；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2.负责突发公共卫生事件信息收集和上报；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、应急管理及消防（8项）</w:t>
            </w:r>
          </w:p>
        </w:tc>
      </w:tr>
      <w:tr w14:paraId="5D137266">
        <w:tblPrEx>
          <w:tblCellMar>
            <w:top w:w="0" w:type="dxa"/>
            <w:left w:w="108" w:type="dxa"/>
            <w:bottom w:w="0" w:type="dxa"/>
            <w:right w:w="108" w:type="dxa"/>
          </w:tblCellMar>
        </w:tblPrEx>
        <w:trPr>
          <w:cantSplit/>
          <w:trHeight w:val="203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1.制定完善本区农村沼气安全工作方案和农村沼气安全生产应急预案；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2.负责农村沼气设施安全隐患整治，推进废弃沼气设施安全处置；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1.宣传农村沼气安全使用相关知识；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2.开展农村沼气安全隐患排查和上报工作；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3.配合推进废弃沼气设施安全处置工作。</w:t>
            </w:r>
          </w:p>
        </w:tc>
      </w:tr>
      <w:tr w14:paraId="3894B4C2">
        <w:tblPrEx>
          <w:tblCellMar>
            <w:top w:w="0" w:type="dxa"/>
            <w:left w:w="108" w:type="dxa"/>
            <w:bottom w:w="0" w:type="dxa"/>
            <w:right w:w="108" w:type="dxa"/>
          </w:tblCellMar>
        </w:tblPrEx>
        <w:trPr>
          <w:cantSplit/>
          <w:trHeight w:val="62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7FCD19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BF93F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7FDB64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20EA19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共青团区委</w:t>
            </w:r>
          </w:p>
          <w:p w14:paraId="1A6302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7F1BF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共青团区委、区妇联、区红十字会：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6AF43B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2B704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1C3F3C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34FAB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2.负责统筹协调抢险救援力量，组织救灾行动，调配应急物资，开展灾情统计与上报工作；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防治地质灾害抢险救援力量，组织开展演练，做好人防、物防、技防等准备工作；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w:t>
            </w:r>
          </w:p>
          <w:p w14:paraId="611370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672EBF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1.负责组织协调和指导全区森林防灭火工作；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2.负责制定区级森林火灾应急预案，组织开展应急演练；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3.发生森林火情时，按应急预案组织各方面力量开展扑救和处置工作；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4.负责协调、指导森林防火宣传工作；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5.制定森林防火系统及生物防火林带项目建设计划，实施项目建设并组织验收，指导乡镇设置森林防火卡点；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6.负责组织开展森林防火巡查工作；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7.负责森林火险等级评定，发布和解除禁火令；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8.负责发布气象预警，负责开展必要时的人工降雨工作；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9.负责对引发森林火灾涉案人员进行处置；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1.组织开展森林防灭火宣传，普及森林防灭火相关法律法规和森林防灭火安全知识；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2E24CC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41652C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4E891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63B696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1CDD8B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1.负责统筹防汛应急工作，协调救援力量，调配物资，组织抢险救灾，统计上报汛情灾情；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2.组建防汛抢险救援力量，组织开展日常演练，做好人防、物防、技防等准备工作；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DE2BE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4A6A13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D6457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1BFFED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E1E7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3.负责做好全区范围内建筑施工领域的防风、防冻、防滑和防高空坠落，必要时按程序果断停工停产；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6.负责防洪的组织、协调、监督、指导等日常工作；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7.负责做好低温雨雪天气的交通指挥调度，全力保障交通畅通，及时组织处置交通事故，确保道路畅通；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4C432AF">
        <w:tblPrEx>
          <w:tblCellMar>
            <w:top w:w="0" w:type="dxa"/>
            <w:left w:w="108" w:type="dxa"/>
            <w:bottom w:w="0" w:type="dxa"/>
            <w:right w:w="108" w:type="dxa"/>
          </w:tblCellMar>
        </w:tblPrEx>
        <w:trPr>
          <w:cantSplit/>
          <w:trHeight w:val="464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60FC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3.指导乡镇（街道）救援队伍建设；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、市场监管（2项）</w:t>
            </w:r>
          </w:p>
        </w:tc>
      </w:tr>
      <w:tr w14:paraId="4C702E33">
        <w:tblPrEx>
          <w:tblCellMar>
            <w:top w:w="0" w:type="dxa"/>
            <w:left w:w="108" w:type="dxa"/>
            <w:bottom w:w="0" w:type="dxa"/>
            <w:right w:w="108" w:type="dxa"/>
          </w:tblCellMar>
        </w:tblPrEx>
        <w:trPr>
          <w:cantSplit/>
          <w:trHeight w:val="296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w:t>
            </w:r>
            <w:r>
              <w:rPr>
                <w:rFonts w:hint="eastAsia" w:ascii="Times New Roman" w:hAnsi="方正公文仿宋" w:eastAsia="方正公文仿宋"/>
                <w:kern w:val="0"/>
                <w:szCs w:val="21"/>
                <w:lang w:eastAsia="zh-CN" w:bidi="ar"/>
              </w:rPr>
              <w:t>的</w:t>
            </w:r>
            <w:r>
              <w:rPr>
                <w:rFonts w:hint="eastAsia" w:ascii="Times New Roman" w:hAnsi="方正公文仿宋" w:eastAsia="方正公文仿宋"/>
                <w:kern w:val="0"/>
                <w:szCs w:val="21"/>
                <w:lang w:bidi="ar"/>
              </w:rPr>
              <w:t>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5.负责对农村集体聚餐食品安全工作进行指导；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4.负责落实食品安全“两个责任”包保，对C级包保企业的现场督导；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58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74DAFE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326A8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696C64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260CC4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04E14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2.负责国有市场红线范围内市场整治工作，促进各方协作配合，引导市场规范运营，提升整体运营水平；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3.负责对农贸市场活禽宰杀进行监管；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4.对农贸市场开展病媒生物预防控制工作进行监督管理和技术指导，依法查处有关违法行为；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5.会同有关部门对农贸市场遵守安全生产等法律、法规情况进行监督检查，依法查处有关违法行为；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7.负责对市场周边治安秩序、道路停车进行监管；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1.对辖区内农贸市场进行巡查，发现安全生产隐患和违法行为及时上报；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、人民武装（1项）</w:t>
            </w:r>
          </w:p>
        </w:tc>
      </w:tr>
      <w:tr w14:paraId="19E3C68B">
        <w:tblPrEx>
          <w:tblCellMar>
            <w:top w:w="0" w:type="dxa"/>
            <w:left w:w="108" w:type="dxa"/>
            <w:bottom w:w="0" w:type="dxa"/>
            <w:right w:w="108" w:type="dxa"/>
          </w:tblCellMar>
        </w:tblPrEx>
        <w:trPr>
          <w:cantSplit/>
          <w:trHeight w:val="2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区人武部（牵头）</w:t>
            </w:r>
          </w:p>
          <w:p w14:paraId="6BF26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11BEE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1.牵头做好体检、政治审查工作；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2.做好定兵、送兵等工作；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3.负责提供入伍青年学历信息；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2.初步确定预定征集对象人员名单；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3.组织预定征集对象参加体检；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八</w:t>
            </w:r>
            <w:r>
              <w:rPr>
                <w:rStyle w:val="16"/>
                <w:rFonts w:hint="eastAsia" w:ascii="Times New Roman" w:hAnsi="方正公文黑体" w:eastAsia="方正公文黑体"/>
                <w:color w:val="auto"/>
                <w:lang w:bidi="ar"/>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2.向被审计单位提出审计报告；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1.接受上级审计，提供审计所需资料；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2.落实审计反馈问题整改，并将整改资料及时报送审计机关；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3.执行审计决定，并将执行情况报审计机关。</w:t>
            </w:r>
          </w:p>
        </w:tc>
      </w:tr>
    </w:tbl>
    <w:p w14:paraId="6B0BAEE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578"/>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A7363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C76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4064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2280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4D58B5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029ED5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CB3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68E4B148">
      <w:pPr>
        <w:pStyle w:val="3"/>
        <w:spacing w:before="0" w:after="0" w:line="240" w:lineRule="auto"/>
        <w:jc w:val="center"/>
        <w:rPr>
          <w:rFonts w:ascii="Times New Roman" w:hAnsi="Times New Roman" w:eastAsia="方正小标宋_GBK" w:cs="Times New Roman"/>
          <w:color w:val="auto"/>
          <w:spacing w:val="7"/>
          <w:lang w:eastAsia="zh-CN"/>
        </w:rPr>
      </w:pPr>
    </w:p>
    <w:p w14:paraId="22C3C2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5"/>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F175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5F1758">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D7C62">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4D7C62">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C44E0D"/>
    <w:rsid w:val="04D37628"/>
    <w:rsid w:val="05526700"/>
    <w:rsid w:val="05A14F91"/>
    <w:rsid w:val="0C530777"/>
    <w:rsid w:val="0DE46363"/>
    <w:rsid w:val="10C5247C"/>
    <w:rsid w:val="1324792E"/>
    <w:rsid w:val="140A04E0"/>
    <w:rsid w:val="1773243D"/>
    <w:rsid w:val="1D7258F4"/>
    <w:rsid w:val="1F8C0ACF"/>
    <w:rsid w:val="1FD47C00"/>
    <w:rsid w:val="246102B6"/>
    <w:rsid w:val="26025181"/>
    <w:rsid w:val="2D2C0784"/>
    <w:rsid w:val="2EA973DE"/>
    <w:rsid w:val="300852DE"/>
    <w:rsid w:val="3162469E"/>
    <w:rsid w:val="343A3203"/>
    <w:rsid w:val="34D24F7D"/>
    <w:rsid w:val="37FF56DE"/>
    <w:rsid w:val="3BAF0C04"/>
    <w:rsid w:val="3DC61E48"/>
    <w:rsid w:val="40AB3370"/>
    <w:rsid w:val="43480528"/>
    <w:rsid w:val="43C24B51"/>
    <w:rsid w:val="46082348"/>
    <w:rsid w:val="461A0599"/>
    <w:rsid w:val="4635683C"/>
    <w:rsid w:val="48804C69"/>
    <w:rsid w:val="4A296BD1"/>
    <w:rsid w:val="4B292749"/>
    <w:rsid w:val="4BE16B44"/>
    <w:rsid w:val="4DF43395"/>
    <w:rsid w:val="52567EB5"/>
    <w:rsid w:val="557F255F"/>
    <w:rsid w:val="63A27AA9"/>
    <w:rsid w:val="663C37BC"/>
    <w:rsid w:val="68EB0D11"/>
    <w:rsid w:val="6A7021A8"/>
    <w:rsid w:val="70036041"/>
    <w:rsid w:val="71043C71"/>
    <w:rsid w:val="724E5999"/>
    <w:rsid w:val="77521AFC"/>
    <w:rsid w:val="78C67D6F"/>
    <w:rsid w:val="7BC3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75</Words>
  <Characters>78</Characters>
  <Lines>1</Lines>
  <Paragraphs>1</Paragraphs>
  <TotalTime>0</TotalTime>
  <ScaleCrop>false</ScaleCrop>
  <LinksUpToDate>false</LinksUpToDate>
  <CharactersWithSpaces>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2025-07-16T02:18:19Z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C7F4E9ABF94543A5977DEAE9FD89D666_12</vt:lpwstr>
  </property>
</Properties>
</file>