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8E7DE2">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ind w:left="0" w:right="0" w:firstLine="0"/>
        <w:jc w:val="center"/>
        <w:rPr>
          <w:rFonts w:hint="eastAsia" w:ascii="宋体" w:hAnsi="宋体" w:eastAsia="宋体" w:cs="宋体"/>
          <w:b/>
          <w:bCs/>
          <w:spacing w:val="-6"/>
          <w:sz w:val="44"/>
          <w:szCs w:val="44"/>
          <w:lang w:val="en-US" w:eastAsia="zh-CN"/>
        </w:rPr>
      </w:pPr>
      <w:r>
        <w:rPr>
          <w:rFonts w:hint="eastAsia" w:ascii="宋体" w:hAnsi="宋体" w:eastAsia="宋体" w:cs="宋体"/>
          <w:b/>
          <w:bCs/>
          <w:spacing w:val="-6"/>
          <w:sz w:val="44"/>
          <w:szCs w:val="44"/>
          <w:lang w:val="en-US" w:eastAsia="zh-CN"/>
        </w:rPr>
        <w:t>关于公布《</w:t>
      </w:r>
      <w:r>
        <w:rPr>
          <w:rFonts w:hint="eastAsia" w:ascii="宋体" w:hAnsi="宋体" w:eastAsia="宋体" w:cs="宋体"/>
          <w:b/>
          <w:bCs/>
          <w:spacing w:val="-6"/>
          <w:sz w:val="44"/>
          <w:szCs w:val="44"/>
          <w:lang w:eastAsia="zh-CN"/>
        </w:rPr>
        <w:t>永州市零陵区发展和改革局</w:t>
      </w:r>
      <w:r>
        <w:rPr>
          <w:rFonts w:hint="eastAsia" w:ascii="宋体" w:hAnsi="宋体" w:eastAsia="宋体" w:cs="宋体"/>
          <w:b/>
          <w:bCs/>
          <w:spacing w:val="-6"/>
          <w:sz w:val="44"/>
          <w:szCs w:val="44"/>
          <w:lang w:eastAsia="zh-CN"/>
        </w:rPr>
        <w:t>行政执法事项目录</w:t>
      </w:r>
      <w:r>
        <w:rPr>
          <w:rFonts w:hint="eastAsia" w:ascii="宋体" w:hAnsi="宋体" w:eastAsia="宋体" w:cs="宋体"/>
          <w:b/>
          <w:bCs/>
          <w:spacing w:val="-6"/>
          <w:sz w:val="44"/>
          <w:szCs w:val="44"/>
          <w:lang w:val="en-US" w:eastAsia="zh-CN"/>
        </w:rPr>
        <w:t>》的通知</w:t>
      </w:r>
    </w:p>
    <w:p w14:paraId="7B6DCA1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center"/>
        <w:textAlignment w:val="auto"/>
        <w:rPr>
          <w:rFonts w:hint="eastAsia" w:ascii="宋体" w:hAnsi="宋体" w:eastAsia="宋体" w:cs="宋体"/>
          <w:b/>
          <w:bCs/>
          <w:spacing w:val="-6"/>
          <w:sz w:val="44"/>
          <w:szCs w:val="44"/>
          <w:lang w:val="en-US" w:eastAsia="zh-CN"/>
        </w:rPr>
      </w:pPr>
    </w:p>
    <w:p w14:paraId="75593FC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u w:val="none"/>
        </w:rPr>
      </w:pPr>
      <w:r>
        <w:rPr>
          <w:rFonts w:ascii="仿宋" w:hAnsi="仿宋" w:eastAsia="仿宋" w:cs="仿宋"/>
          <w:i w:val="0"/>
          <w:iCs w:val="0"/>
          <w:caps w:val="0"/>
          <w:color w:val="535353"/>
          <w:spacing w:val="0"/>
          <w:kern w:val="0"/>
          <w:sz w:val="32"/>
          <w:szCs w:val="32"/>
          <w:u w:val="none"/>
          <w:bdr w:val="none" w:color="auto" w:sz="0" w:space="0"/>
          <w:shd w:val="clear" w:fill="FFFFFF"/>
          <w:lang w:val="en-US" w:eastAsia="zh-CN" w:bidi="ar"/>
        </w:rPr>
        <w:t>局属各单位、机关各股室：</w:t>
      </w:r>
    </w:p>
    <w:p w14:paraId="3BB69A7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640"/>
        <w:jc w:val="left"/>
        <w:rPr>
          <w:rFonts w:hint="eastAsia" w:ascii="仿宋" w:hAnsi="仿宋" w:eastAsia="仿宋" w:cs="仿宋"/>
          <w:i w:val="0"/>
          <w:iCs w:val="0"/>
          <w:caps w:val="0"/>
          <w:color w:val="535353"/>
          <w:spacing w:val="0"/>
          <w:kern w:val="0"/>
          <w:sz w:val="32"/>
          <w:szCs w:val="32"/>
          <w:u w:val="none"/>
          <w:shd w:val="clear" w:fill="FFFFFF"/>
          <w:lang w:val="en-US" w:eastAsia="zh-CN" w:bidi="ar"/>
        </w:rPr>
      </w:pPr>
      <w:r>
        <w:rPr>
          <w:rFonts w:hint="eastAsia" w:ascii="仿宋" w:hAnsi="仿宋" w:eastAsia="仿宋" w:cs="仿宋"/>
          <w:i w:val="0"/>
          <w:iCs w:val="0"/>
          <w:caps w:val="0"/>
          <w:color w:val="535353"/>
          <w:spacing w:val="0"/>
          <w:kern w:val="0"/>
          <w:sz w:val="32"/>
          <w:szCs w:val="32"/>
          <w:u w:val="none"/>
          <w:shd w:val="clear" w:fill="FFFFFF"/>
          <w:lang w:val="en-US" w:eastAsia="zh-CN" w:bidi="ar"/>
        </w:rPr>
        <w:t>按照区司法局《关于进一步做好全区“三个清单”动态调整和涉企行政检查事项清单制定修订公示的工作提示》要求，结合我局工作实际，修改了《永州市零陵区发展和改革局行政执法事项目录》，现予</w:t>
      </w:r>
      <w:r>
        <w:rPr>
          <w:rFonts w:hint="eastAsia" w:ascii="仿宋" w:hAnsi="仿宋" w:eastAsia="仿宋" w:cs="仿宋"/>
          <w:i w:val="0"/>
          <w:iCs w:val="0"/>
          <w:caps w:val="0"/>
          <w:color w:val="535353"/>
          <w:spacing w:val="0"/>
          <w:kern w:val="0"/>
          <w:sz w:val="32"/>
          <w:szCs w:val="32"/>
          <w:u w:val="none"/>
          <w:shd w:val="clear" w:fill="FFFFFF"/>
          <w:lang w:val="en-US" w:eastAsia="zh-CN" w:bidi="ar"/>
        </w:rPr>
        <w:t>以公布，请认真抓好贯彻落实。</w:t>
      </w:r>
    </w:p>
    <w:p w14:paraId="53291A8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640"/>
        <w:jc w:val="left"/>
        <w:rPr>
          <w:rFonts w:hint="eastAsia" w:ascii="仿宋" w:hAnsi="仿宋" w:eastAsia="仿宋" w:cs="仿宋"/>
          <w:i w:val="0"/>
          <w:iCs w:val="0"/>
          <w:caps w:val="0"/>
          <w:color w:val="535353"/>
          <w:spacing w:val="0"/>
          <w:kern w:val="0"/>
          <w:sz w:val="32"/>
          <w:szCs w:val="32"/>
          <w:u w:val="none"/>
          <w:shd w:val="clear" w:fill="FFFFFF"/>
          <w:lang w:val="en-US" w:eastAsia="zh-CN" w:bidi="ar"/>
        </w:rPr>
      </w:pPr>
    </w:p>
    <w:p w14:paraId="6727E57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640"/>
        <w:jc w:val="left"/>
        <w:rPr>
          <w:rFonts w:hint="eastAsia" w:ascii="仿宋" w:hAnsi="仿宋" w:eastAsia="仿宋" w:cs="仿宋"/>
          <w:i w:val="0"/>
          <w:iCs w:val="0"/>
          <w:caps w:val="0"/>
          <w:color w:val="535353"/>
          <w:spacing w:val="0"/>
          <w:kern w:val="0"/>
          <w:sz w:val="32"/>
          <w:szCs w:val="32"/>
          <w:u w:val="none"/>
          <w:shd w:val="clear" w:fill="FFFFFF"/>
          <w:lang w:val="en-US" w:eastAsia="zh-CN" w:bidi="ar"/>
        </w:rPr>
      </w:pPr>
      <w:r>
        <w:rPr>
          <w:rFonts w:hint="eastAsia" w:ascii="仿宋" w:hAnsi="仿宋" w:eastAsia="仿宋" w:cs="仿宋"/>
          <w:i w:val="0"/>
          <w:iCs w:val="0"/>
          <w:caps w:val="0"/>
          <w:color w:val="535353"/>
          <w:spacing w:val="0"/>
          <w:kern w:val="0"/>
          <w:sz w:val="32"/>
          <w:szCs w:val="32"/>
          <w:u w:val="none"/>
          <w:shd w:val="clear" w:fill="FFFFFF"/>
          <w:lang w:val="en-US" w:eastAsia="zh-CN" w:bidi="ar"/>
        </w:rPr>
        <w:t>附件：永州市零陵区发展和改革局行政执法事项目录</w:t>
      </w:r>
    </w:p>
    <w:p w14:paraId="460B288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rFonts w:hint="eastAsia" w:ascii="仿宋" w:hAnsi="仿宋" w:eastAsia="仿宋" w:cs="仿宋"/>
          <w:i w:val="0"/>
          <w:iCs w:val="0"/>
          <w:caps w:val="0"/>
          <w:color w:val="535353"/>
          <w:spacing w:val="0"/>
          <w:kern w:val="0"/>
          <w:sz w:val="32"/>
          <w:szCs w:val="32"/>
          <w:u w:val="none"/>
          <w:bdr w:val="none" w:color="auto" w:sz="0" w:space="0"/>
          <w:shd w:val="clear" w:fill="FFFFFF"/>
          <w:lang w:val="en-US" w:eastAsia="zh-CN" w:bidi="ar"/>
        </w:rPr>
      </w:pPr>
      <w:r>
        <w:rPr>
          <w:rFonts w:hint="eastAsia" w:ascii="仿宋" w:hAnsi="仿宋" w:eastAsia="仿宋" w:cs="仿宋"/>
          <w:i w:val="0"/>
          <w:iCs w:val="0"/>
          <w:caps w:val="0"/>
          <w:color w:val="535353"/>
          <w:spacing w:val="0"/>
          <w:kern w:val="0"/>
          <w:sz w:val="32"/>
          <w:szCs w:val="32"/>
          <w:u w:val="none"/>
          <w:bdr w:val="none" w:color="auto" w:sz="0" w:space="0"/>
          <w:shd w:val="clear" w:fill="FFFFFF"/>
          <w:lang w:val="en-US" w:eastAsia="zh-CN" w:bidi="ar"/>
        </w:rPr>
        <w:t> </w:t>
      </w:r>
      <w:bookmarkStart w:id="7" w:name="_GoBack"/>
      <w:bookmarkEnd w:id="7"/>
    </w:p>
    <w:p w14:paraId="3032FDA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5193" w:firstLineChars="1623"/>
        <w:jc w:val="left"/>
        <w:rPr>
          <w:rFonts w:hint="eastAsia" w:eastAsia="仿宋"/>
          <w:u w:val="none"/>
          <w:lang w:val="en-US" w:eastAsia="zh-CN"/>
        </w:rPr>
      </w:pPr>
      <w:r>
        <w:rPr>
          <w:rFonts w:hint="eastAsia" w:ascii="仿宋" w:hAnsi="仿宋" w:eastAsia="仿宋" w:cs="仿宋"/>
          <w:i w:val="0"/>
          <w:iCs w:val="0"/>
          <w:caps w:val="0"/>
          <w:color w:val="535353"/>
          <w:spacing w:val="0"/>
          <w:kern w:val="0"/>
          <w:sz w:val="32"/>
          <w:szCs w:val="32"/>
          <w:u w:val="none"/>
          <w:bdr w:val="none" w:color="auto" w:sz="0" w:space="0"/>
          <w:shd w:val="clear" w:fill="FFFFFF"/>
          <w:lang w:val="en-US" w:eastAsia="zh-CN" w:bidi="ar"/>
        </w:rPr>
        <w:t>永州市零陵区发展和改革局</w:t>
      </w:r>
    </w:p>
    <w:p w14:paraId="07E3815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right="0" w:firstLine="6080" w:firstLineChars="1900"/>
        <w:jc w:val="left"/>
        <w:rPr>
          <w:u w:val="none"/>
        </w:rPr>
      </w:pPr>
      <w:r>
        <w:rPr>
          <w:rFonts w:hint="eastAsia" w:ascii="仿宋" w:hAnsi="仿宋" w:eastAsia="仿宋" w:cs="仿宋"/>
          <w:i w:val="0"/>
          <w:iCs w:val="0"/>
          <w:caps w:val="0"/>
          <w:color w:val="535353"/>
          <w:spacing w:val="0"/>
          <w:kern w:val="0"/>
          <w:sz w:val="32"/>
          <w:szCs w:val="32"/>
          <w:u w:val="none"/>
          <w:bdr w:val="none" w:color="auto" w:sz="0" w:space="0"/>
          <w:shd w:val="clear" w:fill="FFFFFF"/>
          <w:lang w:val="en-US" w:eastAsia="zh-CN" w:bidi="ar"/>
        </w:rPr>
        <w:t>2025年4月25日</w:t>
      </w:r>
    </w:p>
    <w:p w14:paraId="6AC0CE97">
      <w:pPr>
        <w:keepNext w:val="0"/>
        <w:keepLines w:val="0"/>
        <w:pageBreakBefore w:val="0"/>
        <w:widowControl w:val="0"/>
        <w:kinsoku/>
        <w:wordWrap/>
        <w:overflowPunct/>
        <w:topLinePunct w:val="0"/>
        <w:autoSpaceDE/>
        <w:autoSpaceDN/>
        <w:bidi w:val="0"/>
        <w:adjustRightInd/>
        <w:snapToGrid/>
        <w:spacing w:line="500" w:lineRule="exact"/>
        <w:ind w:left="3412" w:leftChars="0" w:hanging="3412" w:hangingChars="794"/>
        <w:jc w:val="center"/>
        <w:textAlignment w:val="auto"/>
        <w:rPr>
          <w:rFonts w:hint="eastAsia" w:ascii="宋体" w:hAnsi="宋体" w:eastAsia="宋体" w:cs="宋体"/>
          <w:b/>
          <w:bCs/>
          <w:spacing w:val="-6"/>
          <w:sz w:val="44"/>
          <w:szCs w:val="44"/>
          <w:lang w:eastAsia="zh-CN"/>
        </w:rPr>
      </w:pPr>
    </w:p>
    <w:p w14:paraId="18812A25">
      <w:pPr>
        <w:keepNext w:val="0"/>
        <w:keepLines w:val="0"/>
        <w:pageBreakBefore w:val="0"/>
        <w:widowControl w:val="0"/>
        <w:kinsoku/>
        <w:wordWrap/>
        <w:overflowPunct/>
        <w:topLinePunct w:val="0"/>
        <w:autoSpaceDE/>
        <w:autoSpaceDN/>
        <w:bidi w:val="0"/>
        <w:adjustRightInd/>
        <w:snapToGrid/>
        <w:spacing w:line="500" w:lineRule="exact"/>
        <w:ind w:left="3412" w:leftChars="0" w:hanging="3412" w:hangingChars="794"/>
        <w:jc w:val="center"/>
        <w:textAlignment w:val="auto"/>
        <w:rPr>
          <w:rFonts w:hint="eastAsia" w:ascii="宋体" w:hAnsi="宋体" w:eastAsia="宋体" w:cs="宋体"/>
          <w:b/>
          <w:bCs/>
          <w:spacing w:val="-6"/>
          <w:sz w:val="44"/>
          <w:szCs w:val="44"/>
          <w:lang w:eastAsia="zh-CN"/>
        </w:rPr>
      </w:pPr>
    </w:p>
    <w:p w14:paraId="701933D7">
      <w:pPr>
        <w:keepNext w:val="0"/>
        <w:keepLines w:val="0"/>
        <w:pageBreakBefore w:val="0"/>
        <w:widowControl w:val="0"/>
        <w:kinsoku/>
        <w:wordWrap/>
        <w:overflowPunct/>
        <w:topLinePunct w:val="0"/>
        <w:autoSpaceDE/>
        <w:autoSpaceDN/>
        <w:bidi w:val="0"/>
        <w:adjustRightInd/>
        <w:snapToGrid/>
        <w:spacing w:line="500" w:lineRule="exact"/>
        <w:ind w:left="3412" w:leftChars="0" w:hanging="3412" w:hangingChars="794"/>
        <w:jc w:val="center"/>
        <w:textAlignment w:val="auto"/>
        <w:rPr>
          <w:rFonts w:hint="eastAsia" w:ascii="宋体" w:hAnsi="宋体" w:eastAsia="宋体" w:cs="宋体"/>
          <w:b/>
          <w:bCs/>
          <w:spacing w:val="-6"/>
          <w:sz w:val="44"/>
          <w:szCs w:val="44"/>
          <w:lang w:eastAsia="zh-CN"/>
        </w:rPr>
      </w:pPr>
    </w:p>
    <w:p w14:paraId="50EDBEE8">
      <w:pPr>
        <w:keepNext w:val="0"/>
        <w:keepLines w:val="0"/>
        <w:pageBreakBefore w:val="0"/>
        <w:widowControl w:val="0"/>
        <w:kinsoku/>
        <w:wordWrap/>
        <w:overflowPunct/>
        <w:topLinePunct w:val="0"/>
        <w:autoSpaceDE/>
        <w:autoSpaceDN/>
        <w:bidi w:val="0"/>
        <w:adjustRightInd/>
        <w:snapToGrid/>
        <w:spacing w:line="500" w:lineRule="exact"/>
        <w:ind w:left="3412" w:leftChars="0" w:hanging="3412" w:hangingChars="794"/>
        <w:jc w:val="center"/>
        <w:textAlignment w:val="auto"/>
        <w:rPr>
          <w:rFonts w:hint="eastAsia" w:ascii="宋体" w:hAnsi="宋体" w:eastAsia="宋体" w:cs="宋体"/>
          <w:b/>
          <w:bCs/>
          <w:spacing w:val="-6"/>
          <w:sz w:val="44"/>
          <w:szCs w:val="44"/>
          <w:lang w:eastAsia="zh-CN"/>
        </w:rPr>
      </w:pPr>
    </w:p>
    <w:p w14:paraId="44F6676B">
      <w:pPr>
        <w:keepNext w:val="0"/>
        <w:keepLines w:val="0"/>
        <w:pageBreakBefore w:val="0"/>
        <w:widowControl w:val="0"/>
        <w:kinsoku/>
        <w:wordWrap/>
        <w:overflowPunct/>
        <w:topLinePunct w:val="0"/>
        <w:autoSpaceDE/>
        <w:autoSpaceDN/>
        <w:bidi w:val="0"/>
        <w:adjustRightInd/>
        <w:snapToGrid/>
        <w:spacing w:line="500" w:lineRule="exact"/>
        <w:ind w:left="3412" w:leftChars="0" w:hanging="3412" w:hangingChars="794"/>
        <w:jc w:val="center"/>
        <w:textAlignment w:val="auto"/>
        <w:rPr>
          <w:rFonts w:hint="eastAsia" w:ascii="宋体" w:hAnsi="宋体" w:eastAsia="宋体" w:cs="宋体"/>
          <w:b/>
          <w:bCs/>
          <w:spacing w:val="-6"/>
          <w:sz w:val="44"/>
          <w:szCs w:val="44"/>
          <w:lang w:eastAsia="zh-CN"/>
        </w:rPr>
      </w:pPr>
    </w:p>
    <w:p w14:paraId="10FE090D">
      <w:pPr>
        <w:keepNext w:val="0"/>
        <w:keepLines w:val="0"/>
        <w:pageBreakBefore w:val="0"/>
        <w:widowControl w:val="0"/>
        <w:kinsoku/>
        <w:wordWrap/>
        <w:overflowPunct/>
        <w:topLinePunct w:val="0"/>
        <w:autoSpaceDE/>
        <w:autoSpaceDN/>
        <w:bidi w:val="0"/>
        <w:adjustRightInd/>
        <w:snapToGrid/>
        <w:spacing w:line="500" w:lineRule="exact"/>
        <w:ind w:left="3412" w:leftChars="0" w:hanging="3412" w:hangingChars="794"/>
        <w:jc w:val="center"/>
        <w:textAlignment w:val="auto"/>
        <w:rPr>
          <w:rFonts w:hint="eastAsia" w:ascii="宋体" w:hAnsi="宋体" w:eastAsia="宋体" w:cs="宋体"/>
          <w:b/>
          <w:bCs/>
          <w:spacing w:val="-6"/>
          <w:sz w:val="44"/>
          <w:szCs w:val="44"/>
          <w:lang w:eastAsia="zh-CN"/>
        </w:rPr>
        <w:sectPr>
          <w:footerReference r:id="rId3" w:type="default"/>
          <w:pgSz w:w="11906" w:h="16838"/>
          <w:pgMar w:top="1134" w:right="1134" w:bottom="1134" w:left="1134" w:header="851" w:footer="992" w:gutter="0"/>
          <w:cols w:space="425" w:num="1"/>
          <w:docGrid w:type="lines" w:linePitch="312" w:charSpace="0"/>
        </w:sectPr>
      </w:pPr>
    </w:p>
    <w:p w14:paraId="67124487">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ascii="宋体" w:hAnsi="宋体" w:eastAsia="宋体" w:cs="宋体"/>
          <w:sz w:val="44"/>
          <w:szCs w:val="44"/>
        </w:rPr>
      </w:pPr>
      <w:r>
        <w:rPr>
          <w:rFonts w:hint="eastAsia" w:ascii="宋体" w:hAnsi="宋体" w:eastAsia="宋体" w:cs="宋体"/>
          <w:b/>
          <w:bCs/>
          <w:spacing w:val="-6"/>
          <w:sz w:val="44"/>
          <w:szCs w:val="44"/>
          <w:lang w:eastAsia="zh-CN"/>
        </w:rPr>
        <w:t>永州市零陵区发展和改革局</w:t>
      </w:r>
      <w:r>
        <w:rPr>
          <w:rFonts w:ascii="宋体" w:hAnsi="宋体" w:eastAsia="宋体" w:cs="宋体"/>
          <w:b/>
          <w:bCs/>
          <w:spacing w:val="-6"/>
          <w:sz w:val="44"/>
          <w:szCs w:val="44"/>
        </w:rPr>
        <w:t>行政执法事项目录</w:t>
      </w:r>
    </w:p>
    <w:tbl>
      <w:tblPr>
        <w:tblStyle w:val="4"/>
        <w:tblpPr w:leftFromText="180" w:rightFromText="180" w:vertAnchor="text" w:horzAnchor="page" w:tblpX="1158" w:tblpY="222"/>
        <w:tblOverlap w:val="never"/>
        <w:tblW w:w="152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autofit"/>
        <w:tblCellMar>
          <w:top w:w="0" w:type="dxa"/>
          <w:left w:w="0" w:type="dxa"/>
          <w:bottom w:w="0" w:type="dxa"/>
          <w:right w:w="0" w:type="dxa"/>
        </w:tblCellMar>
      </w:tblPr>
      <w:tblGrid>
        <w:gridCol w:w="745"/>
        <w:gridCol w:w="1334"/>
        <w:gridCol w:w="1085"/>
        <w:gridCol w:w="1179"/>
        <w:gridCol w:w="1444"/>
        <w:gridCol w:w="8616"/>
        <w:gridCol w:w="817"/>
      </w:tblGrid>
      <w:tr w14:paraId="462594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646" w:hRule="atLeast"/>
          <w:tblHeader/>
        </w:trPr>
        <w:tc>
          <w:tcPr>
            <w:tcW w:w="745" w:type="dxa"/>
            <w:shd w:val="clear" w:color="auto" w:fill="FFFFFF"/>
            <w:tcMar>
              <w:left w:w="108" w:type="dxa"/>
              <w:right w:w="108" w:type="dxa"/>
            </w:tcMar>
            <w:textDirection w:val="tbRlV"/>
            <w:vAlign w:val="center"/>
          </w:tcPr>
          <w:p w14:paraId="102D4A7A">
            <w:pPr>
              <w:pStyle w:val="7"/>
              <w:keepNext w:val="0"/>
              <w:keepLines w:val="0"/>
              <w:pageBreakBefore w:val="0"/>
              <w:widowControl/>
              <w:kinsoku w:val="0"/>
              <w:wordWrap/>
              <w:overflowPunct/>
              <w:topLinePunct w:val="0"/>
              <w:autoSpaceDE w:val="0"/>
              <w:autoSpaceDN w:val="0"/>
              <w:bidi w:val="0"/>
              <w:adjustRightInd w:val="0"/>
              <w:snapToGrid w:val="0"/>
              <w:spacing w:line="260" w:lineRule="exact"/>
              <w:ind w:left="272"/>
              <w:jc w:val="center"/>
              <w:textAlignment w:val="baseline"/>
              <w:rPr>
                <w:rFonts w:hint="default" w:ascii="仿宋_GB2312" w:hAnsi="仿宋_GB2312" w:eastAsia="仿宋_GB2312" w:cs="仿宋_GB2312"/>
                <w:b w:val="0"/>
                <w:bCs w:val="0"/>
                <w:snapToGrid w:val="0"/>
                <w:color w:val="000000"/>
                <w:kern w:val="0"/>
                <w:sz w:val="21"/>
                <w:szCs w:val="21"/>
                <w:lang w:val="en-US" w:eastAsia="zh-CN"/>
              </w:rPr>
            </w:pPr>
            <w:r>
              <w:rPr>
                <w:rFonts w:hint="eastAsia" w:ascii="仿宋_GB2312" w:hAnsi="仿宋_GB2312" w:eastAsia="仿宋_GB2312" w:cs="仿宋_GB2312"/>
                <w:b w:val="0"/>
                <w:bCs w:val="0"/>
                <w:snapToGrid w:val="0"/>
                <w:color w:val="000000"/>
                <w:kern w:val="0"/>
                <w:sz w:val="21"/>
                <w:szCs w:val="21"/>
                <w:lang w:val="en-US" w:eastAsia="zh-CN"/>
              </w:rPr>
              <w:t>号</w:t>
            </w:r>
          </w:p>
          <w:p w14:paraId="4CDB8929">
            <w:pPr>
              <w:pStyle w:val="7"/>
              <w:keepNext w:val="0"/>
              <w:keepLines w:val="0"/>
              <w:pageBreakBefore w:val="0"/>
              <w:widowControl/>
              <w:kinsoku w:val="0"/>
              <w:wordWrap/>
              <w:overflowPunct/>
              <w:topLinePunct w:val="0"/>
              <w:autoSpaceDE w:val="0"/>
              <w:autoSpaceDN w:val="0"/>
              <w:bidi w:val="0"/>
              <w:adjustRightInd w:val="0"/>
              <w:snapToGrid w:val="0"/>
              <w:spacing w:line="260" w:lineRule="exact"/>
              <w:ind w:left="272"/>
              <w:jc w:val="center"/>
              <w:textAlignment w:val="baseline"/>
              <w:rPr>
                <w:rFonts w:hint="default" w:ascii="仿宋_GB2312" w:hAnsi="仿宋_GB2312" w:eastAsia="仿宋_GB2312" w:cs="仿宋_GB2312"/>
                <w:b w:val="0"/>
                <w:bCs w:val="0"/>
                <w:snapToGrid w:val="0"/>
                <w:color w:val="000000"/>
                <w:kern w:val="0"/>
                <w:sz w:val="21"/>
                <w:szCs w:val="21"/>
                <w:lang w:val="en-US" w:eastAsia="zh-CN"/>
              </w:rPr>
            </w:pPr>
            <w:r>
              <w:rPr>
                <w:rFonts w:hint="eastAsia" w:ascii="仿宋_GB2312" w:hAnsi="仿宋_GB2312" w:eastAsia="仿宋_GB2312" w:cs="仿宋_GB2312"/>
                <w:b w:val="0"/>
                <w:bCs w:val="0"/>
                <w:snapToGrid w:val="0"/>
                <w:color w:val="000000"/>
                <w:kern w:val="0"/>
                <w:sz w:val="21"/>
                <w:szCs w:val="21"/>
                <w:lang w:val="en-US" w:eastAsia="zh-CN"/>
              </w:rPr>
              <w:t>序</w:t>
            </w:r>
          </w:p>
          <w:p w14:paraId="10F3475C">
            <w:pPr>
              <w:pStyle w:val="7"/>
              <w:keepNext w:val="0"/>
              <w:keepLines w:val="0"/>
              <w:pageBreakBefore w:val="0"/>
              <w:widowControl/>
              <w:kinsoku w:val="0"/>
              <w:wordWrap/>
              <w:overflowPunct/>
              <w:topLinePunct w:val="0"/>
              <w:autoSpaceDE w:val="0"/>
              <w:autoSpaceDN w:val="0"/>
              <w:bidi w:val="0"/>
              <w:adjustRightInd w:val="0"/>
              <w:snapToGrid w:val="0"/>
              <w:spacing w:line="260" w:lineRule="exact"/>
              <w:ind w:left="272"/>
              <w:jc w:val="center"/>
              <w:textAlignment w:val="baseline"/>
              <w:rPr>
                <w:rFonts w:hint="eastAsia" w:ascii="仿宋_GB2312" w:hAnsi="仿宋_GB2312" w:eastAsia="仿宋_GB2312" w:cs="仿宋_GB2312"/>
                <w:b w:val="0"/>
                <w:bCs w:val="0"/>
                <w:snapToGrid w:val="0"/>
                <w:color w:val="000000"/>
                <w:kern w:val="0"/>
                <w:sz w:val="21"/>
                <w:szCs w:val="21"/>
                <w:lang w:val="en-US" w:eastAsia="zh-CN"/>
              </w:rPr>
            </w:pPr>
          </w:p>
        </w:tc>
        <w:tc>
          <w:tcPr>
            <w:tcW w:w="1334" w:type="dxa"/>
            <w:shd w:val="clear" w:color="auto" w:fill="FFFFFF"/>
            <w:tcMar>
              <w:left w:w="108" w:type="dxa"/>
              <w:right w:w="108" w:type="dxa"/>
            </w:tcMar>
            <w:vAlign w:val="center"/>
          </w:tcPr>
          <w:p w14:paraId="7BDB8863">
            <w:pPr>
              <w:pStyle w:val="7"/>
              <w:keepNext w:val="0"/>
              <w:keepLines w:val="0"/>
              <w:pageBreakBefore w:val="0"/>
              <w:widowControl/>
              <w:kinsoku w:val="0"/>
              <w:wordWrap/>
              <w:overflowPunct/>
              <w:topLinePunct w:val="0"/>
              <w:autoSpaceDE w:val="0"/>
              <w:autoSpaceDN w:val="0"/>
              <w:bidi w:val="0"/>
              <w:adjustRightInd w:val="0"/>
              <w:snapToGrid w:val="0"/>
              <w:spacing w:line="260" w:lineRule="exact"/>
              <w:ind w:left="0"/>
              <w:jc w:val="center"/>
              <w:textAlignment w:val="baseline"/>
              <w:rPr>
                <w:rFonts w:hint="eastAsia" w:ascii="仿宋_GB2312" w:hAnsi="仿宋_GB2312" w:eastAsia="仿宋_GB2312" w:cs="仿宋_GB2312"/>
                <w:b w:val="0"/>
                <w:bCs w:val="0"/>
                <w:snapToGrid w:val="0"/>
                <w:color w:val="000000"/>
                <w:kern w:val="0"/>
                <w:sz w:val="21"/>
                <w:szCs w:val="21"/>
              </w:rPr>
            </w:pPr>
            <w:r>
              <w:rPr>
                <w:rFonts w:hint="eastAsia" w:ascii="仿宋_GB2312" w:hAnsi="仿宋_GB2312" w:eastAsia="仿宋_GB2312" w:cs="仿宋_GB2312"/>
                <w:b w:val="0"/>
                <w:bCs w:val="0"/>
                <w:snapToGrid w:val="0"/>
                <w:color w:val="000000"/>
                <w:kern w:val="0"/>
                <w:sz w:val="21"/>
                <w:szCs w:val="21"/>
                <w:lang w:eastAsia="zh-CN"/>
              </w:rPr>
              <w:t>行政</w:t>
            </w:r>
            <w:r>
              <w:rPr>
                <w:rFonts w:hint="eastAsia" w:ascii="仿宋_GB2312" w:hAnsi="仿宋_GB2312" w:eastAsia="仿宋_GB2312" w:cs="仿宋_GB2312"/>
                <w:b w:val="0"/>
                <w:bCs w:val="0"/>
                <w:snapToGrid w:val="0"/>
                <w:color w:val="000000"/>
                <w:kern w:val="0"/>
                <w:sz w:val="21"/>
                <w:szCs w:val="21"/>
              </w:rPr>
              <w:t>执</w:t>
            </w:r>
          </w:p>
          <w:p w14:paraId="48178DCE">
            <w:pPr>
              <w:pStyle w:val="7"/>
              <w:keepNext w:val="0"/>
              <w:keepLines w:val="0"/>
              <w:pageBreakBefore w:val="0"/>
              <w:widowControl/>
              <w:kinsoku w:val="0"/>
              <w:wordWrap/>
              <w:overflowPunct/>
              <w:topLinePunct w:val="0"/>
              <w:autoSpaceDE w:val="0"/>
              <w:autoSpaceDN w:val="0"/>
              <w:bidi w:val="0"/>
              <w:adjustRightInd w:val="0"/>
              <w:snapToGrid w:val="0"/>
              <w:spacing w:line="260" w:lineRule="exact"/>
              <w:ind w:left="0"/>
              <w:jc w:val="center"/>
              <w:textAlignment w:val="baseline"/>
              <w:rPr>
                <w:rFonts w:hint="eastAsia" w:ascii="仿宋_GB2312" w:hAnsi="仿宋_GB2312" w:eastAsia="仿宋_GB2312" w:cs="仿宋_GB2312"/>
                <w:b w:val="0"/>
                <w:bCs w:val="0"/>
                <w:snapToGrid w:val="0"/>
                <w:color w:val="000000"/>
                <w:kern w:val="0"/>
                <w:sz w:val="21"/>
                <w:szCs w:val="21"/>
                <w:lang w:val="en-US" w:eastAsia="zh-CN"/>
              </w:rPr>
            </w:pPr>
            <w:r>
              <w:rPr>
                <w:rFonts w:hint="eastAsia" w:ascii="仿宋_GB2312" w:hAnsi="仿宋_GB2312" w:eastAsia="仿宋_GB2312" w:cs="仿宋_GB2312"/>
                <w:b w:val="0"/>
                <w:bCs w:val="0"/>
                <w:snapToGrid w:val="0"/>
                <w:color w:val="000000"/>
                <w:kern w:val="0"/>
                <w:sz w:val="21"/>
                <w:szCs w:val="21"/>
              </w:rPr>
              <w:t>法事项</w:t>
            </w:r>
          </w:p>
        </w:tc>
        <w:tc>
          <w:tcPr>
            <w:tcW w:w="1085" w:type="dxa"/>
            <w:shd w:val="clear" w:color="auto" w:fill="FFFFFF"/>
            <w:tcMar>
              <w:left w:w="108" w:type="dxa"/>
              <w:right w:w="108" w:type="dxa"/>
            </w:tcMar>
            <w:vAlign w:val="center"/>
          </w:tcPr>
          <w:p w14:paraId="7696E345">
            <w:pPr>
              <w:pStyle w:val="7"/>
              <w:keepNext w:val="0"/>
              <w:keepLines w:val="0"/>
              <w:pageBreakBefore w:val="0"/>
              <w:widowControl/>
              <w:kinsoku w:val="0"/>
              <w:wordWrap/>
              <w:overflowPunct/>
              <w:topLinePunct w:val="0"/>
              <w:autoSpaceDE w:val="0"/>
              <w:autoSpaceDN w:val="0"/>
              <w:bidi w:val="0"/>
              <w:adjustRightInd w:val="0"/>
              <w:snapToGrid w:val="0"/>
              <w:spacing w:line="260" w:lineRule="exact"/>
              <w:ind w:left="0"/>
              <w:jc w:val="center"/>
              <w:textAlignment w:val="baseline"/>
              <w:rPr>
                <w:rFonts w:hint="eastAsia" w:ascii="仿宋_GB2312" w:hAnsi="仿宋_GB2312" w:eastAsia="仿宋_GB2312" w:cs="仿宋_GB2312"/>
                <w:b w:val="0"/>
                <w:bCs w:val="0"/>
                <w:snapToGrid w:val="0"/>
                <w:color w:val="000000"/>
                <w:kern w:val="0"/>
                <w:sz w:val="21"/>
                <w:szCs w:val="21"/>
              </w:rPr>
            </w:pPr>
            <w:r>
              <w:rPr>
                <w:rFonts w:hint="eastAsia" w:ascii="仿宋_GB2312" w:hAnsi="仿宋_GB2312" w:eastAsia="仿宋_GB2312" w:cs="仿宋_GB2312"/>
                <w:b w:val="0"/>
                <w:bCs w:val="0"/>
                <w:snapToGrid w:val="0"/>
                <w:color w:val="000000"/>
                <w:kern w:val="0"/>
                <w:sz w:val="21"/>
                <w:szCs w:val="21"/>
              </w:rPr>
              <w:t>执法</w:t>
            </w:r>
          </w:p>
          <w:p w14:paraId="03220B3A">
            <w:pPr>
              <w:pStyle w:val="7"/>
              <w:keepNext w:val="0"/>
              <w:keepLines w:val="0"/>
              <w:pageBreakBefore w:val="0"/>
              <w:widowControl/>
              <w:kinsoku w:val="0"/>
              <w:wordWrap/>
              <w:overflowPunct/>
              <w:topLinePunct w:val="0"/>
              <w:autoSpaceDE w:val="0"/>
              <w:autoSpaceDN w:val="0"/>
              <w:bidi w:val="0"/>
              <w:adjustRightInd w:val="0"/>
              <w:snapToGrid w:val="0"/>
              <w:spacing w:line="260" w:lineRule="exact"/>
              <w:ind w:left="0"/>
              <w:jc w:val="center"/>
              <w:textAlignment w:val="baseline"/>
              <w:rPr>
                <w:rFonts w:hint="eastAsia" w:ascii="仿宋_GB2312" w:hAnsi="仿宋_GB2312" w:eastAsia="仿宋_GB2312" w:cs="仿宋_GB2312"/>
                <w:b w:val="0"/>
                <w:bCs w:val="0"/>
                <w:snapToGrid w:val="0"/>
                <w:color w:val="000000"/>
                <w:kern w:val="0"/>
                <w:sz w:val="21"/>
                <w:szCs w:val="21"/>
                <w:lang w:val="en-US" w:eastAsia="zh-CN"/>
              </w:rPr>
            </w:pPr>
            <w:r>
              <w:rPr>
                <w:rFonts w:hint="eastAsia" w:ascii="仿宋_GB2312" w:hAnsi="仿宋_GB2312" w:eastAsia="仿宋_GB2312" w:cs="仿宋_GB2312"/>
                <w:b w:val="0"/>
                <w:bCs w:val="0"/>
                <w:snapToGrid w:val="0"/>
                <w:color w:val="000000"/>
                <w:kern w:val="0"/>
                <w:sz w:val="21"/>
                <w:szCs w:val="21"/>
              </w:rPr>
              <w:t>类别</w:t>
            </w:r>
          </w:p>
        </w:tc>
        <w:tc>
          <w:tcPr>
            <w:tcW w:w="1179" w:type="dxa"/>
            <w:shd w:val="clear" w:color="auto" w:fill="FFFFFF"/>
            <w:tcMar>
              <w:left w:w="108" w:type="dxa"/>
              <w:right w:w="108" w:type="dxa"/>
            </w:tcMar>
            <w:vAlign w:val="center"/>
          </w:tcPr>
          <w:p w14:paraId="25CC66A6">
            <w:pPr>
              <w:pStyle w:val="7"/>
              <w:keepNext w:val="0"/>
              <w:keepLines w:val="0"/>
              <w:pageBreakBefore w:val="0"/>
              <w:widowControl/>
              <w:kinsoku w:val="0"/>
              <w:wordWrap/>
              <w:overflowPunct/>
              <w:topLinePunct w:val="0"/>
              <w:autoSpaceDE w:val="0"/>
              <w:autoSpaceDN w:val="0"/>
              <w:bidi w:val="0"/>
              <w:adjustRightInd w:val="0"/>
              <w:snapToGrid w:val="0"/>
              <w:spacing w:line="260" w:lineRule="exact"/>
              <w:ind w:left="0"/>
              <w:jc w:val="center"/>
              <w:textAlignment w:val="baseline"/>
              <w:rPr>
                <w:rFonts w:hint="eastAsia" w:ascii="仿宋_GB2312" w:hAnsi="仿宋_GB2312" w:eastAsia="仿宋_GB2312" w:cs="仿宋_GB2312"/>
                <w:b w:val="0"/>
                <w:bCs w:val="0"/>
                <w:snapToGrid w:val="0"/>
                <w:color w:val="000000"/>
                <w:kern w:val="0"/>
                <w:sz w:val="21"/>
                <w:szCs w:val="21"/>
              </w:rPr>
            </w:pPr>
            <w:r>
              <w:rPr>
                <w:rFonts w:hint="eastAsia" w:ascii="仿宋_GB2312" w:hAnsi="仿宋_GB2312" w:eastAsia="仿宋_GB2312" w:cs="仿宋_GB2312"/>
                <w:b w:val="0"/>
                <w:bCs w:val="0"/>
                <w:snapToGrid w:val="0"/>
                <w:color w:val="000000"/>
                <w:kern w:val="0"/>
                <w:sz w:val="21"/>
                <w:szCs w:val="21"/>
              </w:rPr>
              <w:t>执法</w:t>
            </w:r>
          </w:p>
          <w:p w14:paraId="2EAAA949">
            <w:pPr>
              <w:pStyle w:val="7"/>
              <w:keepNext w:val="0"/>
              <w:keepLines w:val="0"/>
              <w:pageBreakBefore w:val="0"/>
              <w:widowControl/>
              <w:kinsoku w:val="0"/>
              <w:wordWrap/>
              <w:overflowPunct/>
              <w:topLinePunct w:val="0"/>
              <w:autoSpaceDE w:val="0"/>
              <w:autoSpaceDN w:val="0"/>
              <w:bidi w:val="0"/>
              <w:adjustRightInd w:val="0"/>
              <w:snapToGrid w:val="0"/>
              <w:spacing w:line="260" w:lineRule="exact"/>
              <w:ind w:left="0"/>
              <w:jc w:val="center"/>
              <w:textAlignment w:val="baseline"/>
              <w:rPr>
                <w:rFonts w:hint="eastAsia" w:ascii="仿宋_GB2312" w:hAnsi="仿宋_GB2312" w:eastAsia="仿宋_GB2312" w:cs="仿宋_GB2312"/>
                <w:b w:val="0"/>
                <w:bCs w:val="0"/>
                <w:snapToGrid w:val="0"/>
                <w:color w:val="000000"/>
                <w:kern w:val="0"/>
                <w:sz w:val="21"/>
                <w:szCs w:val="21"/>
                <w:lang w:val="en-US" w:eastAsia="zh-CN"/>
              </w:rPr>
            </w:pPr>
            <w:r>
              <w:rPr>
                <w:rFonts w:hint="eastAsia" w:ascii="仿宋_GB2312" w:hAnsi="仿宋_GB2312" w:eastAsia="仿宋_GB2312" w:cs="仿宋_GB2312"/>
                <w:b w:val="0"/>
                <w:bCs w:val="0"/>
                <w:snapToGrid w:val="0"/>
                <w:color w:val="000000"/>
                <w:kern w:val="0"/>
                <w:sz w:val="21"/>
                <w:szCs w:val="21"/>
              </w:rPr>
              <w:t>主体</w:t>
            </w:r>
          </w:p>
        </w:tc>
        <w:tc>
          <w:tcPr>
            <w:tcW w:w="1444" w:type="dxa"/>
            <w:shd w:val="clear" w:color="auto" w:fill="FFFFFF"/>
            <w:tcMar>
              <w:left w:w="108" w:type="dxa"/>
              <w:right w:w="108" w:type="dxa"/>
            </w:tcMar>
            <w:vAlign w:val="center"/>
          </w:tcPr>
          <w:p w14:paraId="1A8C4885">
            <w:pPr>
              <w:pStyle w:val="7"/>
              <w:keepNext w:val="0"/>
              <w:keepLines w:val="0"/>
              <w:pageBreakBefore w:val="0"/>
              <w:widowControl/>
              <w:kinsoku w:val="0"/>
              <w:wordWrap/>
              <w:overflowPunct/>
              <w:topLinePunct w:val="0"/>
              <w:autoSpaceDE w:val="0"/>
              <w:autoSpaceDN w:val="0"/>
              <w:bidi w:val="0"/>
              <w:adjustRightInd w:val="0"/>
              <w:snapToGrid w:val="0"/>
              <w:spacing w:line="260" w:lineRule="exact"/>
              <w:ind w:left="0"/>
              <w:jc w:val="center"/>
              <w:textAlignment w:val="baseline"/>
              <w:rPr>
                <w:rFonts w:hint="eastAsia" w:ascii="仿宋_GB2312" w:hAnsi="仿宋_GB2312" w:eastAsia="仿宋_GB2312" w:cs="仿宋_GB2312"/>
                <w:b w:val="0"/>
                <w:bCs w:val="0"/>
                <w:snapToGrid w:val="0"/>
                <w:color w:val="000000"/>
                <w:kern w:val="0"/>
                <w:sz w:val="21"/>
                <w:szCs w:val="21"/>
              </w:rPr>
            </w:pPr>
            <w:r>
              <w:rPr>
                <w:rFonts w:hint="eastAsia" w:ascii="仿宋_GB2312" w:hAnsi="仿宋_GB2312" w:eastAsia="仿宋_GB2312" w:cs="仿宋_GB2312"/>
                <w:b w:val="0"/>
                <w:bCs w:val="0"/>
                <w:snapToGrid w:val="0"/>
                <w:color w:val="000000"/>
                <w:kern w:val="0"/>
                <w:sz w:val="21"/>
                <w:szCs w:val="21"/>
              </w:rPr>
              <w:t>承办</w:t>
            </w:r>
          </w:p>
          <w:p w14:paraId="4367DF0C">
            <w:pPr>
              <w:pStyle w:val="7"/>
              <w:keepNext w:val="0"/>
              <w:keepLines w:val="0"/>
              <w:pageBreakBefore w:val="0"/>
              <w:widowControl/>
              <w:kinsoku w:val="0"/>
              <w:wordWrap/>
              <w:overflowPunct/>
              <w:topLinePunct w:val="0"/>
              <w:autoSpaceDE w:val="0"/>
              <w:autoSpaceDN w:val="0"/>
              <w:bidi w:val="0"/>
              <w:adjustRightInd w:val="0"/>
              <w:snapToGrid w:val="0"/>
              <w:spacing w:line="260" w:lineRule="exact"/>
              <w:ind w:left="0"/>
              <w:jc w:val="center"/>
              <w:textAlignment w:val="baseline"/>
              <w:rPr>
                <w:rFonts w:hint="eastAsia" w:ascii="仿宋_GB2312" w:hAnsi="仿宋_GB2312" w:eastAsia="仿宋_GB2312" w:cs="仿宋_GB2312"/>
                <w:b w:val="0"/>
                <w:bCs w:val="0"/>
                <w:snapToGrid w:val="0"/>
                <w:color w:val="000000"/>
                <w:kern w:val="0"/>
                <w:sz w:val="21"/>
                <w:szCs w:val="21"/>
                <w:lang w:val="en-US" w:eastAsia="zh-CN"/>
              </w:rPr>
            </w:pPr>
            <w:r>
              <w:rPr>
                <w:rFonts w:hint="eastAsia" w:ascii="仿宋_GB2312" w:hAnsi="仿宋_GB2312" w:eastAsia="仿宋_GB2312" w:cs="仿宋_GB2312"/>
                <w:b w:val="0"/>
                <w:bCs w:val="0"/>
                <w:snapToGrid w:val="0"/>
                <w:color w:val="000000"/>
                <w:kern w:val="0"/>
                <w:sz w:val="21"/>
                <w:szCs w:val="21"/>
              </w:rPr>
              <w:t>机构</w:t>
            </w:r>
          </w:p>
        </w:tc>
        <w:tc>
          <w:tcPr>
            <w:tcW w:w="8616" w:type="dxa"/>
            <w:shd w:val="clear" w:color="auto" w:fill="FFFFFF"/>
            <w:tcMar>
              <w:left w:w="108" w:type="dxa"/>
              <w:right w:w="108" w:type="dxa"/>
            </w:tcMar>
            <w:vAlign w:val="center"/>
          </w:tcPr>
          <w:p w14:paraId="25FE9024">
            <w:pPr>
              <w:pStyle w:val="7"/>
              <w:keepNext w:val="0"/>
              <w:keepLines w:val="0"/>
              <w:pageBreakBefore w:val="0"/>
              <w:widowControl/>
              <w:kinsoku w:val="0"/>
              <w:wordWrap/>
              <w:overflowPunct/>
              <w:topLinePunct w:val="0"/>
              <w:autoSpaceDE w:val="0"/>
              <w:autoSpaceDN w:val="0"/>
              <w:bidi w:val="0"/>
              <w:adjustRightInd w:val="0"/>
              <w:snapToGrid w:val="0"/>
              <w:spacing w:line="260" w:lineRule="exact"/>
              <w:ind w:left="272"/>
              <w:jc w:val="center"/>
              <w:textAlignment w:val="baseline"/>
              <w:rPr>
                <w:rFonts w:hint="eastAsia" w:ascii="仿宋_GB2312" w:hAnsi="仿宋_GB2312" w:eastAsia="仿宋_GB2312" w:cs="仿宋_GB2312"/>
                <w:b w:val="0"/>
                <w:bCs w:val="0"/>
                <w:snapToGrid w:val="0"/>
                <w:color w:val="000000"/>
                <w:kern w:val="0"/>
                <w:sz w:val="21"/>
                <w:szCs w:val="21"/>
                <w:lang w:val="en-US" w:eastAsia="zh-CN"/>
              </w:rPr>
            </w:pPr>
            <w:r>
              <w:rPr>
                <w:rFonts w:hint="eastAsia" w:ascii="仿宋_GB2312" w:hAnsi="仿宋_GB2312" w:eastAsia="仿宋_GB2312" w:cs="仿宋_GB2312"/>
                <w:b w:val="0"/>
                <w:bCs w:val="0"/>
                <w:snapToGrid w:val="0"/>
                <w:color w:val="000000"/>
                <w:kern w:val="0"/>
                <w:sz w:val="21"/>
                <w:szCs w:val="21"/>
              </w:rPr>
              <w:t>执法依据</w:t>
            </w:r>
          </w:p>
        </w:tc>
        <w:tc>
          <w:tcPr>
            <w:tcW w:w="817" w:type="dxa"/>
            <w:shd w:val="clear" w:color="auto" w:fill="FFFFFF"/>
            <w:noWrap/>
            <w:tcMar>
              <w:left w:w="108" w:type="dxa"/>
              <w:right w:w="108" w:type="dxa"/>
            </w:tcMar>
            <w:vAlign w:val="center"/>
          </w:tcPr>
          <w:p w14:paraId="65A51D75">
            <w:pPr>
              <w:pStyle w:val="7"/>
              <w:keepNext w:val="0"/>
              <w:keepLines w:val="0"/>
              <w:pageBreakBefore w:val="0"/>
              <w:widowControl/>
              <w:kinsoku w:val="0"/>
              <w:wordWrap/>
              <w:overflowPunct/>
              <w:topLinePunct w:val="0"/>
              <w:autoSpaceDE w:val="0"/>
              <w:autoSpaceDN w:val="0"/>
              <w:bidi w:val="0"/>
              <w:adjustRightInd w:val="0"/>
              <w:snapToGrid w:val="0"/>
              <w:spacing w:line="260" w:lineRule="exact"/>
              <w:jc w:val="center"/>
              <w:textAlignment w:val="baseline"/>
              <w:rPr>
                <w:rFonts w:hint="eastAsia" w:ascii="仿宋_GB2312" w:hAnsi="仿宋_GB2312" w:eastAsia="仿宋_GB2312" w:cs="仿宋_GB2312"/>
                <w:b w:val="0"/>
                <w:bCs w:val="0"/>
                <w:snapToGrid w:val="0"/>
                <w:color w:val="000000"/>
                <w:kern w:val="0"/>
                <w:sz w:val="21"/>
                <w:szCs w:val="21"/>
                <w:lang w:val="en-US" w:eastAsia="zh-CN"/>
              </w:rPr>
            </w:pPr>
            <w:r>
              <w:rPr>
                <w:rFonts w:hint="eastAsia" w:ascii="仿宋_GB2312" w:hAnsi="仿宋_GB2312" w:eastAsia="仿宋_GB2312" w:cs="仿宋_GB2312"/>
                <w:b w:val="0"/>
                <w:bCs w:val="0"/>
                <w:snapToGrid w:val="0"/>
                <w:color w:val="000000"/>
                <w:kern w:val="0"/>
                <w:sz w:val="21"/>
                <w:szCs w:val="21"/>
              </w:rPr>
              <w:t>备注</w:t>
            </w:r>
          </w:p>
        </w:tc>
      </w:tr>
      <w:tr w14:paraId="787B80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80" w:hRule="atLeast"/>
        </w:trPr>
        <w:tc>
          <w:tcPr>
            <w:tcW w:w="745" w:type="dxa"/>
            <w:shd w:val="clear" w:color="auto" w:fill="FFFFFF"/>
            <w:tcMar>
              <w:left w:w="108" w:type="dxa"/>
              <w:right w:w="108" w:type="dxa"/>
            </w:tcMar>
            <w:vAlign w:val="center"/>
          </w:tcPr>
          <w:p w14:paraId="472E30E1">
            <w:pPr>
              <w:pStyle w:val="7"/>
              <w:keepNext w:val="0"/>
              <w:keepLines w:val="0"/>
              <w:pageBreakBefore w:val="0"/>
              <w:widowControl/>
              <w:kinsoku w:val="0"/>
              <w:wordWrap/>
              <w:overflowPunct/>
              <w:topLinePunct w:val="0"/>
              <w:autoSpaceDE w:val="0"/>
              <w:autoSpaceDN w:val="0"/>
              <w:bidi w:val="0"/>
              <w:adjustRightInd w:val="0"/>
              <w:snapToGrid w:val="0"/>
              <w:spacing w:line="260" w:lineRule="exact"/>
              <w:ind w:left="272"/>
              <w:jc w:val="center"/>
              <w:textAlignment w:val="baseline"/>
              <w:rPr>
                <w:rFonts w:hint="eastAsia" w:ascii="仿宋_GB2312" w:hAnsi="仿宋_GB2312" w:eastAsia="仿宋_GB2312" w:cs="仿宋_GB2312"/>
                <w:b w:val="0"/>
                <w:bCs w:val="0"/>
                <w:snapToGrid w:val="0"/>
                <w:color w:val="000000"/>
                <w:kern w:val="0"/>
                <w:sz w:val="21"/>
                <w:szCs w:val="21"/>
              </w:rPr>
            </w:pPr>
            <w:bookmarkStart w:id="0" w:name="OLE_LINK2" w:colFirst="3" w:colLast="4"/>
            <w:bookmarkStart w:id="1" w:name="OLE_LINK1" w:colFirst="1" w:colLast="6"/>
            <w:r>
              <w:rPr>
                <w:rFonts w:hint="eastAsia" w:ascii="仿宋_GB2312" w:hAnsi="仿宋_GB2312" w:eastAsia="仿宋_GB2312" w:cs="仿宋_GB2312"/>
                <w:b w:val="0"/>
                <w:bCs w:val="0"/>
                <w:snapToGrid w:val="0"/>
                <w:color w:val="000000"/>
                <w:kern w:val="0"/>
                <w:sz w:val="21"/>
                <w:szCs w:val="21"/>
                <w:lang w:val="en-US" w:eastAsia="zh-CN"/>
              </w:rPr>
              <w:t>1</w:t>
            </w:r>
          </w:p>
        </w:tc>
        <w:tc>
          <w:tcPr>
            <w:tcW w:w="1334" w:type="dxa"/>
            <w:shd w:val="clear" w:color="auto" w:fill="FFFFFF"/>
            <w:tcMar>
              <w:left w:w="108" w:type="dxa"/>
              <w:right w:w="108" w:type="dxa"/>
            </w:tcMar>
            <w:vAlign w:val="center"/>
          </w:tcPr>
          <w:p w14:paraId="0F57C71B">
            <w:pPr>
              <w:pStyle w:val="7"/>
              <w:keepNext w:val="0"/>
              <w:keepLines w:val="0"/>
              <w:pageBreakBefore w:val="0"/>
              <w:widowControl/>
              <w:kinsoku w:val="0"/>
              <w:wordWrap/>
              <w:overflowPunct/>
              <w:topLinePunct w:val="0"/>
              <w:autoSpaceDE w:val="0"/>
              <w:autoSpaceDN w:val="0"/>
              <w:bidi w:val="0"/>
              <w:adjustRightInd w:val="0"/>
              <w:snapToGrid w:val="0"/>
              <w:spacing w:line="260" w:lineRule="exact"/>
              <w:ind w:left="272"/>
              <w:jc w:val="center"/>
              <w:textAlignment w:val="baseline"/>
              <w:rPr>
                <w:rFonts w:hint="eastAsia" w:ascii="仿宋_GB2312" w:hAnsi="仿宋_GB2312" w:eastAsia="仿宋_GB2312" w:cs="仿宋_GB2312"/>
                <w:b w:val="0"/>
                <w:bCs w:val="0"/>
                <w:snapToGrid w:val="0"/>
                <w:color w:val="000000"/>
                <w:kern w:val="0"/>
                <w:sz w:val="21"/>
                <w:szCs w:val="21"/>
              </w:rPr>
            </w:pPr>
            <w:r>
              <w:rPr>
                <w:rFonts w:hint="eastAsia" w:ascii="仿宋_GB2312" w:hAnsi="仿宋_GB2312" w:eastAsia="仿宋_GB2312" w:cs="仿宋_GB2312"/>
                <w:b w:val="0"/>
                <w:bCs w:val="0"/>
                <w:snapToGrid w:val="0"/>
                <w:color w:val="000000"/>
                <w:kern w:val="0"/>
                <w:sz w:val="21"/>
                <w:szCs w:val="21"/>
                <w:lang w:val="en-US" w:eastAsia="zh-CN"/>
              </w:rPr>
              <w:t>对招标人规避招标的行政处罚</w:t>
            </w:r>
          </w:p>
        </w:tc>
        <w:tc>
          <w:tcPr>
            <w:tcW w:w="1085" w:type="dxa"/>
            <w:shd w:val="clear" w:color="auto" w:fill="FFFFFF"/>
            <w:tcMar>
              <w:left w:w="108" w:type="dxa"/>
              <w:right w:w="108" w:type="dxa"/>
            </w:tcMar>
            <w:vAlign w:val="center"/>
          </w:tcPr>
          <w:p w14:paraId="619F89AF">
            <w:pPr>
              <w:pStyle w:val="7"/>
              <w:keepNext w:val="0"/>
              <w:keepLines w:val="0"/>
              <w:pageBreakBefore w:val="0"/>
              <w:widowControl/>
              <w:kinsoku w:val="0"/>
              <w:wordWrap/>
              <w:overflowPunct/>
              <w:topLinePunct w:val="0"/>
              <w:autoSpaceDE w:val="0"/>
              <w:autoSpaceDN w:val="0"/>
              <w:bidi w:val="0"/>
              <w:adjustRightInd w:val="0"/>
              <w:snapToGrid w:val="0"/>
              <w:spacing w:line="260" w:lineRule="exact"/>
              <w:ind w:left="272"/>
              <w:jc w:val="center"/>
              <w:textAlignment w:val="baseline"/>
              <w:rPr>
                <w:rFonts w:hint="eastAsia" w:ascii="仿宋_GB2312" w:hAnsi="仿宋_GB2312" w:eastAsia="仿宋_GB2312" w:cs="仿宋_GB2312"/>
                <w:b w:val="0"/>
                <w:bCs w:val="0"/>
                <w:snapToGrid w:val="0"/>
                <w:color w:val="000000"/>
                <w:kern w:val="0"/>
                <w:sz w:val="21"/>
                <w:szCs w:val="21"/>
              </w:rPr>
            </w:pPr>
            <w:r>
              <w:rPr>
                <w:rFonts w:hint="eastAsia" w:ascii="仿宋_GB2312" w:hAnsi="仿宋_GB2312" w:eastAsia="仿宋_GB2312" w:cs="仿宋_GB2312"/>
                <w:b w:val="0"/>
                <w:bCs w:val="0"/>
                <w:snapToGrid w:val="0"/>
                <w:color w:val="000000"/>
                <w:kern w:val="0"/>
                <w:sz w:val="21"/>
                <w:szCs w:val="21"/>
                <w:lang w:val="en-US" w:eastAsia="zh-CN"/>
              </w:rPr>
              <w:t>行政处罚</w:t>
            </w:r>
          </w:p>
        </w:tc>
        <w:tc>
          <w:tcPr>
            <w:tcW w:w="1179" w:type="dxa"/>
            <w:shd w:val="clear" w:color="auto" w:fill="FFFFFF"/>
            <w:tcMar>
              <w:left w:w="108" w:type="dxa"/>
              <w:right w:w="108" w:type="dxa"/>
            </w:tcMar>
            <w:vAlign w:val="center"/>
          </w:tcPr>
          <w:p w14:paraId="65DFA892">
            <w:pPr>
              <w:pStyle w:val="7"/>
              <w:keepNext w:val="0"/>
              <w:keepLines w:val="0"/>
              <w:pageBreakBefore w:val="0"/>
              <w:widowControl/>
              <w:kinsoku w:val="0"/>
              <w:wordWrap/>
              <w:overflowPunct/>
              <w:topLinePunct w:val="0"/>
              <w:autoSpaceDE w:val="0"/>
              <w:autoSpaceDN w:val="0"/>
              <w:bidi w:val="0"/>
              <w:adjustRightInd w:val="0"/>
              <w:snapToGrid w:val="0"/>
              <w:spacing w:line="260" w:lineRule="exact"/>
              <w:ind w:left="272"/>
              <w:jc w:val="center"/>
              <w:textAlignment w:val="baseline"/>
              <w:rPr>
                <w:rFonts w:hint="default" w:ascii="仿宋_GB2312" w:hAnsi="仿宋_GB2312" w:eastAsia="仿宋_GB2312" w:cs="仿宋_GB2312"/>
                <w:b w:val="0"/>
                <w:bCs w:val="0"/>
                <w:snapToGrid w:val="0"/>
                <w:color w:val="000000"/>
                <w:kern w:val="0"/>
                <w:sz w:val="21"/>
                <w:szCs w:val="21"/>
                <w:lang w:val="en-US"/>
              </w:rPr>
            </w:pPr>
            <w:r>
              <w:rPr>
                <w:rFonts w:hint="eastAsia" w:ascii="仿宋_GB2312" w:hAnsi="仿宋_GB2312" w:eastAsia="仿宋_GB2312" w:cs="仿宋_GB2312"/>
                <w:b w:val="0"/>
                <w:bCs w:val="0"/>
                <w:snapToGrid w:val="0"/>
                <w:color w:val="000000"/>
                <w:kern w:val="0"/>
                <w:sz w:val="21"/>
                <w:szCs w:val="21"/>
                <w:lang w:val="en-US" w:eastAsia="zh-CN"/>
              </w:rPr>
              <w:t>零陵区发改局</w:t>
            </w:r>
          </w:p>
        </w:tc>
        <w:tc>
          <w:tcPr>
            <w:tcW w:w="1444" w:type="dxa"/>
            <w:shd w:val="clear" w:color="auto" w:fill="FFFFFF"/>
            <w:tcMar>
              <w:left w:w="108" w:type="dxa"/>
              <w:right w:w="108" w:type="dxa"/>
            </w:tcMar>
            <w:vAlign w:val="center"/>
          </w:tcPr>
          <w:p w14:paraId="131BDAD7">
            <w:pPr>
              <w:pStyle w:val="7"/>
              <w:keepNext w:val="0"/>
              <w:keepLines w:val="0"/>
              <w:pageBreakBefore w:val="0"/>
              <w:widowControl/>
              <w:kinsoku w:val="0"/>
              <w:wordWrap/>
              <w:overflowPunct/>
              <w:topLinePunct w:val="0"/>
              <w:autoSpaceDE w:val="0"/>
              <w:autoSpaceDN w:val="0"/>
              <w:bidi w:val="0"/>
              <w:adjustRightInd w:val="0"/>
              <w:snapToGrid w:val="0"/>
              <w:spacing w:line="260" w:lineRule="exact"/>
              <w:ind w:left="272"/>
              <w:jc w:val="center"/>
              <w:textAlignment w:val="baseline"/>
              <w:rPr>
                <w:rFonts w:hint="eastAsia" w:ascii="仿宋_GB2312" w:hAnsi="仿宋_GB2312" w:eastAsia="仿宋_GB2312" w:cs="仿宋_GB2312"/>
                <w:b w:val="0"/>
                <w:bCs w:val="0"/>
                <w:snapToGrid w:val="0"/>
                <w:color w:val="000000"/>
                <w:kern w:val="0"/>
                <w:sz w:val="21"/>
                <w:szCs w:val="21"/>
              </w:rPr>
            </w:pPr>
            <w:r>
              <w:rPr>
                <w:rFonts w:hint="eastAsia" w:ascii="仿宋_GB2312" w:hAnsi="仿宋_GB2312" w:eastAsia="仿宋_GB2312" w:cs="仿宋_GB2312"/>
                <w:b w:val="0"/>
                <w:bCs w:val="0"/>
                <w:snapToGrid w:val="0"/>
                <w:color w:val="000000"/>
                <w:kern w:val="0"/>
                <w:sz w:val="21"/>
                <w:szCs w:val="21"/>
                <w:lang w:val="en-US" w:eastAsia="zh-CN"/>
              </w:rPr>
              <w:t>法规股</w:t>
            </w:r>
          </w:p>
        </w:tc>
        <w:tc>
          <w:tcPr>
            <w:tcW w:w="8616" w:type="dxa"/>
            <w:shd w:val="clear" w:color="auto" w:fill="FFFFFF"/>
            <w:tcMar>
              <w:left w:w="108" w:type="dxa"/>
              <w:right w:w="108" w:type="dxa"/>
            </w:tcMar>
            <w:vAlign w:val="center"/>
          </w:tcPr>
          <w:p w14:paraId="3042E994">
            <w:pPr>
              <w:pStyle w:val="7"/>
              <w:keepNext w:val="0"/>
              <w:keepLines w:val="0"/>
              <w:pageBreakBefore w:val="0"/>
              <w:widowControl/>
              <w:kinsoku w:val="0"/>
              <w:wordWrap/>
              <w:overflowPunct/>
              <w:topLinePunct w:val="0"/>
              <w:autoSpaceDE w:val="0"/>
              <w:autoSpaceDN w:val="0"/>
              <w:bidi w:val="0"/>
              <w:adjustRightInd w:val="0"/>
              <w:snapToGrid w:val="0"/>
              <w:spacing w:line="260" w:lineRule="exact"/>
              <w:ind w:left="272"/>
              <w:jc w:val="left"/>
              <w:textAlignment w:val="baseline"/>
              <w:rPr>
                <w:rFonts w:hint="eastAsia" w:ascii="仿宋_GB2312" w:hAnsi="仿宋_GB2312" w:eastAsia="仿宋_GB2312" w:cs="仿宋_GB2312"/>
                <w:b w:val="0"/>
                <w:bCs w:val="0"/>
                <w:snapToGrid w:val="0"/>
                <w:color w:val="000000"/>
                <w:kern w:val="0"/>
                <w:sz w:val="21"/>
                <w:szCs w:val="21"/>
              </w:rPr>
            </w:pPr>
            <w:r>
              <w:rPr>
                <w:rFonts w:hint="eastAsia" w:ascii="仿宋_GB2312" w:hAnsi="仿宋_GB2312" w:eastAsia="仿宋_GB2312" w:cs="仿宋_GB2312"/>
                <w:b w:val="0"/>
                <w:bCs w:val="0"/>
                <w:snapToGrid w:val="0"/>
                <w:color w:val="000000"/>
                <w:kern w:val="0"/>
                <w:sz w:val="21"/>
                <w:szCs w:val="21"/>
                <w:lang w:val="en-US" w:eastAsia="zh-CN"/>
              </w:rPr>
              <w:t>1.《中华人民共和国招标投标法》第四十九条  违反本法规定，必须进行招标的项目而不招标的，将必须进行招标的项目化整为零或者以其他任何方式规避招标的，责令限期改正，可以处项目合同金额千分之五以上千分之十以下的罚款；对全部或者部分使用国有资金的项目，可以暂停项目执行或者暂停资金拨付；对单位直接负责的主管人员和其他直接责任人员依法给予处分。</w:t>
            </w:r>
            <w:r>
              <w:rPr>
                <w:rFonts w:hint="eastAsia" w:ascii="仿宋_GB2312" w:hAnsi="仿宋_GB2312" w:eastAsia="仿宋_GB2312" w:cs="仿宋_GB2312"/>
                <w:b w:val="0"/>
                <w:bCs w:val="0"/>
                <w:snapToGrid w:val="0"/>
                <w:color w:val="000000"/>
                <w:kern w:val="0"/>
                <w:sz w:val="21"/>
                <w:szCs w:val="21"/>
                <w:lang w:val="en-US" w:eastAsia="zh-CN"/>
              </w:rPr>
              <w:br w:type="textWrapping"/>
            </w:r>
            <w:r>
              <w:rPr>
                <w:rFonts w:hint="eastAsia" w:ascii="仿宋_GB2312" w:hAnsi="仿宋_GB2312" w:eastAsia="仿宋_GB2312" w:cs="仿宋_GB2312"/>
                <w:b w:val="0"/>
                <w:bCs w:val="0"/>
                <w:snapToGrid w:val="0"/>
                <w:color w:val="000000"/>
                <w:kern w:val="0"/>
                <w:sz w:val="21"/>
                <w:szCs w:val="21"/>
                <w:lang w:val="en-US" w:eastAsia="zh-CN"/>
              </w:rPr>
              <w:t>2.《中华人民共和国招标投标法实施条例》第六十三条第二款  依法必须进行招标的项目的招标人不按照规定发布资格预审公告或者招标公告，构成规避招标的，依照招标投标法第四十九条的规定处罚。</w:t>
            </w:r>
            <w:r>
              <w:rPr>
                <w:rFonts w:hint="eastAsia" w:ascii="仿宋_GB2312" w:hAnsi="仿宋_GB2312" w:eastAsia="仿宋_GB2312" w:cs="仿宋_GB2312"/>
                <w:b w:val="0"/>
                <w:bCs w:val="0"/>
                <w:snapToGrid w:val="0"/>
                <w:color w:val="000000"/>
                <w:kern w:val="0"/>
                <w:sz w:val="21"/>
                <w:szCs w:val="21"/>
                <w:lang w:val="en-US" w:eastAsia="zh-CN"/>
              </w:rPr>
              <w:br w:type="textWrapping"/>
            </w:r>
            <w:r>
              <w:rPr>
                <w:rFonts w:hint="eastAsia" w:ascii="仿宋_GB2312" w:hAnsi="仿宋_GB2312" w:eastAsia="仿宋_GB2312" w:cs="仿宋_GB2312"/>
                <w:b w:val="0"/>
                <w:bCs w:val="0"/>
                <w:snapToGrid w:val="0"/>
                <w:color w:val="000000"/>
                <w:kern w:val="0"/>
                <w:sz w:val="21"/>
                <w:szCs w:val="21"/>
                <w:lang w:val="en-US" w:eastAsia="zh-CN"/>
              </w:rPr>
              <w:t>3.《湖南省实施&lt;中华人民共和国招标投标法&gt;办法》第四十二条　违反本办法第十六条第一款规定，应当公开招标而未公开招标的，招标结果无效，由项目审批部门责令限期改正，属全部或者部分使用国有资金的项目，可以暂停项目执行或者暂停资金拨付；对单位直接负责的主管人员和其他直接责任人员依法给予行政处分。第四十三条　违反本办法第十九条规定，发布招标公告不合要求的，由有关行政监督部门责令限期改正；未发布招标公告而招标的，招标无效，并对单位直接负责的主管人员和其他直接责任人员依法给予行政处分。</w:t>
            </w:r>
          </w:p>
        </w:tc>
        <w:tc>
          <w:tcPr>
            <w:tcW w:w="817" w:type="dxa"/>
            <w:shd w:val="clear" w:color="auto" w:fill="FFFFFF"/>
            <w:noWrap/>
            <w:tcMar>
              <w:left w:w="108" w:type="dxa"/>
              <w:right w:w="108" w:type="dxa"/>
            </w:tcMar>
            <w:vAlign w:val="center"/>
          </w:tcPr>
          <w:p w14:paraId="417A4D69">
            <w:pPr>
              <w:pStyle w:val="7"/>
              <w:keepNext w:val="0"/>
              <w:keepLines w:val="0"/>
              <w:pageBreakBefore w:val="0"/>
              <w:widowControl/>
              <w:kinsoku w:val="0"/>
              <w:wordWrap/>
              <w:overflowPunct/>
              <w:topLinePunct w:val="0"/>
              <w:autoSpaceDE w:val="0"/>
              <w:autoSpaceDN w:val="0"/>
              <w:bidi w:val="0"/>
              <w:adjustRightInd w:val="0"/>
              <w:snapToGrid w:val="0"/>
              <w:spacing w:line="260" w:lineRule="exact"/>
              <w:ind w:left="272"/>
              <w:jc w:val="center"/>
              <w:textAlignment w:val="baseline"/>
              <w:rPr>
                <w:rFonts w:hint="eastAsia" w:ascii="仿宋_GB2312" w:hAnsi="仿宋_GB2312" w:eastAsia="仿宋_GB2312" w:cs="仿宋_GB2312"/>
                <w:b w:val="0"/>
                <w:bCs w:val="0"/>
                <w:snapToGrid w:val="0"/>
                <w:color w:val="000000"/>
                <w:kern w:val="0"/>
                <w:sz w:val="21"/>
                <w:szCs w:val="21"/>
              </w:rPr>
            </w:pPr>
          </w:p>
        </w:tc>
      </w:tr>
      <w:bookmarkEnd w:id="0"/>
      <w:tr w14:paraId="5B64E5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rPr>
        <w:tc>
          <w:tcPr>
            <w:tcW w:w="745" w:type="dxa"/>
            <w:shd w:val="clear" w:color="auto" w:fill="FFFFFF"/>
            <w:tcMar>
              <w:left w:w="108" w:type="dxa"/>
              <w:right w:w="108" w:type="dxa"/>
            </w:tcMar>
            <w:vAlign w:val="center"/>
          </w:tcPr>
          <w:p w14:paraId="6E890AA6">
            <w:pPr>
              <w:pStyle w:val="7"/>
              <w:keepNext w:val="0"/>
              <w:keepLines w:val="0"/>
              <w:pageBreakBefore w:val="0"/>
              <w:widowControl/>
              <w:kinsoku w:val="0"/>
              <w:wordWrap/>
              <w:overflowPunct/>
              <w:topLinePunct w:val="0"/>
              <w:autoSpaceDE w:val="0"/>
              <w:autoSpaceDN w:val="0"/>
              <w:bidi w:val="0"/>
              <w:adjustRightInd w:val="0"/>
              <w:snapToGrid w:val="0"/>
              <w:spacing w:line="260" w:lineRule="exact"/>
              <w:ind w:left="272"/>
              <w:jc w:val="center"/>
              <w:textAlignment w:val="baseline"/>
              <w:rPr>
                <w:rFonts w:hint="eastAsia" w:ascii="仿宋_GB2312" w:hAnsi="仿宋_GB2312" w:eastAsia="仿宋_GB2312" w:cs="仿宋_GB2312"/>
                <w:b w:val="0"/>
                <w:bCs w:val="0"/>
                <w:snapToGrid w:val="0"/>
                <w:color w:val="000000"/>
                <w:kern w:val="0"/>
                <w:sz w:val="21"/>
                <w:szCs w:val="21"/>
              </w:rPr>
            </w:pPr>
            <w:r>
              <w:rPr>
                <w:rFonts w:hint="eastAsia" w:ascii="仿宋_GB2312" w:hAnsi="仿宋_GB2312" w:eastAsia="仿宋_GB2312" w:cs="仿宋_GB2312"/>
                <w:b w:val="0"/>
                <w:bCs w:val="0"/>
                <w:snapToGrid w:val="0"/>
                <w:color w:val="000000"/>
                <w:kern w:val="0"/>
                <w:sz w:val="21"/>
                <w:szCs w:val="21"/>
                <w:lang w:val="en-US" w:eastAsia="zh-CN"/>
              </w:rPr>
              <w:t>2</w:t>
            </w:r>
          </w:p>
        </w:tc>
        <w:tc>
          <w:tcPr>
            <w:tcW w:w="1334" w:type="dxa"/>
            <w:shd w:val="clear" w:color="auto" w:fill="FFFFFF"/>
            <w:tcMar>
              <w:left w:w="108" w:type="dxa"/>
              <w:right w:w="108" w:type="dxa"/>
            </w:tcMar>
            <w:vAlign w:val="center"/>
          </w:tcPr>
          <w:p w14:paraId="0AF7293F">
            <w:pPr>
              <w:pStyle w:val="7"/>
              <w:keepNext w:val="0"/>
              <w:keepLines w:val="0"/>
              <w:pageBreakBefore w:val="0"/>
              <w:widowControl/>
              <w:kinsoku w:val="0"/>
              <w:wordWrap/>
              <w:overflowPunct/>
              <w:topLinePunct w:val="0"/>
              <w:autoSpaceDE w:val="0"/>
              <w:autoSpaceDN w:val="0"/>
              <w:bidi w:val="0"/>
              <w:adjustRightInd w:val="0"/>
              <w:snapToGrid w:val="0"/>
              <w:spacing w:line="260" w:lineRule="exact"/>
              <w:ind w:left="272"/>
              <w:jc w:val="center"/>
              <w:textAlignment w:val="baseline"/>
              <w:rPr>
                <w:rFonts w:hint="eastAsia" w:ascii="仿宋_GB2312" w:hAnsi="仿宋_GB2312" w:eastAsia="仿宋_GB2312" w:cs="仿宋_GB2312"/>
                <w:b w:val="0"/>
                <w:bCs w:val="0"/>
                <w:snapToGrid w:val="0"/>
                <w:color w:val="000000"/>
                <w:kern w:val="0"/>
                <w:sz w:val="21"/>
                <w:szCs w:val="21"/>
              </w:rPr>
            </w:pPr>
            <w:r>
              <w:rPr>
                <w:rFonts w:hint="eastAsia" w:ascii="仿宋_GB2312" w:hAnsi="仿宋_GB2312" w:eastAsia="仿宋_GB2312" w:cs="仿宋_GB2312"/>
                <w:b w:val="0"/>
                <w:bCs w:val="0"/>
                <w:snapToGrid w:val="0"/>
                <w:color w:val="000000"/>
                <w:kern w:val="0"/>
                <w:sz w:val="21"/>
                <w:szCs w:val="21"/>
                <w:lang w:val="en-US" w:eastAsia="zh-CN"/>
              </w:rPr>
              <w:t>对工业项目及按规定履行监管职责项目招标人以不合理的条件限制或者排斥潜在投标人的行政处罚</w:t>
            </w:r>
          </w:p>
        </w:tc>
        <w:tc>
          <w:tcPr>
            <w:tcW w:w="1085" w:type="dxa"/>
            <w:shd w:val="clear" w:color="auto" w:fill="FFFFFF"/>
            <w:tcMar>
              <w:left w:w="108" w:type="dxa"/>
              <w:right w:w="108" w:type="dxa"/>
            </w:tcMar>
            <w:vAlign w:val="center"/>
          </w:tcPr>
          <w:p w14:paraId="427CB75D">
            <w:pPr>
              <w:pStyle w:val="7"/>
              <w:keepNext w:val="0"/>
              <w:keepLines w:val="0"/>
              <w:pageBreakBefore w:val="0"/>
              <w:widowControl/>
              <w:kinsoku w:val="0"/>
              <w:wordWrap/>
              <w:overflowPunct/>
              <w:topLinePunct w:val="0"/>
              <w:autoSpaceDE w:val="0"/>
              <w:autoSpaceDN w:val="0"/>
              <w:bidi w:val="0"/>
              <w:adjustRightInd w:val="0"/>
              <w:snapToGrid w:val="0"/>
              <w:spacing w:line="260" w:lineRule="exact"/>
              <w:ind w:left="272"/>
              <w:jc w:val="center"/>
              <w:textAlignment w:val="baseline"/>
              <w:rPr>
                <w:rFonts w:hint="eastAsia" w:ascii="仿宋_GB2312" w:hAnsi="仿宋_GB2312" w:eastAsia="仿宋_GB2312" w:cs="仿宋_GB2312"/>
                <w:b w:val="0"/>
                <w:bCs w:val="0"/>
                <w:snapToGrid w:val="0"/>
                <w:color w:val="000000"/>
                <w:kern w:val="0"/>
                <w:sz w:val="21"/>
                <w:szCs w:val="21"/>
              </w:rPr>
            </w:pPr>
            <w:r>
              <w:rPr>
                <w:rFonts w:hint="eastAsia" w:ascii="仿宋_GB2312" w:hAnsi="仿宋_GB2312" w:eastAsia="仿宋_GB2312" w:cs="仿宋_GB2312"/>
                <w:b w:val="0"/>
                <w:bCs w:val="0"/>
                <w:snapToGrid w:val="0"/>
                <w:color w:val="000000"/>
                <w:kern w:val="0"/>
                <w:sz w:val="21"/>
                <w:szCs w:val="21"/>
                <w:lang w:val="en-US" w:eastAsia="zh-CN"/>
              </w:rPr>
              <w:t>行政处罚</w:t>
            </w:r>
          </w:p>
        </w:tc>
        <w:tc>
          <w:tcPr>
            <w:tcW w:w="1179" w:type="dxa"/>
            <w:shd w:val="clear" w:color="auto" w:fill="FFFFFF"/>
            <w:tcMar>
              <w:left w:w="108" w:type="dxa"/>
              <w:right w:w="108" w:type="dxa"/>
            </w:tcMar>
            <w:vAlign w:val="center"/>
          </w:tcPr>
          <w:p w14:paraId="1FF97B29">
            <w:pPr>
              <w:pStyle w:val="7"/>
              <w:keepNext w:val="0"/>
              <w:keepLines w:val="0"/>
              <w:pageBreakBefore w:val="0"/>
              <w:widowControl/>
              <w:kinsoku w:val="0"/>
              <w:wordWrap/>
              <w:overflowPunct/>
              <w:topLinePunct w:val="0"/>
              <w:autoSpaceDE w:val="0"/>
              <w:autoSpaceDN w:val="0"/>
              <w:bidi w:val="0"/>
              <w:adjustRightInd w:val="0"/>
              <w:snapToGrid w:val="0"/>
              <w:spacing w:line="260" w:lineRule="exact"/>
              <w:ind w:left="272" w:leftChars="0"/>
              <w:jc w:val="center"/>
              <w:textAlignment w:val="baseline"/>
              <w:rPr>
                <w:rFonts w:hint="eastAsia" w:ascii="仿宋_GB2312" w:hAnsi="仿宋_GB2312" w:eastAsia="仿宋_GB2312" w:cs="仿宋_GB2312"/>
                <w:b w:val="0"/>
                <w:bCs w:val="0"/>
                <w:snapToGrid w:val="0"/>
                <w:color w:val="000000"/>
                <w:kern w:val="0"/>
                <w:sz w:val="21"/>
                <w:szCs w:val="21"/>
              </w:rPr>
            </w:pPr>
            <w:r>
              <w:rPr>
                <w:rFonts w:hint="eastAsia" w:ascii="仿宋_GB2312" w:hAnsi="仿宋_GB2312" w:eastAsia="仿宋_GB2312" w:cs="仿宋_GB2312"/>
                <w:b w:val="0"/>
                <w:bCs w:val="0"/>
                <w:snapToGrid w:val="0"/>
                <w:color w:val="000000"/>
                <w:kern w:val="0"/>
                <w:sz w:val="21"/>
                <w:szCs w:val="21"/>
                <w:lang w:val="en-US" w:eastAsia="zh-CN"/>
              </w:rPr>
              <w:t>零陵区发改局</w:t>
            </w:r>
          </w:p>
        </w:tc>
        <w:tc>
          <w:tcPr>
            <w:tcW w:w="1444" w:type="dxa"/>
            <w:shd w:val="clear" w:color="auto" w:fill="FFFFFF"/>
            <w:tcMar>
              <w:left w:w="108" w:type="dxa"/>
              <w:right w:w="108" w:type="dxa"/>
            </w:tcMar>
            <w:vAlign w:val="center"/>
          </w:tcPr>
          <w:p w14:paraId="72C7183C">
            <w:pPr>
              <w:pStyle w:val="7"/>
              <w:keepNext w:val="0"/>
              <w:keepLines w:val="0"/>
              <w:pageBreakBefore w:val="0"/>
              <w:widowControl/>
              <w:kinsoku w:val="0"/>
              <w:wordWrap/>
              <w:overflowPunct/>
              <w:topLinePunct w:val="0"/>
              <w:autoSpaceDE w:val="0"/>
              <w:autoSpaceDN w:val="0"/>
              <w:bidi w:val="0"/>
              <w:adjustRightInd w:val="0"/>
              <w:snapToGrid w:val="0"/>
              <w:spacing w:line="260" w:lineRule="exact"/>
              <w:ind w:left="272" w:leftChars="0"/>
              <w:jc w:val="center"/>
              <w:textAlignment w:val="baseline"/>
              <w:rPr>
                <w:rFonts w:hint="eastAsia" w:ascii="仿宋_GB2312" w:hAnsi="仿宋_GB2312" w:eastAsia="仿宋_GB2312" w:cs="仿宋_GB2312"/>
                <w:b w:val="0"/>
                <w:bCs w:val="0"/>
                <w:snapToGrid w:val="0"/>
                <w:color w:val="000000"/>
                <w:kern w:val="0"/>
                <w:sz w:val="21"/>
                <w:szCs w:val="21"/>
              </w:rPr>
            </w:pPr>
            <w:r>
              <w:rPr>
                <w:rFonts w:hint="eastAsia" w:ascii="仿宋_GB2312" w:hAnsi="仿宋_GB2312" w:eastAsia="仿宋_GB2312" w:cs="仿宋_GB2312"/>
                <w:b w:val="0"/>
                <w:bCs w:val="0"/>
                <w:snapToGrid w:val="0"/>
                <w:color w:val="000000"/>
                <w:kern w:val="0"/>
                <w:sz w:val="21"/>
                <w:szCs w:val="21"/>
                <w:lang w:val="en-US" w:eastAsia="zh-CN"/>
              </w:rPr>
              <w:t>法规股</w:t>
            </w:r>
          </w:p>
        </w:tc>
        <w:tc>
          <w:tcPr>
            <w:tcW w:w="8616" w:type="dxa"/>
            <w:shd w:val="clear" w:color="auto" w:fill="FFFFFF"/>
            <w:tcMar>
              <w:left w:w="108" w:type="dxa"/>
              <w:right w:w="108" w:type="dxa"/>
            </w:tcMar>
            <w:vAlign w:val="center"/>
          </w:tcPr>
          <w:p w14:paraId="35987B2D">
            <w:pPr>
              <w:pStyle w:val="7"/>
              <w:keepNext w:val="0"/>
              <w:keepLines w:val="0"/>
              <w:pageBreakBefore w:val="0"/>
              <w:widowControl/>
              <w:kinsoku w:val="0"/>
              <w:wordWrap/>
              <w:overflowPunct/>
              <w:topLinePunct w:val="0"/>
              <w:autoSpaceDE w:val="0"/>
              <w:autoSpaceDN w:val="0"/>
              <w:bidi w:val="0"/>
              <w:adjustRightInd w:val="0"/>
              <w:snapToGrid w:val="0"/>
              <w:spacing w:line="260" w:lineRule="exact"/>
              <w:ind w:left="272"/>
              <w:jc w:val="left"/>
              <w:textAlignment w:val="baseline"/>
              <w:rPr>
                <w:rFonts w:hint="eastAsia" w:ascii="仿宋_GB2312" w:hAnsi="仿宋_GB2312" w:eastAsia="仿宋_GB2312" w:cs="仿宋_GB2312"/>
                <w:b w:val="0"/>
                <w:bCs w:val="0"/>
                <w:snapToGrid w:val="0"/>
                <w:color w:val="000000"/>
                <w:kern w:val="0"/>
                <w:sz w:val="21"/>
                <w:szCs w:val="21"/>
              </w:rPr>
            </w:pPr>
            <w:r>
              <w:rPr>
                <w:rFonts w:hint="eastAsia" w:ascii="仿宋_GB2312" w:hAnsi="仿宋_GB2312" w:eastAsia="仿宋_GB2312" w:cs="仿宋_GB2312"/>
                <w:b w:val="0"/>
                <w:bCs w:val="0"/>
                <w:snapToGrid w:val="0"/>
                <w:color w:val="000000"/>
                <w:kern w:val="0"/>
                <w:sz w:val="21"/>
                <w:szCs w:val="21"/>
                <w:lang w:val="en-US" w:eastAsia="zh-CN"/>
              </w:rPr>
              <w:t>1.《中华人民共和国招标投标法》第五十一条  招标人以不合理的条件限制或者排斥潜在投标人的，对潜在投标人实行歧视待遇的，强制要求投标人组成联合体共同投标的，或者限制投标人之间竞争的，责令改正，可以处一万元以上五万元以下的罚款。</w:t>
            </w:r>
            <w:r>
              <w:rPr>
                <w:rFonts w:hint="eastAsia" w:ascii="仿宋_GB2312" w:hAnsi="仿宋_GB2312" w:eastAsia="仿宋_GB2312" w:cs="仿宋_GB2312"/>
                <w:b w:val="0"/>
                <w:bCs w:val="0"/>
                <w:snapToGrid w:val="0"/>
                <w:color w:val="000000"/>
                <w:kern w:val="0"/>
                <w:sz w:val="21"/>
                <w:szCs w:val="21"/>
                <w:lang w:val="en-US" w:eastAsia="zh-CN"/>
              </w:rPr>
              <w:br w:type="textWrapping"/>
            </w:r>
            <w:r>
              <w:rPr>
                <w:rFonts w:hint="eastAsia" w:ascii="仿宋_GB2312" w:hAnsi="仿宋_GB2312" w:eastAsia="仿宋_GB2312" w:cs="仿宋_GB2312"/>
                <w:b w:val="0"/>
                <w:bCs w:val="0"/>
                <w:snapToGrid w:val="0"/>
                <w:color w:val="000000"/>
                <w:kern w:val="0"/>
                <w:sz w:val="21"/>
                <w:szCs w:val="21"/>
                <w:lang w:val="en-US" w:eastAsia="zh-CN"/>
              </w:rPr>
              <w:t>2.《中华人民共和国招标投标法实施条例》第六十三条第一款　招标人有下列限制或者排斥潜在投标人行为之一的，由有关行政监督部门依照招标投标法第五十一条的规定处罚：</w:t>
            </w:r>
            <w:r>
              <w:rPr>
                <w:rFonts w:hint="eastAsia" w:ascii="仿宋_GB2312" w:hAnsi="仿宋_GB2312" w:eastAsia="仿宋_GB2312" w:cs="仿宋_GB2312"/>
                <w:b w:val="0"/>
                <w:bCs w:val="0"/>
                <w:snapToGrid w:val="0"/>
                <w:color w:val="000000"/>
                <w:kern w:val="0"/>
                <w:sz w:val="21"/>
                <w:szCs w:val="21"/>
                <w:lang w:val="en-US" w:eastAsia="zh-CN"/>
              </w:rPr>
              <w:br w:type="textWrapping"/>
            </w:r>
            <w:r>
              <w:rPr>
                <w:rFonts w:hint="eastAsia" w:ascii="仿宋_GB2312" w:hAnsi="仿宋_GB2312" w:eastAsia="仿宋_GB2312" w:cs="仿宋_GB2312"/>
                <w:b w:val="0"/>
                <w:bCs w:val="0"/>
                <w:snapToGrid w:val="0"/>
                <w:color w:val="000000"/>
                <w:kern w:val="0"/>
                <w:sz w:val="21"/>
                <w:szCs w:val="21"/>
                <w:lang w:val="en-US" w:eastAsia="zh-CN"/>
              </w:rPr>
              <w:t>（一）依法应当公开招标的项目不按照规定在指定媒介发布资格预审公告或者招标公告；</w:t>
            </w:r>
            <w:r>
              <w:rPr>
                <w:rFonts w:hint="eastAsia" w:ascii="仿宋_GB2312" w:hAnsi="仿宋_GB2312" w:eastAsia="仿宋_GB2312" w:cs="仿宋_GB2312"/>
                <w:b w:val="0"/>
                <w:bCs w:val="0"/>
                <w:snapToGrid w:val="0"/>
                <w:color w:val="000000"/>
                <w:kern w:val="0"/>
                <w:sz w:val="21"/>
                <w:szCs w:val="21"/>
                <w:lang w:val="en-US" w:eastAsia="zh-CN"/>
              </w:rPr>
              <w:br w:type="textWrapping"/>
            </w:r>
            <w:r>
              <w:rPr>
                <w:rFonts w:hint="eastAsia" w:ascii="仿宋_GB2312" w:hAnsi="仿宋_GB2312" w:eastAsia="仿宋_GB2312" w:cs="仿宋_GB2312"/>
                <w:b w:val="0"/>
                <w:bCs w:val="0"/>
                <w:snapToGrid w:val="0"/>
                <w:color w:val="000000"/>
                <w:kern w:val="0"/>
                <w:sz w:val="21"/>
                <w:szCs w:val="21"/>
                <w:lang w:val="en-US" w:eastAsia="zh-CN"/>
              </w:rPr>
              <w:t>（二）在不同媒介发布的同一招标项目的资格预审公告或者招标公告的内容不一致，影响潜在投标人申请资格预审或者投标。</w:t>
            </w:r>
            <w:r>
              <w:rPr>
                <w:rFonts w:hint="eastAsia" w:ascii="仿宋_GB2312" w:hAnsi="仿宋_GB2312" w:eastAsia="仿宋_GB2312" w:cs="仿宋_GB2312"/>
                <w:b w:val="0"/>
                <w:bCs w:val="0"/>
                <w:snapToGrid w:val="0"/>
                <w:color w:val="000000"/>
                <w:kern w:val="0"/>
                <w:sz w:val="21"/>
                <w:szCs w:val="21"/>
                <w:lang w:val="en-US" w:eastAsia="zh-CN"/>
              </w:rPr>
              <w:br w:type="textWrapping"/>
            </w:r>
            <w:r>
              <w:rPr>
                <w:rFonts w:hint="eastAsia" w:ascii="仿宋_GB2312" w:hAnsi="仿宋_GB2312" w:eastAsia="仿宋_GB2312" w:cs="仿宋_GB2312"/>
                <w:b w:val="0"/>
                <w:bCs w:val="0"/>
                <w:snapToGrid w:val="0"/>
                <w:color w:val="000000"/>
                <w:kern w:val="0"/>
                <w:sz w:val="21"/>
                <w:szCs w:val="21"/>
                <w:lang w:val="en-US" w:eastAsia="zh-CN"/>
              </w:rPr>
              <w:t>3.《湖南省人民政府办公厅《关于建立健全招标投标监管长效机制规范招标投标活动的意见》（湘政办发〔2021〕77号）第(一)条  规定合理划分招标投标活动监管职责。各级发展改革部门负责指导和协调本行政区域内的招标投标工作，按照职责权限对工业项目(含能源)、代建单位招标投标实施监督。对没有行业主管部门或确实难以协调明确监管职责的项目，由发展改革部门实施监督和查处违法违规行为，避免出现管理空白和监督缺位。</w:t>
            </w:r>
          </w:p>
        </w:tc>
        <w:tc>
          <w:tcPr>
            <w:tcW w:w="817" w:type="dxa"/>
            <w:shd w:val="clear" w:color="auto" w:fill="FFFFFF"/>
            <w:noWrap/>
            <w:tcMar>
              <w:left w:w="108" w:type="dxa"/>
              <w:right w:w="108" w:type="dxa"/>
            </w:tcMar>
            <w:vAlign w:val="center"/>
          </w:tcPr>
          <w:p w14:paraId="321B65D1">
            <w:pPr>
              <w:pStyle w:val="7"/>
              <w:keepNext w:val="0"/>
              <w:keepLines w:val="0"/>
              <w:pageBreakBefore w:val="0"/>
              <w:widowControl/>
              <w:kinsoku w:val="0"/>
              <w:wordWrap/>
              <w:overflowPunct/>
              <w:topLinePunct w:val="0"/>
              <w:autoSpaceDE w:val="0"/>
              <w:autoSpaceDN w:val="0"/>
              <w:bidi w:val="0"/>
              <w:adjustRightInd w:val="0"/>
              <w:snapToGrid w:val="0"/>
              <w:spacing w:line="260" w:lineRule="exact"/>
              <w:ind w:left="272"/>
              <w:jc w:val="center"/>
              <w:textAlignment w:val="baseline"/>
              <w:rPr>
                <w:rFonts w:hint="eastAsia" w:ascii="仿宋_GB2312" w:hAnsi="仿宋_GB2312" w:eastAsia="仿宋_GB2312" w:cs="仿宋_GB2312"/>
                <w:b w:val="0"/>
                <w:bCs w:val="0"/>
                <w:snapToGrid w:val="0"/>
                <w:color w:val="000000"/>
                <w:kern w:val="0"/>
                <w:sz w:val="21"/>
                <w:szCs w:val="21"/>
              </w:rPr>
            </w:pPr>
          </w:p>
        </w:tc>
      </w:tr>
      <w:tr w14:paraId="735D19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144" w:hRule="atLeast"/>
        </w:trPr>
        <w:tc>
          <w:tcPr>
            <w:tcW w:w="745" w:type="dxa"/>
            <w:shd w:val="clear" w:color="auto" w:fill="FFFFFF"/>
            <w:tcMar>
              <w:left w:w="108" w:type="dxa"/>
              <w:right w:w="108" w:type="dxa"/>
            </w:tcMar>
            <w:vAlign w:val="center"/>
          </w:tcPr>
          <w:p w14:paraId="36E948D0">
            <w:pPr>
              <w:pStyle w:val="7"/>
              <w:keepNext w:val="0"/>
              <w:keepLines w:val="0"/>
              <w:pageBreakBefore w:val="0"/>
              <w:widowControl/>
              <w:kinsoku w:val="0"/>
              <w:wordWrap/>
              <w:overflowPunct/>
              <w:topLinePunct w:val="0"/>
              <w:autoSpaceDE w:val="0"/>
              <w:autoSpaceDN w:val="0"/>
              <w:bidi w:val="0"/>
              <w:adjustRightInd w:val="0"/>
              <w:snapToGrid w:val="0"/>
              <w:spacing w:line="260" w:lineRule="exact"/>
              <w:ind w:left="272"/>
              <w:jc w:val="center"/>
              <w:textAlignment w:val="baseline"/>
              <w:rPr>
                <w:rFonts w:hint="eastAsia" w:ascii="仿宋_GB2312" w:hAnsi="仿宋_GB2312" w:eastAsia="仿宋_GB2312" w:cs="仿宋_GB2312"/>
                <w:b w:val="0"/>
                <w:bCs w:val="0"/>
                <w:snapToGrid w:val="0"/>
                <w:color w:val="000000"/>
                <w:kern w:val="0"/>
                <w:sz w:val="21"/>
                <w:szCs w:val="21"/>
              </w:rPr>
            </w:pPr>
            <w:r>
              <w:rPr>
                <w:rFonts w:hint="eastAsia" w:ascii="仿宋_GB2312" w:hAnsi="仿宋_GB2312" w:eastAsia="仿宋_GB2312" w:cs="仿宋_GB2312"/>
                <w:b w:val="0"/>
                <w:bCs w:val="0"/>
                <w:snapToGrid w:val="0"/>
                <w:color w:val="000000"/>
                <w:kern w:val="0"/>
                <w:sz w:val="21"/>
                <w:szCs w:val="21"/>
                <w:lang w:val="en-US" w:eastAsia="zh-CN"/>
              </w:rPr>
              <w:t>3</w:t>
            </w:r>
          </w:p>
        </w:tc>
        <w:tc>
          <w:tcPr>
            <w:tcW w:w="1334" w:type="dxa"/>
            <w:shd w:val="clear" w:color="auto" w:fill="FFFFFF"/>
            <w:tcMar>
              <w:left w:w="108" w:type="dxa"/>
              <w:right w:w="108" w:type="dxa"/>
            </w:tcMar>
            <w:vAlign w:val="center"/>
          </w:tcPr>
          <w:p w14:paraId="059C8936">
            <w:pPr>
              <w:pStyle w:val="7"/>
              <w:keepNext w:val="0"/>
              <w:keepLines w:val="0"/>
              <w:pageBreakBefore w:val="0"/>
              <w:widowControl/>
              <w:kinsoku w:val="0"/>
              <w:wordWrap/>
              <w:overflowPunct/>
              <w:topLinePunct w:val="0"/>
              <w:autoSpaceDE w:val="0"/>
              <w:autoSpaceDN w:val="0"/>
              <w:bidi w:val="0"/>
              <w:adjustRightInd w:val="0"/>
              <w:snapToGrid w:val="0"/>
              <w:spacing w:line="260" w:lineRule="exact"/>
              <w:ind w:left="272"/>
              <w:jc w:val="center"/>
              <w:textAlignment w:val="baseline"/>
              <w:rPr>
                <w:rFonts w:hint="eastAsia" w:ascii="仿宋_GB2312" w:hAnsi="仿宋_GB2312" w:eastAsia="仿宋_GB2312" w:cs="仿宋_GB2312"/>
                <w:b w:val="0"/>
                <w:bCs w:val="0"/>
                <w:snapToGrid w:val="0"/>
                <w:color w:val="000000"/>
                <w:kern w:val="0"/>
                <w:sz w:val="21"/>
                <w:szCs w:val="21"/>
              </w:rPr>
            </w:pPr>
            <w:r>
              <w:rPr>
                <w:rFonts w:hint="eastAsia" w:ascii="仿宋_GB2312" w:hAnsi="仿宋_GB2312" w:eastAsia="仿宋_GB2312" w:cs="仿宋_GB2312"/>
                <w:b w:val="0"/>
                <w:bCs w:val="0"/>
                <w:snapToGrid w:val="0"/>
                <w:color w:val="000000"/>
                <w:kern w:val="0"/>
                <w:sz w:val="21"/>
                <w:szCs w:val="21"/>
                <w:lang w:val="en-US" w:eastAsia="zh-CN"/>
              </w:rPr>
              <w:t>对工业项目及按规定履行监管职责项目的招标人向他人透露已获取招标文件的潜在投标人的名称、数量或者可能影响公平竞争的有关招标投标的其他情况的，或者泄露标底的行政处罚</w:t>
            </w:r>
          </w:p>
        </w:tc>
        <w:tc>
          <w:tcPr>
            <w:tcW w:w="1085" w:type="dxa"/>
            <w:shd w:val="clear" w:color="auto" w:fill="FFFFFF"/>
            <w:tcMar>
              <w:left w:w="108" w:type="dxa"/>
              <w:right w:w="108" w:type="dxa"/>
            </w:tcMar>
            <w:vAlign w:val="center"/>
          </w:tcPr>
          <w:p w14:paraId="262003B5">
            <w:pPr>
              <w:pStyle w:val="7"/>
              <w:keepNext w:val="0"/>
              <w:keepLines w:val="0"/>
              <w:pageBreakBefore w:val="0"/>
              <w:widowControl/>
              <w:kinsoku w:val="0"/>
              <w:wordWrap/>
              <w:overflowPunct/>
              <w:topLinePunct w:val="0"/>
              <w:autoSpaceDE w:val="0"/>
              <w:autoSpaceDN w:val="0"/>
              <w:bidi w:val="0"/>
              <w:adjustRightInd w:val="0"/>
              <w:snapToGrid w:val="0"/>
              <w:spacing w:line="260" w:lineRule="exact"/>
              <w:ind w:left="272"/>
              <w:jc w:val="center"/>
              <w:textAlignment w:val="baseline"/>
              <w:rPr>
                <w:rFonts w:hint="eastAsia" w:ascii="仿宋_GB2312" w:hAnsi="仿宋_GB2312" w:eastAsia="仿宋_GB2312" w:cs="仿宋_GB2312"/>
                <w:b w:val="0"/>
                <w:bCs w:val="0"/>
                <w:snapToGrid w:val="0"/>
                <w:color w:val="000000"/>
                <w:kern w:val="0"/>
                <w:sz w:val="21"/>
                <w:szCs w:val="21"/>
              </w:rPr>
            </w:pPr>
            <w:r>
              <w:rPr>
                <w:rFonts w:hint="eastAsia" w:ascii="仿宋_GB2312" w:hAnsi="仿宋_GB2312" w:eastAsia="仿宋_GB2312" w:cs="仿宋_GB2312"/>
                <w:b w:val="0"/>
                <w:bCs w:val="0"/>
                <w:snapToGrid w:val="0"/>
                <w:color w:val="000000"/>
                <w:kern w:val="0"/>
                <w:sz w:val="21"/>
                <w:szCs w:val="21"/>
                <w:lang w:val="en-US" w:eastAsia="zh-CN"/>
              </w:rPr>
              <w:t>行政处罚</w:t>
            </w:r>
          </w:p>
        </w:tc>
        <w:tc>
          <w:tcPr>
            <w:tcW w:w="1179" w:type="dxa"/>
            <w:shd w:val="clear" w:color="auto" w:fill="FFFFFF"/>
            <w:tcMar>
              <w:left w:w="108" w:type="dxa"/>
              <w:right w:w="108" w:type="dxa"/>
            </w:tcMar>
            <w:vAlign w:val="center"/>
          </w:tcPr>
          <w:p w14:paraId="122A7A05">
            <w:pPr>
              <w:pStyle w:val="7"/>
              <w:keepNext w:val="0"/>
              <w:keepLines w:val="0"/>
              <w:pageBreakBefore w:val="0"/>
              <w:widowControl/>
              <w:kinsoku w:val="0"/>
              <w:wordWrap/>
              <w:overflowPunct/>
              <w:topLinePunct w:val="0"/>
              <w:autoSpaceDE w:val="0"/>
              <w:autoSpaceDN w:val="0"/>
              <w:bidi w:val="0"/>
              <w:adjustRightInd w:val="0"/>
              <w:snapToGrid w:val="0"/>
              <w:spacing w:line="260" w:lineRule="exact"/>
              <w:ind w:left="272" w:leftChars="0"/>
              <w:jc w:val="center"/>
              <w:textAlignment w:val="baseline"/>
              <w:rPr>
                <w:rFonts w:hint="eastAsia" w:ascii="仿宋_GB2312" w:hAnsi="仿宋_GB2312" w:eastAsia="仿宋_GB2312" w:cs="仿宋_GB2312"/>
                <w:b w:val="0"/>
                <w:bCs w:val="0"/>
                <w:snapToGrid w:val="0"/>
                <w:color w:val="000000"/>
                <w:kern w:val="0"/>
                <w:sz w:val="21"/>
                <w:szCs w:val="21"/>
              </w:rPr>
            </w:pPr>
            <w:r>
              <w:rPr>
                <w:rFonts w:hint="eastAsia" w:ascii="仿宋_GB2312" w:hAnsi="仿宋_GB2312" w:eastAsia="仿宋_GB2312" w:cs="仿宋_GB2312"/>
                <w:b w:val="0"/>
                <w:bCs w:val="0"/>
                <w:snapToGrid w:val="0"/>
                <w:color w:val="000000"/>
                <w:kern w:val="0"/>
                <w:sz w:val="21"/>
                <w:szCs w:val="21"/>
                <w:lang w:val="en-US" w:eastAsia="zh-CN"/>
              </w:rPr>
              <w:t>零陵区发改局</w:t>
            </w:r>
          </w:p>
        </w:tc>
        <w:tc>
          <w:tcPr>
            <w:tcW w:w="1444" w:type="dxa"/>
            <w:shd w:val="clear" w:color="auto" w:fill="FFFFFF"/>
            <w:tcMar>
              <w:left w:w="108" w:type="dxa"/>
              <w:right w:w="108" w:type="dxa"/>
            </w:tcMar>
            <w:vAlign w:val="center"/>
          </w:tcPr>
          <w:p w14:paraId="3970A046">
            <w:pPr>
              <w:pStyle w:val="7"/>
              <w:keepNext w:val="0"/>
              <w:keepLines w:val="0"/>
              <w:pageBreakBefore w:val="0"/>
              <w:widowControl/>
              <w:kinsoku w:val="0"/>
              <w:wordWrap/>
              <w:overflowPunct/>
              <w:topLinePunct w:val="0"/>
              <w:autoSpaceDE w:val="0"/>
              <w:autoSpaceDN w:val="0"/>
              <w:bidi w:val="0"/>
              <w:adjustRightInd w:val="0"/>
              <w:snapToGrid w:val="0"/>
              <w:spacing w:line="260" w:lineRule="exact"/>
              <w:ind w:left="272" w:leftChars="0"/>
              <w:jc w:val="center"/>
              <w:textAlignment w:val="baseline"/>
              <w:rPr>
                <w:rFonts w:hint="eastAsia" w:ascii="仿宋_GB2312" w:hAnsi="仿宋_GB2312" w:eastAsia="仿宋_GB2312" w:cs="仿宋_GB2312"/>
                <w:b w:val="0"/>
                <w:bCs w:val="0"/>
                <w:snapToGrid w:val="0"/>
                <w:color w:val="000000"/>
                <w:kern w:val="0"/>
                <w:sz w:val="21"/>
                <w:szCs w:val="21"/>
              </w:rPr>
            </w:pPr>
            <w:r>
              <w:rPr>
                <w:rFonts w:hint="eastAsia" w:ascii="仿宋_GB2312" w:hAnsi="仿宋_GB2312" w:eastAsia="仿宋_GB2312" w:cs="仿宋_GB2312"/>
                <w:b w:val="0"/>
                <w:bCs w:val="0"/>
                <w:snapToGrid w:val="0"/>
                <w:color w:val="000000"/>
                <w:kern w:val="0"/>
                <w:sz w:val="21"/>
                <w:szCs w:val="21"/>
                <w:lang w:val="en-US" w:eastAsia="zh-CN"/>
              </w:rPr>
              <w:t>法规股</w:t>
            </w:r>
          </w:p>
        </w:tc>
        <w:tc>
          <w:tcPr>
            <w:tcW w:w="8616" w:type="dxa"/>
            <w:shd w:val="clear" w:color="auto" w:fill="FFFFFF"/>
            <w:tcMar>
              <w:left w:w="108" w:type="dxa"/>
              <w:right w:w="108" w:type="dxa"/>
            </w:tcMar>
            <w:vAlign w:val="center"/>
          </w:tcPr>
          <w:p w14:paraId="732BE8DA">
            <w:pPr>
              <w:pStyle w:val="7"/>
              <w:keepNext w:val="0"/>
              <w:keepLines w:val="0"/>
              <w:pageBreakBefore w:val="0"/>
              <w:widowControl/>
              <w:kinsoku w:val="0"/>
              <w:wordWrap/>
              <w:overflowPunct/>
              <w:topLinePunct w:val="0"/>
              <w:autoSpaceDE w:val="0"/>
              <w:autoSpaceDN w:val="0"/>
              <w:bidi w:val="0"/>
              <w:adjustRightInd w:val="0"/>
              <w:snapToGrid w:val="0"/>
              <w:spacing w:line="260" w:lineRule="exact"/>
              <w:ind w:left="272"/>
              <w:jc w:val="left"/>
              <w:textAlignment w:val="baseline"/>
              <w:rPr>
                <w:rFonts w:hint="eastAsia" w:ascii="仿宋_GB2312" w:hAnsi="仿宋_GB2312" w:eastAsia="仿宋_GB2312" w:cs="仿宋_GB2312"/>
                <w:b w:val="0"/>
                <w:bCs w:val="0"/>
                <w:snapToGrid w:val="0"/>
                <w:color w:val="000000"/>
                <w:kern w:val="0"/>
                <w:sz w:val="21"/>
                <w:szCs w:val="21"/>
              </w:rPr>
            </w:pPr>
            <w:r>
              <w:rPr>
                <w:rFonts w:hint="eastAsia" w:ascii="仿宋_GB2312" w:hAnsi="仿宋_GB2312" w:eastAsia="仿宋_GB2312" w:cs="仿宋_GB2312"/>
                <w:b w:val="0"/>
                <w:bCs w:val="0"/>
                <w:snapToGrid w:val="0"/>
                <w:color w:val="000000"/>
                <w:kern w:val="0"/>
                <w:sz w:val="21"/>
                <w:szCs w:val="21"/>
                <w:lang w:val="en-US" w:eastAsia="zh-CN"/>
              </w:rPr>
              <w:t>1.《中华人民共和国招标投标法》第五十二条  依法必须进行招标的项目的招标人向他人透露已获取招标文件的潜在投标人的名称、数量或者可能影响公平竞争的有关招标投标的其他情况的，或者泄露标底的，给予警告，可以并处一万元以上十万元以下的罚款；对单位直接负责的主管人员和其他直接责任人员依法给予处分；构成犯罪的，依法追究刑事责任。</w:t>
            </w:r>
            <w:r>
              <w:rPr>
                <w:rFonts w:hint="eastAsia" w:ascii="仿宋_GB2312" w:hAnsi="仿宋_GB2312" w:eastAsia="仿宋_GB2312" w:cs="仿宋_GB2312"/>
                <w:b w:val="0"/>
                <w:bCs w:val="0"/>
                <w:snapToGrid w:val="0"/>
                <w:color w:val="000000"/>
                <w:kern w:val="0"/>
                <w:sz w:val="21"/>
                <w:szCs w:val="21"/>
                <w:lang w:val="en-US" w:eastAsia="zh-CN"/>
              </w:rPr>
              <w:br w:type="textWrapping"/>
            </w:r>
            <w:r>
              <w:rPr>
                <w:rFonts w:hint="eastAsia" w:ascii="仿宋_GB2312" w:hAnsi="仿宋_GB2312" w:eastAsia="仿宋_GB2312" w:cs="仿宋_GB2312"/>
                <w:b w:val="0"/>
                <w:bCs w:val="0"/>
                <w:snapToGrid w:val="0"/>
                <w:color w:val="000000"/>
                <w:kern w:val="0"/>
                <w:sz w:val="21"/>
                <w:szCs w:val="21"/>
                <w:lang w:val="en-US" w:eastAsia="zh-CN"/>
              </w:rPr>
              <w:t>前款所列行为影响中标结果的，中标无效。</w:t>
            </w:r>
            <w:r>
              <w:rPr>
                <w:rFonts w:hint="eastAsia" w:ascii="仿宋_GB2312" w:hAnsi="仿宋_GB2312" w:eastAsia="仿宋_GB2312" w:cs="仿宋_GB2312"/>
                <w:b w:val="0"/>
                <w:bCs w:val="0"/>
                <w:snapToGrid w:val="0"/>
                <w:color w:val="000000"/>
                <w:kern w:val="0"/>
                <w:sz w:val="21"/>
                <w:szCs w:val="21"/>
                <w:lang w:val="en-US" w:eastAsia="zh-CN"/>
              </w:rPr>
              <w:br w:type="textWrapping"/>
            </w:r>
            <w:r>
              <w:rPr>
                <w:rFonts w:hint="eastAsia" w:ascii="仿宋_GB2312" w:hAnsi="仿宋_GB2312" w:eastAsia="仿宋_GB2312" w:cs="仿宋_GB2312"/>
                <w:b w:val="0"/>
                <w:bCs w:val="0"/>
                <w:snapToGrid w:val="0"/>
                <w:color w:val="000000"/>
                <w:kern w:val="0"/>
                <w:sz w:val="21"/>
                <w:szCs w:val="21"/>
                <w:lang w:val="en-US" w:eastAsia="zh-CN"/>
              </w:rPr>
              <w:t>2.《湖南省实施&lt;中华人民共和国招标投标法&gt;办法》第四十六条　违反本办法规定，有必须招标的项目不招标、泄露标底、串通投标、评标委员会成员收受贿赂、中标人将中标项目转让给他人等违法行为的，依照《中华人民共和国招标投标法》的有关规定处理。</w:t>
            </w:r>
            <w:r>
              <w:rPr>
                <w:rFonts w:hint="eastAsia" w:ascii="仿宋_GB2312" w:hAnsi="仿宋_GB2312" w:eastAsia="仿宋_GB2312" w:cs="仿宋_GB2312"/>
                <w:b w:val="0"/>
                <w:bCs w:val="0"/>
                <w:snapToGrid w:val="0"/>
                <w:color w:val="000000"/>
                <w:kern w:val="0"/>
                <w:sz w:val="21"/>
                <w:szCs w:val="21"/>
                <w:lang w:val="en-US" w:eastAsia="zh-CN"/>
              </w:rPr>
              <w:br w:type="textWrapping"/>
            </w:r>
            <w:r>
              <w:rPr>
                <w:rFonts w:hint="eastAsia" w:ascii="仿宋_GB2312" w:hAnsi="仿宋_GB2312" w:eastAsia="仿宋_GB2312" w:cs="仿宋_GB2312"/>
                <w:b w:val="0"/>
                <w:bCs w:val="0"/>
                <w:snapToGrid w:val="0"/>
                <w:color w:val="000000"/>
                <w:kern w:val="0"/>
                <w:sz w:val="21"/>
                <w:szCs w:val="21"/>
                <w:lang w:val="en-US" w:eastAsia="zh-CN"/>
              </w:rPr>
              <w:t>3.《湖南省人民政府办公厅《关于建立健全招标投标监管长效机制规范招标投标活动的意见》（湘政办发〔2021〕77号）第(一)条  规定合理划分招标投标活动监管职责。各级发展改革部门负责指导和协调本行政区域内的招标投标工作，按照职责权限对工业项目(含能源)、代建单位招标投标实施监督。对没有行业主管部门或确实难以协调明确监管职责的项目，由发展改革部门实施监督和查处违法违规行为，避免出现管理空白和监督缺位。</w:t>
            </w:r>
          </w:p>
        </w:tc>
        <w:tc>
          <w:tcPr>
            <w:tcW w:w="817" w:type="dxa"/>
            <w:shd w:val="clear" w:color="auto" w:fill="FFFFFF"/>
            <w:noWrap/>
            <w:tcMar>
              <w:left w:w="108" w:type="dxa"/>
              <w:right w:w="108" w:type="dxa"/>
            </w:tcMar>
            <w:vAlign w:val="center"/>
          </w:tcPr>
          <w:p w14:paraId="67B81B08">
            <w:pPr>
              <w:pStyle w:val="7"/>
              <w:keepNext w:val="0"/>
              <w:keepLines w:val="0"/>
              <w:pageBreakBefore w:val="0"/>
              <w:widowControl/>
              <w:kinsoku w:val="0"/>
              <w:wordWrap/>
              <w:overflowPunct/>
              <w:topLinePunct w:val="0"/>
              <w:autoSpaceDE w:val="0"/>
              <w:autoSpaceDN w:val="0"/>
              <w:bidi w:val="0"/>
              <w:adjustRightInd w:val="0"/>
              <w:snapToGrid w:val="0"/>
              <w:spacing w:line="260" w:lineRule="exact"/>
              <w:ind w:left="272"/>
              <w:jc w:val="center"/>
              <w:textAlignment w:val="baseline"/>
              <w:rPr>
                <w:rFonts w:hint="eastAsia" w:ascii="仿宋_GB2312" w:hAnsi="仿宋_GB2312" w:eastAsia="仿宋_GB2312" w:cs="仿宋_GB2312"/>
                <w:b w:val="0"/>
                <w:bCs w:val="0"/>
                <w:snapToGrid w:val="0"/>
                <w:color w:val="000000"/>
                <w:kern w:val="0"/>
                <w:sz w:val="21"/>
                <w:szCs w:val="21"/>
              </w:rPr>
            </w:pPr>
          </w:p>
        </w:tc>
      </w:tr>
      <w:tr w14:paraId="1638EA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286" w:hRule="atLeast"/>
        </w:trPr>
        <w:tc>
          <w:tcPr>
            <w:tcW w:w="745" w:type="dxa"/>
            <w:shd w:val="clear" w:color="auto" w:fill="FFFFFF"/>
            <w:tcMar>
              <w:left w:w="108" w:type="dxa"/>
              <w:right w:w="108" w:type="dxa"/>
            </w:tcMar>
            <w:vAlign w:val="center"/>
          </w:tcPr>
          <w:p w14:paraId="22CE3AA2">
            <w:pPr>
              <w:pStyle w:val="7"/>
              <w:keepNext w:val="0"/>
              <w:keepLines w:val="0"/>
              <w:pageBreakBefore w:val="0"/>
              <w:widowControl/>
              <w:kinsoku w:val="0"/>
              <w:wordWrap/>
              <w:overflowPunct/>
              <w:topLinePunct w:val="0"/>
              <w:autoSpaceDE w:val="0"/>
              <w:autoSpaceDN w:val="0"/>
              <w:bidi w:val="0"/>
              <w:adjustRightInd w:val="0"/>
              <w:snapToGrid w:val="0"/>
              <w:spacing w:line="260" w:lineRule="exact"/>
              <w:ind w:left="272"/>
              <w:jc w:val="center"/>
              <w:textAlignment w:val="baseline"/>
              <w:rPr>
                <w:rFonts w:hint="eastAsia" w:ascii="仿宋_GB2312" w:hAnsi="仿宋_GB2312" w:eastAsia="仿宋_GB2312" w:cs="仿宋_GB2312"/>
                <w:b w:val="0"/>
                <w:bCs w:val="0"/>
                <w:snapToGrid w:val="0"/>
                <w:color w:val="000000"/>
                <w:kern w:val="0"/>
                <w:sz w:val="21"/>
                <w:szCs w:val="21"/>
              </w:rPr>
            </w:pPr>
            <w:r>
              <w:rPr>
                <w:rFonts w:hint="eastAsia" w:ascii="仿宋_GB2312" w:hAnsi="仿宋_GB2312" w:eastAsia="仿宋_GB2312" w:cs="仿宋_GB2312"/>
                <w:b w:val="0"/>
                <w:bCs w:val="0"/>
                <w:snapToGrid w:val="0"/>
                <w:color w:val="000000"/>
                <w:kern w:val="0"/>
                <w:sz w:val="21"/>
                <w:szCs w:val="21"/>
                <w:lang w:val="en-US" w:eastAsia="zh-CN"/>
              </w:rPr>
              <w:t>4</w:t>
            </w:r>
          </w:p>
        </w:tc>
        <w:tc>
          <w:tcPr>
            <w:tcW w:w="1334" w:type="dxa"/>
            <w:shd w:val="clear" w:color="auto" w:fill="FFFFFF"/>
            <w:tcMar>
              <w:left w:w="108" w:type="dxa"/>
              <w:right w:w="108" w:type="dxa"/>
            </w:tcMar>
            <w:vAlign w:val="center"/>
          </w:tcPr>
          <w:p w14:paraId="39AD081F">
            <w:pPr>
              <w:pStyle w:val="7"/>
              <w:keepNext w:val="0"/>
              <w:keepLines w:val="0"/>
              <w:pageBreakBefore w:val="0"/>
              <w:widowControl/>
              <w:kinsoku w:val="0"/>
              <w:wordWrap/>
              <w:overflowPunct/>
              <w:topLinePunct w:val="0"/>
              <w:autoSpaceDE w:val="0"/>
              <w:autoSpaceDN w:val="0"/>
              <w:bidi w:val="0"/>
              <w:adjustRightInd w:val="0"/>
              <w:snapToGrid w:val="0"/>
              <w:spacing w:line="260" w:lineRule="exact"/>
              <w:ind w:left="272"/>
              <w:jc w:val="center"/>
              <w:textAlignment w:val="baseline"/>
              <w:rPr>
                <w:rFonts w:hint="eastAsia" w:ascii="仿宋_GB2312" w:hAnsi="仿宋_GB2312" w:eastAsia="仿宋_GB2312" w:cs="仿宋_GB2312"/>
                <w:b w:val="0"/>
                <w:bCs w:val="0"/>
                <w:snapToGrid w:val="0"/>
                <w:color w:val="000000"/>
                <w:kern w:val="0"/>
                <w:sz w:val="21"/>
                <w:szCs w:val="21"/>
              </w:rPr>
            </w:pPr>
            <w:r>
              <w:rPr>
                <w:rFonts w:hint="eastAsia" w:ascii="仿宋_GB2312" w:hAnsi="仿宋_GB2312" w:eastAsia="仿宋_GB2312" w:cs="仿宋_GB2312"/>
                <w:b w:val="0"/>
                <w:bCs w:val="0"/>
                <w:snapToGrid w:val="0"/>
                <w:color w:val="000000"/>
                <w:kern w:val="0"/>
                <w:sz w:val="21"/>
                <w:szCs w:val="21"/>
                <w:lang w:val="en-US" w:eastAsia="zh-CN"/>
              </w:rPr>
              <w:t>对工业项目及按规定履行监管职责项目的投标人相互串通投标或者与招标人串通投标的，投标人以向招标人或者评标委员会成员行贿的手段谋取中标的行政处罚</w:t>
            </w:r>
          </w:p>
        </w:tc>
        <w:tc>
          <w:tcPr>
            <w:tcW w:w="1085" w:type="dxa"/>
            <w:shd w:val="clear" w:color="auto" w:fill="FFFFFF"/>
            <w:tcMar>
              <w:left w:w="108" w:type="dxa"/>
              <w:right w:w="108" w:type="dxa"/>
            </w:tcMar>
            <w:vAlign w:val="center"/>
          </w:tcPr>
          <w:p w14:paraId="106D18FD">
            <w:pPr>
              <w:pStyle w:val="7"/>
              <w:keepNext w:val="0"/>
              <w:keepLines w:val="0"/>
              <w:pageBreakBefore w:val="0"/>
              <w:widowControl/>
              <w:kinsoku w:val="0"/>
              <w:wordWrap/>
              <w:overflowPunct/>
              <w:topLinePunct w:val="0"/>
              <w:autoSpaceDE w:val="0"/>
              <w:autoSpaceDN w:val="0"/>
              <w:bidi w:val="0"/>
              <w:adjustRightInd w:val="0"/>
              <w:snapToGrid w:val="0"/>
              <w:spacing w:line="260" w:lineRule="exact"/>
              <w:ind w:left="272"/>
              <w:jc w:val="center"/>
              <w:textAlignment w:val="baseline"/>
              <w:rPr>
                <w:rFonts w:hint="eastAsia" w:ascii="仿宋_GB2312" w:hAnsi="仿宋_GB2312" w:eastAsia="仿宋_GB2312" w:cs="仿宋_GB2312"/>
                <w:b w:val="0"/>
                <w:bCs w:val="0"/>
                <w:snapToGrid w:val="0"/>
                <w:color w:val="000000"/>
                <w:kern w:val="0"/>
                <w:sz w:val="21"/>
                <w:szCs w:val="21"/>
              </w:rPr>
            </w:pPr>
            <w:r>
              <w:rPr>
                <w:rFonts w:hint="eastAsia" w:ascii="仿宋_GB2312" w:hAnsi="仿宋_GB2312" w:eastAsia="仿宋_GB2312" w:cs="仿宋_GB2312"/>
                <w:b w:val="0"/>
                <w:bCs w:val="0"/>
                <w:snapToGrid w:val="0"/>
                <w:color w:val="000000"/>
                <w:kern w:val="0"/>
                <w:sz w:val="21"/>
                <w:szCs w:val="21"/>
                <w:lang w:val="en-US" w:eastAsia="zh-CN"/>
              </w:rPr>
              <w:t>行政处罚</w:t>
            </w:r>
          </w:p>
        </w:tc>
        <w:tc>
          <w:tcPr>
            <w:tcW w:w="1179" w:type="dxa"/>
            <w:shd w:val="clear" w:color="auto" w:fill="FFFFFF"/>
            <w:tcMar>
              <w:left w:w="108" w:type="dxa"/>
              <w:right w:w="108" w:type="dxa"/>
            </w:tcMar>
            <w:vAlign w:val="center"/>
          </w:tcPr>
          <w:p w14:paraId="2809D193">
            <w:pPr>
              <w:pStyle w:val="7"/>
              <w:keepNext w:val="0"/>
              <w:keepLines w:val="0"/>
              <w:pageBreakBefore w:val="0"/>
              <w:widowControl/>
              <w:kinsoku w:val="0"/>
              <w:wordWrap/>
              <w:overflowPunct/>
              <w:topLinePunct w:val="0"/>
              <w:autoSpaceDE w:val="0"/>
              <w:autoSpaceDN w:val="0"/>
              <w:bidi w:val="0"/>
              <w:adjustRightInd w:val="0"/>
              <w:snapToGrid w:val="0"/>
              <w:spacing w:line="260" w:lineRule="exact"/>
              <w:ind w:left="272" w:leftChars="0"/>
              <w:jc w:val="center"/>
              <w:textAlignment w:val="baseline"/>
              <w:rPr>
                <w:rFonts w:hint="eastAsia" w:ascii="仿宋_GB2312" w:hAnsi="仿宋_GB2312" w:eastAsia="仿宋_GB2312" w:cs="仿宋_GB2312"/>
                <w:b w:val="0"/>
                <w:bCs w:val="0"/>
                <w:snapToGrid w:val="0"/>
                <w:color w:val="000000"/>
                <w:kern w:val="0"/>
                <w:sz w:val="21"/>
                <w:szCs w:val="21"/>
              </w:rPr>
            </w:pPr>
            <w:r>
              <w:rPr>
                <w:rFonts w:hint="eastAsia" w:ascii="仿宋_GB2312" w:hAnsi="仿宋_GB2312" w:eastAsia="仿宋_GB2312" w:cs="仿宋_GB2312"/>
                <w:b w:val="0"/>
                <w:bCs w:val="0"/>
                <w:snapToGrid w:val="0"/>
                <w:color w:val="000000"/>
                <w:kern w:val="0"/>
                <w:sz w:val="21"/>
                <w:szCs w:val="21"/>
                <w:lang w:val="en-US" w:eastAsia="zh-CN"/>
              </w:rPr>
              <w:t>零陵区发改局</w:t>
            </w:r>
          </w:p>
        </w:tc>
        <w:tc>
          <w:tcPr>
            <w:tcW w:w="1444" w:type="dxa"/>
            <w:shd w:val="clear" w:color="auto" w:fill="FFFFFF"/>
            <w:tcMar>
              <w:left w:w="108" w:type="dxa"/>
              <w:right w:w="108" w:type="dxa"/>
            </w:tcMar>
            <w:vAlign w:val="center"/>
          </w:tcPr>
          <w:p w14:paraId="1BDD2588">
            <w:pPr>
              <w:pStyle w:val="7"/>
              <w:keepNext w:val="0"/>
              <w:keepLines w:val="0"/>
              <w:pageBreakBefore w:val="0"/>
              <w:widowControl/>
              <w:kinsoku w:val="0"/>
              <w:wordWrap/>
              <w:overflowPunct/>
              <w:topLinePunct w:val="0"/>
              <w:autoSpaceDE w:val="0"/>
              <w:autoSpaceDN w:val="0"/>
              <w:bidi w:val="0"/>
              <w:adjustRightInd w:val="0"/>
              <w:snapToGrid w:val="0"/>
              <w:spacing w:line="260" w:lineRule="exact"/>
              <w:ind w:left="272" w:leftChars="0"/>
              <w:jc w:val="center"/>
              <w:textAlignment w:val="baseline"/>
              <w:rPr>
                <w:rFonts w:hint="eastAsia" w:ascii="仿宋_GB2312" w:hAnsi="仿宋_GB2312" w:eastAsia="仿宋_GB2312" w:cs="仿宋_GB2312"/>
                <w:b w:val="0"/>
                <w:bCs w:val="0"/>
                <w:snapToGrid w:val="0"/>
                <w:color w:val="000000"/>
                <w:kern w:val="0"/>
                <w:sz w:val="21"/>
                <w:szCs w:val="21"/>
              </w:rPr>
            </w:pPr>
            <w:r>
              <w:rPr>
                <w:rFonts w:hint="eastAsia" w:ascii="仿宋_GB2312" w:hAnsi="仿宋_GB2312" w:eastAsia="仿宋_GB2312" w:cs="仿宋_GB2312"/>
                <w:b w:val="0"/>
                <w:bCs w:val="0"/>
                <w:snapToGrid w:val="0"/>
                <w:color w:val="000000"/>
                <w:kern w:val="0"/>
                <w:sz w:val="21"/>
                <w:szCs w:val="21"/>
                <w:lang w:val="en-US" w:eastAsia="zh-CN"/>
              </w:rPr>
              <w:t>法规股</w:t>
            </w:r>
          </w:p>
        </w:tc>
        <w:tc>
          <w:tcPr>
            <w:tcW w:w="8616" w:type="dxa"/>
            <w:shd w:val="clear" w:color="auto" w:fill="FFFFFF"/>
            <w:tcMar>
              <w:left w:w="108" w:type="dxa"/>
              <w:right w:w="108" w:type="dxa"/>
            </w:tcMar>
            <w:vAlign w:val="center"/>
          </w:tcPr>
          <w:p w14:paraId="1E40FE34">
            <w:pPr>
              <w:pStyle w:val="7"/>
              <w:keepNext w:val="0"/>
              <w:keepLines w:val="0"/>
              <w:pageBreakBefore w:val="0"/>
              <w:widowControl/>
              <w:kinsoku w:val="0"/>
              <w:wordWrap/>
              <w:overflowPunct/>
              <w:topLinePunct w:val="0"/>
              <w:autoSpaceDE w:val="0"/>
              <w:autoSpaceDN w:val="0"/>
              <w:bidi w:val="0"/>
              <w:adjustRightInd w:val="0"/>
              <w:snapToGrid w:val="0"/>
              <w:spacing w:line="260" w:lineRule="exact"/>
              <w:ind w:left="272"/>
              <w:jc w:val="left"/>
              <w:textAlignment w:val="baseline"/>
              <w:rPr>
                <w:rFonts w:hint="eastAsia" w:ascii="仿宋_GB2312" w:hAnsi="仿宋_GB2312" w:eastAsia="仿宋_GB2312" w:cs="仿宋_GB2312"/>
                <w:b w:val="0"/>
                <w:bCs w:val="0"/>
                <w:snapToGrid w:val="0"/>
                <w:color w:val="000000"/>
                <w:kern w:val="0"/>
                <w:sz w:val="21"/>
                <w:szCs w:val="21"/>
              </w:rPr>
            </w:pPr>
            <w:r>
              <w:rPr>
                <w:rFonts w:hint="eastAsia" w:ascii="仿宋_GB2312" w:hAnsi="仿宋_GB2312" w:eastAsia="仿宋_GB2312" w:cs="仿宋_GB2312"/>
                <w:b w:val="0"/>
                <w:bCs w:val="0"/>
                <w:snapToGrid w:val="0"/>
                <w:color w:val="000000"/>
                <w:kern w:val="0"/>
                <w:sz w:val="21"/>
                <w:szCs w:val="21"/>
                <w:lang w:val="en-US" w:eastAsia="zh-CN"/>
              </w:rPr>
              <w:t>1.《中华人民共和国招标投标法》第五十三条  投标人相互串通投标或者与招标人串通投标的，投标人以向招标人或者评标委员会成员行贿的手段谋取中标的，中标无效，处中标项目金额千分之五以上千分之十以下的罚款，对单位直接负责的主管人员和其他直接责任人员处单位罚款数额百分之五以上百分之十以下的罚款；有违法所得的，并处没收违法所得；情节严重的，取消其一年至二年内参加依法必须进行招标的项目的投标资格并予以公告，直至由工商行政管理机关吊销营业执照；构成犯罪的，依法追究刑事责任。给他人造成损失的，依法承担赔偿责任。</w:t>
            </w:r>
            <w:r>
              <w:rPr>
                <w:rFonts w:hint="eastAsia" w:ascii="仿宋_GB2312" w:hAnsi="仿宋_GB2312" w:eastAsia="仿宋_GB2312" w:cs="仿宋_GB2312"/>
                <w:b w:val="0"/>
                <w:bCs w:val="0"/>
                <w:snapToGrid w:val="0"/>
                <w:color w:val="000000"/>
                <w:kern w:val="0"/>
                <w:sz w:val="21"/>
                <w:szCs w:val="21"/>
                <w:lang w:val="en-US" w:eastAsia="zh-CN"/>
              </w:rPr>
              <w:br w:type="textWrapping"/>
            </w:r>
            <w:r>
              <w:rPr>
                <w:rFonts w:hint="eastAsia" w:ascii="仿宋_GB2312" w:hAnsi="仿宋_GB2312" w:eastAsia="仿宋_GB2312" w:cs="仿宋_GB2312"/>
                <w:b w:val="0"/>
                <w:bCs w:val="0"/>
                <w:snapToGrid w:val="0"/>
                <w:color w:val="000000"/>
                <w:kern w:val="0"/>
                <w:sz w:val="21"/>
                <w:szCs w:val="21"/>
                <w:lang w:val="en-US" w:eastAsia="zh-CN"/>
              </w:rPr>
              <w:t>2.《中华人民共和国招标投标法实施条例》第六十七条  投标人相互串通投标或者与招标人串通投标的，投标人向招标人或者评标委员会成员行贿谋取中标的，中标无效；构成犯罪的，依法追究刑事责任；尚不构成犯罪的，依照招标投标法第五十三条的规定处罚。投标人未中标的，对单位的罚款金额按照招标项目合同金额依照招标投标法规定的比例计算。</w:t>
            </w:r>
            <w:r>
              <w:rPr>
                <w:rFonts w:hint="eastAsia" w:ascii="仿宋_GB2312" w:hAnsi="仿宋_GB2312" w:eastAsia="仿宋_GB2312" w:cs="仿宋_GB2312"/>
                <w:b w:val="0"/>
                <w:bCs w:val="0"/>
                <w:snapToGrid w:val="0"/>
                <w:color w:val="000000"/>
                <w:kern w:val="0"/>
                <w:sz w:val="21"/>
                <w:szCs w:val="21"/>
                <w:lang w:val="en-US" w:eastAsia="zh-CN"/>
              </w:rPr>
              <w:br w:type="textWrapping"/>
            </w:r>
            <w:r>
              <w:rPr>
                <w:rFonts w:hint="eastAsia" w:ascii="仿宋_GB2312" w:hAnsi="仿宋_GB2312" w:eastAsia="仿宋_GB2312" w:cs="仿宋_GB2312"/>
                <w:b w:val="0"/>
                <w:bCs w:val="0"/>
                <w:snapToGrid w:val="0"/>
                <w:color w:val="000000"/>
                <w:kern w:val="0"/>
                <w:sz w:val="21"/>
                <w:szCs w:val="21"/>
                <w:lang w:val="en-US" w:eastAsia="zh-CN"/>
              </w:rPr>
              <w:t>投标人有下列行为之一的，属于招标投标法第五十三条规定的情节严重行为，由有关行政监督部门取消其1年至2年内参加依法必须进行招标的项目的投标资格：</w:t>
            </w:r>
            <w:r>
              <w:rPr>
                <w:rFonts w:hint="eastAsia" w:ascii="仿宋_GB2312" w:hAnsi="仿宋_GB2312" w:eastAsia="仿宋_GB2312" w:cs="仿宋_GB2312"/>
                <w:b w:val="0"/>
                <w:bCs w:val="0"/>
                <w:snapToGrid w:val="0"/>
                <w:color w:val="000000"/>
                <w:kern w:val="0"/>
                <w:sz w:val="21"/>
                <w:szCs w:val="21"/>
                <w:lang w:val="en-US" w:eastAsia="zh-CN"/>
              </w:rPr>
              <w:br w:type="textWrapping"/>
            </w:r>
            <w:r>
              <w:rPr>
                <w:rFonts w:hint="eastAsia" w:ascii="仿宋_GB2312" w:hAnsi="仿宋_GB2312" w:eastAsia="仿宋_GB2312" w:cs="仿宋_GB2312"/>
                <w:b w:val="0"/>
                <w:bCs w:val="0"/>
                <w:snapToGrid w:val="0"/>
                <w:color w:val="000000"/>
                <w:kern w:val="0"/>
                <w:sz w:val="21"/>
                <w:szCs w:val="21"/>
                <w:lang w:val="en-US" w:eastAsia="zh-CN"/>
              </w:rPr>
              <w:t>（一）以行贿谋取中标；</w:t>
            </w:r>
            <w:r>
              <w:rPr>
                <w:rFonts w:hint="eastAsia" w:ascii="仿宋_GB2312" w:hAnsi="仿宋_GB2312" w:eastAsia="仿宋_GB2312" w:cs="仿宋_GB2312"/>
                <w:b w:val="0"/>
                <w:bCs w:val="0"/>
                <w:snapToGrid w:val="0"/>
                <w:color w:val="000000"/>
                <w:kern w:val="0"/>
                <w:sz w:val="21"/>
                <w:szCs w:val="21"/>
                <w:lang w:val="en-US" w:eastAsia="zh-CN"/>
              </w:rPr>
              <w:br w:type="textWrapping"/>
            </w:r>
            <w:r>
              <w:rPr>
                <w:rFonts w:hint="eastAsia" w:ascii="仿宋_GB2312" w:hAnsi="仿宋_GB2312" w:eastAsia="仿宋_GB2312" w:cs="仿宋_GB2312"/>
                <w:b w:val="0"/>
                <w:bCs w:val="0"/>
                <w:snapToGrid w:val="0"/>
                <w:color w:val="000000"/>
                <w:kern w:val="0"/>
                <w:sz w:val="21"/>
                <w:szCs w:val="21"/>
                <w:lang w:val="en-US" w:eastAsia="zh-CN"/>
              </w:rPr>
              <w:t>（二）3年内2次以上串通投标；</w:t>
            </w:r>
            <w:r>
              <w:rPr>
                <w:rFonts w:hint="eastAsia" w:ascii="仿宋_GB2312" w:hAnsi="仿宋_GB2312" w:eastAsia="仿宋_GB2312" w:cs="仿宋_GB2312"/>
                <w:b w:val="0"/>
                <w:bCs w:val="0"/>
                <w:snapToGrid w:val="0"/>
                <w:color w:val="000000"/>
                <w:kern w:val="0"/>
                <w:sz w:val="21"/>
                <w:szCs w:val="21"/>
                <w:lang w:val="en-US" w:eastAsia="zh-CN"/>
              </w:rPr>
              <w:br w:type="textWrapping"/>
            </w:r>
            <w:r>
              <w:rPr>
                <w:rFonts w:hint="eastAsia" w:ascii="仿宋_GB2312" w:hAnsi="仿宋_GB2312" w:eastAsia="仿宋_GB2312" w:cs="仿宋_GB2312"/>
                <w:b w:val="0"/>
                <w:bCs w:val="0"/>
                <w:snapToGrid w:val="0"/>
                <w:color w:val="000000"/>
                <w:kern w:val="0"/>
                <w:sz w:val="21"/>
                <w:szCs w:val="21"/>
                <w:lang w:val="en-US" w:eastAsia="zh-CN"/>
              </w:rPr>
              <w:t>（三）串通投标行为损害招标人、其他投标人或者国家、集体、公民的合法利益，造成直接经济损失30万元以上；</w:t>
            </w:r>
            <w:r>
              <w:rPr>
                <w:rFonts w:hint="eastAsia" w:ascii="仿宋_GB2312" w:hAnsi="仿宋_GB2312" w:eastAsia="仿宋_GB2312" w:cs="仿宋_GB2312"/>
                <w:b w:val="0"/>
                <w:bCs w:val="0"/>
                <w:snapToGrid w:val="0"/>
                <w:color w:val="000000"/>
                <w:kern w:val="0"/>
                <w:sz w:val="21"/>
                <w:szCs w:val="21"/>
                <w:lang w:val="en-US" w:eastAsia="zh-CN"/>
              </w:rPr>
              <w:br w:type="textWrapping"/>
            </w:r>
            <w:r>
              <w:rPr>
                <w:rFonts w:hint="eastAsia" w:ascii="仿宋_GB2312" w:hAnsi="仿宋_GB2312" w:eastAsia="仿宋_GB2312" w:cs="仿宋_GB2312"/>
                <w:b w:val="0"/>
                <w:bCs w:val="0"/>
                <w:snapToGrid w:val="0"/>
                <w:color w:val="000000"/>
                <w:kern w:val="0"/>
                <w:sz w:val="21"/>
                <w:szCs w:val="21"/>
                <w:lang w:val="en-US" w:eastAsia="zh-CN"/>
              </w:rPr>
              <w:t>（四）其他串通投标情节严重的行为。</w:t>
            </w:r>
            <w:r>
              <w:rPr>
                <w:rFonts w:hint="eastAsia" w:ascii="仿宋_GB2312" w:hAnsi="仿宋_GB2312" w:eastAsia="仿宋_GB2312" w:cs="仿宋_GB2312"/>
                <w:b w:val="0"/>
                <w:bCs w:val="0"/>
                <w:snapToGrid w:val="0"/>
                <w:color w:val="000000"/>
                <w:kern w:val="0"/>
                <w:sz w:val="21"/>
                <w:szCs w:val="21"/>
                <w:lang w:val="en-US" w:eastAsia="zh-CN"/>
              </w:rPr>
              <w:br w:type="textWrapping"/>
            </w:r>
            <w:r>
              <w:rPr>
                <w:rFonts w:hint="eastAsia" w:ascii="仿宋_GB2312" w:hAnsi="仿宋_GB2312" w:eastAsia="仿宋_GB2312" w:cs="仿宋_GB2312"/>
                <w:b w:val="0"/>
                <w:bCs w:val="0"/>
                <w:snapToGrid w:val="0"/>
                <w:color w:val="000000"/>
                <w:kern w:val="0"/>
                <w:sz w:val="21"/>
                <w:szCs w:val="21"/>
                <w:lang w:val="en-US" w:eastAsia="zh-CN"/>
              </w:rPr>
              <w:t>投标人自本条第二款规定的处罚执行期限届满之日起3年内又有该款所列违法行为之一的，或者串通投标、以行贿谋取中标情节特别严重的，由工商行政管理机关吊销营业执照。</w:t>
            </w:r>
            <w:r>
              <w:rPr>
                <w:rFonts w:hint="eastAsia" w:ascii="仿宋_GB2312" w:hAnsi="仿宋_GB2312" w:eastAsia="仿宋_GB2312" w:cs="仿宋_GB2312"/>
                <w:b w:val="0"/>
                <w:bCs w:val="0"/>
                <w:snapToGrid w:val="0"/>
                <w:color w:val="000000"/>
                <w:kern w:val="0"/>
                <w:sz w:val="21"/>
                <w:szCs w:val="21"/>
                <w:lang w:val="en-US" w:eastAsia="zh-CN"/>
              </w:rPr>
              <w:br w:type="textWrapping"/>
            </w:r>
            <w:r>
              <w:rPr>
                <w:rFonts w:hint="eastAsia" w:ascii="仿宋_GB2312" w:hAnsi="仿宋_GB2312" w:eastAsia="仿宋_GB2312" w:cs="仿宋_GB2312"/>
                <w:b w:val="0"/>
                <w:bCs w:val="0"/>
                <w:snapToGrid w:val="0"/>
                <w:color w:val="000000"/>
                <w:kern w:val="0"/>
                <w:sz w:val="21"/>
                <w:szCs w:val="21"/>
                <w:lang w:val="en-US" w:eastAsia="zh-CN"/>
              </w:rPr>
              <w:t>法律、行政法规对串通投标报价行为的处罚另有规定的，从其规定。</w:t>
            </w:r>
            <w:r>
              <w:rPr>
                <w:rFonts w:hint="eastAsia" w:ascii="仿宋_GB2312" w:hAnsi="仿宋_GB2312" w:eastAsia="仿宋_GB2312" w:cs="仿宋_GB2312"/>
                <w:b w:val="0"/>
                <w:bCs w:val="0"/>
                <w:snapToGrid w:val="0"/>
                <w:color w:val="000000"/>
                <w:kern w:val="0"/>
                <w:sz w:val="21"/>
                <w:szCs w:val="21"/>
                <w:lang w:val="en-US" w:eastAsia="zh-CN"/>
              </w:rPr>
              <w:br w:type="textWrapping"/>
            </w:r>
            <w:r>
              <w:rPr>
                <w:rFonts w:hint="eastAsia" w:ascii="仿宋_GB2312" w:hAnsi="仿宋_GB2312" w:eastAsia="仿宋_GB2312" w:cs="仿宋_GB2312"/>
                <w:b w:val="0"/>
                <w:bCs w:val="0"/>
                <w:snapToGrid w:val="0"/>
                <w:color w:val="000000"/>
                <w:kern w:val="0"/>
                <w:sz w:val="21"/>
                <w:szCs w:val="21"/>
                <w:lang w:val="en-US" w:eastAsia="zh-CN"/>
              </w:rPr>
              <w:t>3.《湖南省实施&lt;中华人民共和国招标投标法&gt;办法》第四十六条　违反本办法规定，有必须招标的项目不招标、泄露标底、串通投标、评标委员会成员收受贿赂、中标人将中标项目转让给他人等违法行为的，依照《中华人民共和国招标投标法》的有关规定处理。</w:t>
            </w:r>
            <w:r>
              <w:rPr>
                <w:rFonts w:hint="eastAsia" w:ascii="仿宋_GB2312" w:hAnsi="仿宋_GB2312" w:eastAsia="仿宋_GB2312" w:cs="仿宋_GB2312"/>
                <w:b w:val="0"/>
                <w:bCs w:val="0"/>
                <w:snapToGrid w:val="0"/>
                <w:color w:val="000000"/>
                <w:kern w:val="0"/>
                <w:sz w:val="21"/>
                <w:szCs w:val="21"/>
                <w:lang w:val="en-US" w:eastAsia="zh-CN"/>
              </w:rPr>
              <w:br w:type="textWrapping"/>
            </w:r>
            <w:r>
              <w:rPr>
                <w:rFonts w:hint="eastAsia" w:ascii="仿宋_GB2312" w:hAnsi="仿宋_GB2312" w:eastAsia="仿宋_GB2312" w:cs="仿宋_GB2312"/>
                <w:b w:val="0"/>
                <w:bCs w:val="0"/>
                <w:snapToGrid w:val="0"/>
                <w:color w:val="000000"/>
                <w:kern w:val="0"/>
                <w:sz w:val="21"/>
                <w:szCs w:val="21"/>
                <w:lang w:val="en-US" w:eastAsia="zh-CN"/>
              </w:rPr>
              <w:t>4.《湖南省人民政府办公厅《关于建立健全招标投标监管长效机制规范招标投标活动的意见》（湘政办发〔2021〕77号）第(一)条  规定合理划分招标投标活动监管职责。各级发展改革部门负责指导和协调本行政区域内的招标投标工作，按照职责权限对工业项目(含能源)、代建单位招标投标实施监督。对没有行业主管部门或确实难以协调明确监管职责的项目，由发展改革部门实施监督和查处违法违规行为，避免出现管理空白和监督缺位。</w:t>
            </w:r>
          </w:p>
        </w:tc>
        <w:tc>
          <w:tcPr>
            <w:tcW w:w="817" w:type="dxa"/>
            <w:shd w:val="clear" w:color="auto" w:fill="FFFFFF"/>
            <w:noWrap/>
            <w:tcMar>
              <w:left w:w="108" w:type="dxa"/>
              <w:right w:w="108" w:type="dxa"/>
            </w:tcMar>
            <w:vAlign w:val="center"/>
          </w:tcPr>
          <w:p w14:paraId="00BA2379">
            <w:pPr>
              <w:pStyle w:val="7"/>
              <w:keepNext w:val="0"/>
              <w:keepLines w:val="0"/>
              <w:pageBreakBefore w:val="0"/>
              <w:widowControl/>
              <w:kinsoku w:val="0"/>
              <w:wordWrap/>
              <w:overflowPunct/>
              <w:topLinePunct w:val="0"/>
              <w:autoSpaceDE w:val="0"/>
              <w:autoSpaceDN w:val="0"/>
              <w:bidi w:val="0"/>
              <w:adjustRightInd w:val="0"/>
              <w:snapToGrid w:val="0"/>
              <w:spacing w:line="260" w:lineRule="exact"/>
              <w:ind w:left="272"/>
              <w:jc w:val="center"/>
              <w:textAlignment w:val="baseline"/>
              <w:rPr>
                <w:rFonts w:hint="eastAsia" w:ascii="仿宋_GB2312" w:hAnsi="仿宋_GB2312" w:eastAsia="仿宋_GB2312" w:cs="仿宋_GB2312"/>
                <w:b w:val="0"/>
                <w:bCs w:val="0"/>
                <w:snapToGrid w:val="0"/>
                <w:color w:val="000000"/>
                <w:kern w:val="0"/>
                <w:sz w:val="21"/>
                <w:szCs w:val="21"/>
              </w:rPr>
            </w:pPr>
          </w:p>
        </w:tc>
      </w:tr>
      <w:tr w14:paraId="2D9B6E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144" w:hRule="atLeast"/>
        </w:trPr>
        <w:tc>
          <w:tcPr>
            <w:tcW w:w="745" w:type="dxa"/>
            <w:shd w:val="clear" w:color="auto" w:fill="FFFFFF"/>
            <w:tcMar>
              <w:left w:w="108" w:type="dxa"/>
              <w:right w:w="108" w:type="dxa"/>
            </w:tcMar>
            <w:vAlign w:val="center"/>
          </w:tcPr>
          <w:p w14:paraId="2147D423">
            <w:pPr>
              <w:pStyle w:val="7"/>
              <w:keepNext w:val="0"/>
              <w:keepLines w:val="0"/>
              <w:pageBreakBefore w:val="0"/>
              <w:widowControl/>
              <w:kinsoku w:val="0"/>
              <w:wordWrap/>
              <w:overflowPunct/>
              <w:topLinePunct w:val="0"/>
              <w:autoSpaceDE w:val="0"/>
              <w:autoSpaceDN w:val="0"/>
              <w:bidi w:val="0"/>
              <w:adjustRightInd w:val="0"/>
              <w:snapToGrid w:val="0"/>
              <w:spacing w:line="260" w:lineRule="exact"/>
              <w:ind w:left="272"/>
              <w:jc w:val="center"/>
              <w:textAlignment w:val="baseline"/>
              <w:rPr>
                <w:rFonts w:hint="eastAsia" w:ascii="仿宋_GB2312" w:hAnsi="仿宋_GB2312" w:eastAsia="仿宋_GB2312" w:cs="仿宋_GB2312"/>
                <w:b w:val="0"/>
                <w:bCs w:val="0"/>
                <w:snapToGrid w:val="0"/>
                <w:color w:val="000000"/>
                <w:kern w:val="0"/>
                <w:sz w:val="21"/>
                <w:szCs w:val="21"/>
              </w:rPr>
            </w:pPr>
            <w:r>
              <w:rPr>
                <w:rFonts w:hint="eastAsia" w:ascii="仿宋_GB2312" w:hAnsi="仿宋_GB2312" w:eastAsia="仿宋_GB2312" w:cs="仿宋_GB2312"/>
                <w:b w:val="0"/>
                <w:bCs w:val="0"/>
                <w:snapToGrid w:val="0"/>
                <w:color w:val="000000"/>
                <w:kern w:val="0"/>
                <w:sz w:val="21"/>
                <w:szCs w:val="21"/>
                <w:lang w:val="en-US" w:eastAsia="zh-CN"/>
              </w:rPr>
              <w:t>5</w:t>
            </w:r>
          </w:p>
        </w:tc>
        <w:tc>
          <w:tcPr>
            <w:tcW w:w="1334" w:type="dxa"/>
            <w:shd w:val="clear" w:color="auto" w:fill="FFFFFF"/>
            <w:tcMar>
              <w:left w:w="108" w:type="dxa"/>
              <w:right w:w="108" w:type="dxa"/>
            </w:tcMar>
            <w:vAlign w:val="center"/>
          </w:tcPr>
          <w:p w14:paraId="01F87DD7">
            <w:pPr>
              <w:pStyle w:val="7"/>
              <w:keepNext w:val="0"/>
              <w:keepLines w:val="0"/>
              <w:pageBreakBefore w:val="0"/>
              <w:widowControl/>
              <w:kinsoku w:val="0"/>
              <w:wordWrap/>
              <w:overflowPunct/>
              <w:topLinePunct w:val="0"/>
              <w:autoSpaceDE w:val="0"/>
              <w:autoSpaceDN w:val="0"/>
              <w:bidi w:val="0"/>
              <w:adjustRightInd w:val="0"/>
              <w:snapToGrid w:val="0"/>
              <w:spacing w:line="260" w:lineRule="exact"/>
              <w:ind w:left="272"/>
              <w:jc w:val="center"/>
              <w:textAlignment w:val="baseline"/>
              <w:rPr>
                <w:rFonts w:hint="eastAsia" w:ascii="仿宋_GB2312" w:hAnsi="仿宋_GB2312" w:eastAsia="仿宋_GB2312" w:cs="仿宋_GB2312"/>
                <w:b w:val="0"/>
                <w:bCs w:val="0"/>
                <w:snapToGrid w:val="0"/>
                <w:color w:val="000000"/>
                <w:kern w:val="0"/>
                <w:sz w:val="21"/>
                <w:szCs w:val="21"/>
              </w:rPr>
            </w:pPr>
            <w:r>
              <w:rPr>
                <w:rFonts w:hint="eastAsia" w:ascii="仿宋_GB2312" w:hAnsi="仿宋_GB2312" w:eastAsia="仿宋_GB2312" w:cs="仿宋_GB2312"/>
                <w:b w:val="0"/>
                <w:bCs w:val="0"/>
                <w:snapToGrid w:val="0"/>
                <w:color w:val="000000"/>
                <w:kern w:val="0"/>
                <w:sz w:val="21"/>
                <w:szCs w:val="21"/>
                <w:lang w:val="en-US" w:eastAsia="zh-CN"/>
              </w:rPr>
              <w:t>对工业项目及按规定履行监管职责项目的投标人以他人名义投标或者以其他方式弄虚作假，骗取中标的行政处罚</w:t>
            </w:r>
          </w:p>
        </w:tc>
        <w:tc>
          <w:tcPr>
            <w:tcW w:w="1085" w:type="dxa"/>
            <w:shd w:val="clear" w:color="auto" w:fill="FFFFFF"/>
            <w:noWrap/>
            <w:tcMar>
              <w:left w:w="108" w:type="dxa"/>
              <w:right w:w="108" w:type="dxa"/>
            </w:tcMar>
            <w:vAlign w:val="center"/>
          </w:tcPr>
          <w:p w14:paraId="2AD8FDCD">
            <w:pPr>
              <w:pStyle w:val="7"/>
              <w:keepNext w:val="0"/>
              <w:keepLines w:val="0"/>
              <w:pageBreakBefore w:val="0"/>
              <w:widowControl/>
              <w:kinsoku w:val="0"/>
              <w:wordWrap/>
              <w:overflowPunct/>
              <w:topLinePunct w:val="0"/>
              <w:autoSpaceDE w:val="0"/>
              <w:autoSpaceDN w:val="0"/>
              <w:bidi w:val="0"/>
              <w:adjustRightInd w:val="0"/>
              <w:snapToGrid w:val="0"/>
              <w:spacing w:line="260" w:lineRule="exact"/>
              <w:ind w:left="272"/>
              <w:jc w:val="center"/>
              <w:textAlignment w:val="baseline"/>
              <w:rPr>
                <w:rFonts w:hint="eastAsia" w:ascii="仿宋_GB2312" w:hAnsi="仿宋_GB2312" w:eastAsia="仿宋_GB2312" w:cs="仿宋_GB2312"/>
                <w:b w:val="0"/>
                <w:bCs w:val="0"/>
                <w:snapToGrid w:val="0"/>
                <w:color w:val="000000"/>
                <w:kern w:val="0"/>
                <w:sz w:val="21"/>
                <w:szCs w:val="21"/>
              </w:rPr>
            </w:pPr>
            <w:r>
              <w:rPr>
                <w:rFonts w:hint="eastAsia" w:ascii="仿宋_GB2312" w:hAnsi="仿宋_GB2312" w:eastAsia="仿宋_GB2312" w:cs="仿宋_GB2312"/>
                <w:b w:val="0"/>
                <w:bCs w:val="0"/>
                <w:snapToGrid w:val="0"/>
                <w:color w:val="000000"/>
                <w:kern w:val="0"/>
                <w:sz w:val="21"/>
                <w:szCs w:val="21"/>
                <w:lang w:val="en-US" w:eastAsia="zh-CN"/>
              </w:rPr>
              <w:t>行政处罚</w:t>
            </w:r>
          </w:p>
        </w:tc>
        <w:tc>
          <w:tcPr>
            <w:tcW w:w="1179" w:type="dxa"/>
            <w:shd w:val="clear" w:color="auto" w:fill="FFFFFF"/>
            <w:tcMar>
              <w:left w:w="108" w:type="dxa"/>
              <w:right w:w="108" w:type="dxa"/>
            </w:tcMar>
            <w:vAlign w:val="center"/>
          </w:tcPr>
          <w:p w14:paraId="69793C13">
            <w:pPr>
              <w:pStyle w:val="7"/>
              <w:keepNext w:val="0"/>
              <w:keepLines w:val="0"/>
              <w:pageBreakBefore w:val="0"/>
              <w:widowControl/>
              <w:kinsoku w:val="0"/>
              <w:wordWrap/>
              <w:overflowPunct/>
              <w:topLinePunct w:val="0"/>
              <w:autoSpaceDE w:val="0"/>
              <w:autoSpaceDN w:val="0"/>
              <w:bidi w:val="0"/>
              <w:adjustRightInd w:val="0"/>
              <w:snapToGrid w:val="0"/>
              <w:spacing w:line="260" w:lineRule="exact"/>
              <w:ind w:left="272" w:leftChars="0"/>
              <w:jc w:val="center"/>
              <w:textAlignment w:val="baseline"/>
              <w:rPr>
                <w:rFonts w:hint="eastAsia" w:ascii="仿宋_GB2312" w:hAnsi="仿宋_GB2312" w:eastAsia="仿宋_GB2312" w:cs="仿宋_GB2312"/>
                <w:b w:val="0"/>
                <w:bCs w:val="0"/>
                <w:snapToGrid w:val="0"/>
                <w:color w:val="000000"/>
                <w:kern w:val="0"/>
                <w:sz w:val="21"/>
                <w:szCs w:val="21"/>
              </w:rPr>
            </w:pPr>
            <w:r>
              <w:rPr>
                <w:rFonts w:hint="eastAsia" w:ascii="仿宋_GB2312" w:hAnsi="仿宋_GB2312" w:eastAsia="仿宋_GB2312" w:cs="仿宋_GB2312"/>
                <w:b w:val="0"/>
                <w:bCs w:val="0"/>
                <w:snapToGrid w:val="0"/>
                <w:color w:val="000000"/>
                <w:kern w:val="0"/>
                <w:sz w:val="21"/>
                <w:szCs w:val="21"/>
                <w:lang w:val="en-US" w:eastAsia="zh-CN"/>
              </w:rPr>
              <w:t>零陵区发改局</w:t>
            </w:r>
          </w:p>
        </w:tc>
        <w:tc>
          <w:tcPr>
            <w:tcW w:w="1444" w:type="dxa"/>
            <w:shd w:val="clear" w:color="auto" w:fill="FFFFFF"/>
            <w:tcMar>
              <w:left w:w="108" w:type="dxa"/>
              <w:right w:w="108" w:type="dxa"/>
            </w:tcMar>
            <w:vAlign w:val="center"/>
          </w:tcPr>
          <w:p w14:paraId="74EA81DC">
            <w:pPr>
              <w:pStyle w:val="7"/>
              <w:keepNext w:val="0"/>
              <w:keepLines w:val="0"/>
              <w:pageBreakBefore w:val="0"/>
              <w:widowControl/>
              <w:kinsoku w:val="0"/>
              <w:wordWrap/>
              <w:overflowPunct/>
              <w:topLinePunct w:val="0"/>
              <w:autoSpaceDE w:val="0"/>
              <w:autoSpaceDN w:val="0"/>
              <w:bidi w:val="0"/>
              <w:adjustRightInd w:val="0"/>
              <w:snapToGrid w:val="0"/>
              <w:spacing w:line="260" w:lineRule="exact"/>
              <w:ind w:left="272" w:leftChars="0"/>
              <w:jc w:val="center"/>
              <w:textAlignment w:val="baseline"/>
              <w:rPr>
                <w:rFonts w:hint="eastAsia" w:ascii="仿宋_GB2312" w:hAnsi="仿宋_GB2312" w:eastAsia="仿宋_GB2312" w:cs="仿宋_GB2312"/>
                <w:b w:val="0"/>
                <w:bCs w:val="0"/>
                <w:snapToGrid w:val="0"/>
                <w:color w:val="000000"/>
                <w:kern w:val="0"/>
                <w:sz w:val="21"/>
                <w:szCs w:val="21"/>
              </w:rPr>
            </w:pPr>
            <w:r>
              <w:rPr>
                <w:rFonts w:hint="eastAsia" w:ascii="仿宋_GB2312" w:hAnsi="仿宋_GB2312" w:eastAsia="仿宋_GB2312" w:cs="仿宋_GB2312"/>
                <w:b w:val="0"/>
                <w:bCs w:val="0"/>
                <w:snapToGrid w:val="0"/>
                <w:color w:val="000000"/>
                <w:kern w:val="0"/>
                <w:sz w:val="21"/>
                <w:szCs w:val="21"/>
                <w:lang w:val="en-US" w:eastAsia="zh-CN"/>
              </w:rPr>
              <w:t>法规股</w:t>
            </w:r>
          </w:p>
        </w:tc>
        <w:tc>
          <w:tcPr>
            <w:tcW w:w="8616" w:type="dxa"/>
            <w:shd w:val="clear" w:color="auto" w:fill="FFFFFF"/>
            <w:tcMar>
              <w:left w:w="108" w:type="dxa"/>
              <w:right w:w="108" w:type="dxa"/>
            </w:tcMar>
            <w:vAlign w:val="center"/>
          </w:tcPr>
          <w:p w14:paraId="76043F5A">
            <w:pPr>
              <w:pStyle w:val="7"/>
              <w:keepNext w:val="0"/>
              <w:keepLines w:val="0"/>
              <w:pageBreakBefore w:val="0"/>
              <w:widowControl/>
              <w:kinsoku w:val="0"/>
              <w:wordWrap/>
              <w:overflowPunct/>
              <w:topLinePunct w:val="0"/>
              <w:autoSpaceDE w:val="0"/>
              <w:autoSpaceDN w:val="0"/>
              <w:bidi w:val="0"/>
              <w:adjustRightInd w:val="0"/>
              <w:snapToGrid w:val="0"/>
              <w:spacing w:line="260" w:lineRule="exact"/>
              <w:ind w:left="272"/>
              <w:jc w:val="left"/>
              <w:textAlignment w:val="baseline"/>
              <w:rPr>
                <w:rFonts w:hint="eastAsia" w:ascii="仿宋_GB2312" w:hAnsi="仿宋_GB2312" w:eastAsia="仿宋_GB2312" w:cs="仿宋_GB2312"/>
                <w:b w:val="0"/>
                <w:bCs w:val="0"/>
                <w:snapToGrid w:val="0"/>
                <w:color w:val="000000"/>
                <w:kern w:val="0"/>
                <w:sz w:val="21"/>
                <w:szCs w:val="21"/>
              </w:rPr>
            </w:pPr>
            <w:r>
              <w:rPr>
                <w:rFonts w:hint="eastAsia" w:ascii="仿宋_GB2312" w:hAnsi="仿宋_GB2312" w:eastAsia="仿宋_GB2312" w:cs="仿宋_GB2312"/>
                <w:b w:val="0"/>
                <w:bCs w:val="0"/>
                <w:snapToGrid w:val="0"/>
                <w:color w:val="000000"/>
                <w:kern w:val="0"/>
                <w:sz w:val="21"/>
                <w:szCs w:val="21"/>
                <w:lang w:val="en-US" w:eastAsia="zh-CN"/>
              </w:rPr>
              <w:t>1.《中华人民共和国招标投标法》第五十四条  投标人以他人名义投标或者以其他方式弄虚作假，骗取中标的，中标无效，给招标人造成损失的，依法承担赔偿责任；构成犯罪的，依法追究刑事责任。</w:t>
            </w:r>
            <w:r>
              <w:rPr>
                <w:rFonts w:hint="eastAsia" w:ascii="仿宋_GB2312" w:hAnsi="仿宋_GB2312" w:eastAsia="仿宋_GB2312" w:cs="仿宋_GB2312"/>
                <w:b w:val="0"/>
                <w:bCs w:val="0"/>
                <w:snapToGrid w:val="0"/>
                <w:color w:val="000000"/>
                <w:kern w:val="0"/>
                <w:sz w:val="21"/>
                <w:szCs w:val="21"/>
                <w:lang w:val="en-US" w:eastAsia="zh-CN"/>
              </w:rPr>
              <w:br w:type="textWrapping"/>
            </w:r>
            <w:r>
              <w:rPr>
                <w:rFonts w:hint="eastAsia" w:ascii="仿宋_GB2312" w:hAnsi="仿宋_GB2312" w:eastAsia="仿宋_GB2312" w:cs="仿宋_GB2312"/>
                <w:b w:val="0"/>
                <w:bCs w:val="0"/>
                <w:snapToGrid w:val="0"/>
                <w:color w:val="000000"/>
                <w:kern w:val="0"/>
                <w:sz w:val="21"/>
                <w:szCs w:val="21"/>
                <w:lang w:val="en-US" w:eastAsia="zh-CN"/>
              </w:rPr>
              <w:t>依法必须进行招标的项目的投标人有前款所列行为尚未构成犯罪的，处中标项目金额千分之五以上千分之十以下的罚款，对单位直接负责的主管人员和其他直接责任人员处单位罚款数额百分之五以上百分之十以下的罚款；有违法所得的，并处没收违法所得；情节严重的，取消其一年至三年内参加依法必须进行招标的项目的投标资格并予以公告，直至由工商行政管理机关吊销营业执照。</w:t>
            </w:r>
            <w:r>
              <w:rPr>
                <w:rFonts w:hint="eastAsia" w:ascii="仿宋_GB2312" w:hAnsi="仿宋_GB2312" w:eastAsia="仿宋_GB2312" w:cs="仿宋_GB2312"/>
                <w:b w:val="0"/>
                <w:bCs w:val="0"/>
                <w:snapToGrid w:val="0"/>
                <w:color w:val="000000"/>
                <w:kern w:val="0"/>
                <w:sz w:val="21"/>
                <w:szCs w:val="21"/>
                <w:lang w:val="en-US" w:eastAsia="zh-CN"/>
              </w:rPr>
              <w:br w:type="textWrapping"/>
            </w:r>
            <w:r>
              <w:rPr>
                <w:rFonts w:hint="eastAsia" w:ascii="仿宋_GB2312" w:hAnsi="仿宋_GB2312" w:eastAsia="仿宋_GB2312" w:cs="仿宋_GB2312"/>
                <w:b w:val="0"/>
                <w:bCs w:val="0"/>
                <w:snapToGrid w:val="0"/>
                <w:color w:val="000000"/>
                <w:kern w:val="0"/>
                <w:sz w:val="21"/>
                <w:szCs w:val="21"/>
                <w:lang w:val="en-US" w:eastAsia="zh-CN"/>
              </w:rPr>
              <w:t>2.《中华人民共和国招标投标法实施条例》第六十八条  投标人以他人名义投标或者以其他方式弄虚作假骗取中标的，中标无效；构成犯罪的，依法追究刑事责任；尚不构成犯罪的，依照招标投标法第五十四条的规定处罚。依法必须进行招标的项目的投标人未中标的，对单位的罚款金额按照招标项目合同金额依照招标投标法规定的比例计算。</w:t>
            </w:r>
            <w:r>
              <w:rPr>
                <w:rFonts w:hint="eastAsia" w:ascii="仿宋_GB2312" w:hAnsi="仿宋_GB2312" w:eastAsia="仿宋_GB2312" w:cs="仿宋_GB2312"/>
                <w:b w:val="0"/>
                <w:bCs w:val="0"/>
                <w:snapToGrid w:val="0"/>
                <w:color w:val="000000"/>
                <w:kern w:val="0"/>
                <w:sz w:val="21"/>
                <w:szCs w:val="21"/>
                <w:lang w:val="en-US" w:eastAsia="zh-CN"/>
              </w:rPr>
              <w:br w:type="textWrapping"/>
            </w:r>
            <w:r>
              <w:rPr>
                <w:rFonts w:hint="eastAsia" w:ascii="仿宋_GB2312" w:hAnsi="仿宋_GB2312" w:eastAsia="仿宋_GB2312" w:cs="仿宋_GB2312"/>
                <w:b w:val="0"/>
                <w:bCs w:val="0"/>
                <w:snapToGrid w:val="0"/>
                <w:color w:val="000000"/>
                <w:kern w:val="0"/>
                <w:sz w:val="21"/>
                <w:szCs w:val="21"/>
                <w:lang w:val="en-US" w:eastAsia="zh-CN"/>
              </w:rPr>
              <w:t>投标人有下列行为之一的，属于招标投标法第五十四条规定的情节严重行为，由有关行政监督部门取消其1年至3年内参加依法必须进行招标的项目的投标资格：</w:t>
            </w:r>
            <w:r>
              <w:rPr>
                <w:rFonts w:hint="eastAsia" w:ascii="仿宋_GB2312" w:hAnsi="仿宋_GB2312" w:eastAsia="仿宋_GB2312" w:cs="仿宋_GB2312"/>
                <w:b w:val="0"/>
                <w:bCs w:val="0"/>
                <w:snapToGrid w:val="0"/>
                <w:color w:val="000000"/>
                <w:kern w:val="0"/>
                <w:sz w:val="21"/>
                <w:szCs w:val="21"/>
                <w:lang w:val="en-US" w:eastAsia="zh-CN"/>
              </w:rPr>
              <w:br w:type="textWrapping"/>
            </w:r>
            <w:r>
              <w:rPr>
                <w:rFonts w:hint="eastAsia" w:ascii="仿宋_GB2312" w:hAnsi="仿宋_GB2312" w:eastAsia="仿宋_GB2312" w:cs="仿宋_GB2312"/>
                <w:b w:val="0"/>
                <w:bCs w:val="0"/>
                <w:snapToGrid w:val="0"/>
                <w:color w:val="000000"/>
                <w:kern w:val="0"/>
                <w:sz w:val="21"/>
                <w:szCs w:val="21"/>
                <w:lang w:val="en-US" w:eastAsia="zh-CN"/>
              </w:rPr>
              <w:t>（一）伪造、变造资格、资质证书或者其他许可证件骗取中标；</w:t>
            </w:r>
            <w:r>
              <w:rPr>
                <w:rFonts w:hint="eastAsia" w:ascii="仿宋_GB2312" w:hAnsi="仿宋_GB2312" w:eastAsia="仿宋_GB2312" w:cs="仿宋_GB2312"/>
                <w:b w:val="0"/>
                <w:bCs w:val="0"/>
                <w:snapToGrid w:val="0"/>
                <w:color w:val="000000"/>
                <w:kern w:val="0"/>
                <w:sz w:val="21"/>
                <w:szCs w:val="21"/>
                <w:lang w:val="en-US" w:eastAsia="zh-CN"/>
              </w:rPr>
              <w:br w:type="textWrapping"/>
            </w:r>
            <w:r>
              <w:rPr>
                <w:rFonts w:hint="eastAsia" w:ascii="仿宋_GB2312" w:hAnsi="仿宋_GB2312" w:eastAsia="仿宋_GB2312" w:cs="仿宋_GB2312"/>
                <w:b w:val="0"/>
                <w:bCs w:val="0"/>
                <w:snapToGrid w:val="0"/>
                <w:color w:val="000000"/>
                <w:kern w:val="0"/>
                <w:sz w:val="21"/>
                <w:szCs w:val="21"/>
                <w:lang w:val="en-US" w:eastAsia="zh-CN"/>
              </w:rPr>
              <w:t>（二）3年内2次以上使用他人名义投标；</w:t>
            </w:r>
            <w:r>
              <w:rPr>
                <w:rFonts w:hint="eastAsia" w:ascii="仿宋_GB2312" w:hAnsi="仿宋_GB2312" w:eastAsia="仿宋_GB2312" w:cs="仿宋_GB2312"/>
                <w:b w:val="0"/>
                <w:bCs w:val="0"/>
                <w:snapToGrid w:val="0"/>
                <w:color w:val="000000"/>
                <w:kern w:val="0"/>
                <w:sz w:val="21"/>
                <w:szCs w:val="21"/>
                <w:lang w:val="en-US" w:eastAsia="zh-CN"/>
              </w:rPr>
              <w:br w:type="textWrapping"/>
            </w:r>
            <w:r>
              <w:rPr>
                <w:rFonts w:hint="eastAsia" w:ascii="仿宋_GB2312" w:hAnsi="仿宋_GB2312" w:eastAsia="仿宋_GB2312" w:cs="仿宋_GB2312"/>
                <w:b w:val="0"/>
                <w:bCs w:val="0"/>
                <w:snapToGrid w:val="0"/>
                <w:color w:val="000000"/>
                <w:kern w:val="0"/>
                <w:sz w:val="21"/>
                <w:szCs w:val="21"/>
                <w:lang w:val="en-US" w:eastAsia="zh-CN"/>
              </w:rPr>
              <w:t>（三）弄虚作假骗取中标给招标人造成直接经济损失30万元以上；</w:t>
            </w:r>
            <w:r>
              <w:rPr>
                <w:rFonts w:hint="eastAsia" w:ascii="仿宋_GB2312" w:hAnsi="仿宋_GB2312" w:eastAsia="仿宋_GB2312" w:cs="仿宋_GB2312"/>
                <w:b w:val="0"/>
                <w:bCs w:val="0"/>
                <w:snapToGrid w:val="0"/>
                <w:color w:val="000000"/>
                <w:kern w:val="0"/>
                <w:sz w:val="21"/>
                <w:szCs w:val="21"/>
                <w:lang w:val="en-US" w:eastAsia="zh-CN"/>
              </w:rPr>
              <w:br w:type="textWrapping"/>
            </w:r>
            <w:r>
              <w:rPr>
                <w:rFonts w:hint="eastAsia" w:ascii="仿宋_GB2312" w:hAnsi="仿宋_GB2312" w:eastAsia="仿宋_GB2312" w:cs="仿宋_GB2312"/>
                <w:b w:val="0"/>
                <w:bCs w:val="0"/>
                <w:snapToGrid w:val="0"/>
                <w:color w:val="000000"/>
                <w:kern w:val="0"/>
                <w:sz w:val="21"/>
                <w:szCs w:val="21"/>
                <w:lang w:val="en-US" w:eastAsia="zh-CN"/>
              </w:rPr>
              <w:t>（四）其他弄虚作假骗取中标情节严重的行为。</w:t>
            </w:r>
            <w:r>
              <w:rPr>
                <w:rFonts w:hint="eastAsia" w:ascii="仿宋_GB2312" w:hAnsi="仿宋_GB2312" w:eastAsia="仿宋_GB2312" w:cs="仿宋_GB2312"/>
                <w:b w:val="0"/>
                <w:bCs w:val="0"/>
                <w:snapToGrid w:val="0"/>
                <w:color w:val="000000"/>
                <w:kern w:val="0"/>
                <w:sz w:val="21"/>
                <w:szCs w:val="21"/>
                <w:lang w:val="en-US" w:eastAsia="zh-CN"/>
              </w:rPr>
              <w:br w:type="textWrapping"/>
            </w:r>
            <w:r>
              <w:rPr>
                <w:rFonts w:hint="eastAsia" w:ascii="仿宋_GB2312" w:hAnsi="仿宋_GB2312" w:eastAsia="仿宋_GB2312" w:cs="仿宋_GB2312"/>
                <w:b w:val="0"/>
                <w:bCs w:val="0"/>
                <w:snapToGrid w:val="0"/>
                <w:color w:val="000000"/>
                <w:kern w:val="0"/>
                <w:sz w:val="21"/>
                <w:szCs w:val="21"/>
                <w:lang w:val="en-US" w:eastAsia="zh-CN"/>
              </w:rPr>
              <w:t>投标人自本条第二款规定的处罚执行期限届满之日起3年内又有该款所列违法行为之一的，或者弄虚作假骗取中标情节特别严重的，由工商行政管理机关吊销营业执照。</w:t>
            </w:r>
            <w:r>
              <w:rPr>
                <w:rFonts w:hint="eastAsia" w:ascii="仿宋_GB2312" w:hAnsi="仿宋_GB2312" w:eastAsia="仿宋_GB2312" w:cs="仿宋_GB2312"/>
                <w:b w:val="0"/>
                <w:bCs w:val="0"/>
                <w:snapToGrid w:val="0"/>
                <w:color w:val="000000"/>
                <w:kern w:val="0"/>
                <w:sz w:val="21"/>
                <w:szCs w:val="21"/>
                <w:lang w:val="en-US" w:eastAsia="zh-CN"/>
              </w:rPr>
              <w:br w:type="textWrapping"/>
            </w:r>
            <w:r>
              <w:rPr>
                <w:rFonts w:hint="eastAsia" w:ascii="仿宋_GB2312" w:hAnsi="仿宋_GB2312" w:eastAsia="仿宋_GB2312" w:cs="仿宋_GB2312"/>
                <w:b w:val="0"/>
                <w:bCs w:val="0"/>
                <w:snapToGrid w:val="0"/>
                <w:color w:val="000000"/>
                <w:kern w:val="0"/>
                <w:sz w:val="21"/>
                <w:szCs w:val="21"/>
                <w:lang w:val="en-US" w:eastAsia="zh-CN"/>
              </w:rPr>
              <w:t>3.《湖南省人民政府办公厅《关于建立健全招标投标监管长效机制规范招标投标活动的意见》（湘政办发〔2021〕77号）第(一)条  规定合理划分招标投标活动监管职责。各级发展改革部门负责指导和协调本行政区域内的招标投标工作，按照职责权限对工业项目(含能源)、代建单位招标投标实施监督。对没有行业主管部门或确实难以协调明确监管职责的项目，由发展改革部门实施监督和查处违法违规行为，避免出现管理空白和监督缺位。</w:t>
            </w:r>
          </w:p>
        </w:tc>
        <w:tc>
          <w:tcPr>
            <w:tcW w:w="817" w:type="dxa"/>
            <w:shd w:val="clear" w:color="auto" w:fill="FFFFFF"/>
            <w:noWrap/>
            <w:tcMar>
              <w:left w:w="108" w:type="dxa"/>
              <w:right w:w="108" w:type="dxa"/>
            </w:tcMar>
            <w:vAlign w:val="center"/>
          </w:tcPr>
          <w:p w14:paraId="598E70DD">
            <w:pPr>
              <w:pStyle w:val="7"/>
              <w:keepNext w:val="0"/>
              <w:keepLines w:val="0"/>
              <w:pageBreakBefore w:val="0"/>
              <w:widowControl/>
              <w:kinsoku w:val="0"/>
              <w:wordWrap/>
              <w:overflowPunct/>
              <w:topLinePunct w:val="0"/>
              <w:autoSpaceDE w:val="0"/>
              <w:autoSpaceDN w:val="0"/>
              <w:bidi w:val="0"/>
              <w:adjustRightInd w:val="0"/>
              <w:snapToGrid w:val="0"/>
              <w:spacing w:line="260" w:lineRule="exact"/>
              <w:ind w:left="272"/>
              <w:jc w:val="center"/>
              <w:textAlignment w:val="baseline"/>
              <w:rPr>
                <w:rFonts w:hint="eastAsia" w:ascii="仿宋_GB2312" w:hAnsi="仿宋_GB2312" w:eastAsia="仿宋_GB2312" w:cs="仿宋_GB2312"/>
                <w:b w:val="0"/>
                <w:bCs w:val="0"/>
                <w:snapToGrid w:val="0"/>
                <w:color w:val="000000"/>
                <w:kern w:val="0"/>
                <w:sz w:val="21"/>
                <w:szCs w:val="21"/>
              </w:rPr>
            </w:pPr>
          </w:p>
        </w:tc>
      </w:tr>
      <w:tr w14:paraId="65945D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83" w:hRule="atLeast"/>
        </w:trPr>
        <w:tc>
          <w:tcPr>
            <w:tcW w:w="745" w:type="dxa"/>
            <w:shd w:val="clear" w:color="auto" w:fill="FFFFFF"/>
            <w:tcMar>
              <w:left w:w="108" w:type="dxa"/>
              <w:right w:w="108" w:type="dxa"/>
            </w:tcMar>
            <w:vAlign w:val="center"/>
          </w:tcPr>
          <w:p w14:paraId="525DD8E9">
            <w:pPr>
              <w:pStyle w:val="7"/>
              <w:keepNext w:val="0"/>
              <w:keepLines w:val="0"/>
              <w:pageBreakBefore w:val="0"/>
              <w:widowControl/>
              <w:kinsoku w:val="0"/>
              <w:wordWrap/>
              <w:overflowPunct/>
              <w:topLinePunct w:val="0"/>
              <w:autoSpaceDE w:val="0"/>
              <w:autoSpaceDN w:val="0"/>
              <w:bidi w:val="0"/>
              <w:adjustRightInd w:val="0"/>
              <w:snapToGrid w:val="0"/>
              <w:spacing w:line="260" w:lineRule="exact"/>
              <w:ind w:left="272"/>
              <w:jc w:val="center"/>
              <w:textAlignment w:val="baseline"/>
              <w:rPr>
                <w:rFonts w:hint="eastAsia" w:ascii="仿宋_GB2312" w:hAnsi="仿宋_GB2312" w:eastAsia="仿宋_GB2312" w:cs="仿宋_GB2312"/>
                <w:b w:val="0"/>
                <w:bCs w:val="0"/>
                <w:snapToGrid w:val="0"/>
                <w:color w:val="000000"/>
                <w:kern w:val="0"/>
                <w:sz w:val="21"/>
                <w:szCs w:val="21"/>
              </w:rPr>
            </w:pPr>
            <w:r>
              <w:rPr>
                <w:rFonts w:hint="eastAsia" w:ascii="仿宋_GB2312" w:hAnsi="仿宋_GB2312" w:eastAsia="仿宋_GB2312" w:cs="仿宋_GB2312"/>
                <w:b w:val="0"/>
                <w:bCs w:val="0"/>
                <w:snapToGrid w:val="0"/>
                <w:color w:val="000000"/>
                <w:kern w:val="0"/>
                <w:sz w:val="21"/>
                <w:szCs w:val="21"/>
                <w:lang w:val="en-US" w:eastAsia="zh-CN"/>
              </w:rPr>
              <w:t>6</w:t>
            </w:r>
          </w:p>
        </w:tc>
        <w:tc>
          <w:tcPr>
            <w:tcW w:w="1334" w:type="dxa"/>
            <w:shd w:val="clear" w:color="auto" w:fill="FFFFFF"/>
            <w:tcMar>
              <w:left w:w="108" w:type="dxa"/>
              <w:right w:w="108" w:type="dxa"/>
            </w:tcMar>
            <w:vAlign w:val="center"/>
          </w:tcPr>
          <w:p w14:paraId="18F4DB1C">
            <w:pPr>
              <w:pStyle w:val="7"/>
              <w:keepNext w:val="0"/>
              <w:keepLines w:val="0"/>
              <w:pageBreakBefore w:val="0"/>
              <w:widowControl/>
              <w:kinsoku w:val="0"/>
              <w:wordWrap/>
              <w:overflowPunct/>
              <w:topLinePunct w:val="0"/>
              <w:autoSpaceDE w:val="0"/>
              <w:autoSpaceDN w:val="0"/>
              <w:bidi w:val="0"/>
              <w:adjustRightInd w:val="0"/>
              <w:snapToGrid w:val="0"/>
              <w:spacing w:line="260" w:lineRule="exact"/>
              <w:ind w:left="272"/>
              <w:jc w:val="center"/>
              <w:textAlignment w:val="baseline"/>
              <w:rPr>
                <w:rFonts w:hint="eastAsia" w:ascii="仿宋_GB2312" w:hAnsi="仿宋_GB2312" w:eastAsia="仿宋_GB2312" w:cs="仿宋_GB2312"/>
                <w:b w:val="0"/>
                <w:bCs w:val="0"/>
                <w:snapToGrid w:val="0"/>
                <w:color w:val="000000"/>
                <w:kern w:val="0"/>
                <w:sz w:val="21"/>
                <w:szCs w:val="21"/>
              </w:rPr>
            </w:pPr>
            <w:r>
              <w:rPr>
                <w:rFonts w:hint="eastAsia" w:ascii="仿宋_GB2312" w:hAnsi="仿宋_GB2312" w:eastAsia="仿宋_GB2312" w:cs="仿宋_GB2312"/>
                <w:b w:val="0"/>
                <w:bCs w:val="0"/>
                <w:snapToGrid w:val="0"/>
                <w:color w:val="000000"/>
                <w:kern w:val="0"/>
                <w:sz w:val="21"/>
                <w:szCs w:val="21"/>
                <w:lang w:val="en-US" w:eastAsia="zh-CN"/>
              </w:rPr>
              <w:t>对工业项目及按规定履行监管职责项目招标人违反招投标法律规定，与投标人就投标价格、投标方案等实质性内容进行谈判的行政处罚</w:t>
            </w:r>
          </w:p>
        </w:tc>
        <w:tc>
          <w:tcPr>
            <w:tcW w:w="1085" w:type="dxa"/>
            <w:shd w:val="clear" w:color="auto" w:fill="FFFFFF"/>
            <w:noWrap/>
            <w:tcMar>
              <w:left w:w="108" w:type="dxa"/>
              <w:right w:w="108" w:type="dxa"/>
            </w:tcMar>
            <w:vAlign w:val="center"/>
          </w:tcPr>
          <w:p w14:paraId="41D53E35">
            <w:pPr>
              <w:pStyle w:val="7"/>
              <w:keepNext w:val="0"/>
              <w:keepLines w:val="0"/>
              <w:pageBreakBefore w:val="0"/>
              <w:widowControl/>
              <w:kinsoku w:val="0"/>
              <w:wordWrap/>
              <w:overflowPunct/>
              <w:topLinePunct w:val="0"/>
              <w:autoSpaceDE w:val="0"/>
              <w:autoSpaceDN w:val="0"/>
              <w:bidi w:val="0"/>
              <w:adjustRightInd w:val="0"/>
              <w:snapToGrid w:val="0"/>
              <w:spacing w:line="260" w:lineRule="exact"/>
              <w:ind w:left="272"/>
              <w:jc w:val="center"/>
              <w:textAlignment w:val="baseline"/>
              <w:rPr>
                <w:rFonts w:hint="eastAsia" w:ascii="仿宋_GB2312" w:hAnsi="仿宋_GB2312" w:eastAsia="仿宋_GB2312" w:cs="仿宋_GB2312"/>
                <w:b w:val="0"/>
                <w:bCs w:val="0"/>
                <w:snapToGrid w:val="0"/>
                <w:color w:val="000000"/>
                <w:kern w:val="0"/>
                <w:sz w:val="21"/>
                <w:szCs w:val="21"/>
              </w:rPr>
            </w:pPr>
            <w:r>
              <w:rPr>
                <w:rFonts w:hint="eastAsia" w:ascii="仿宋_GB2312" w:hAnsi="仿宋_GB2312" w:eastAsia="仿宋_GB2312" w:cs="仿宋_GB2312"/>
                <w:b w:val="0"/>
                <w:bCs w:val="0"/>
                <w:snapToGrid w:val="0"/>
                <w:color w:val="000000"/>
                <w:kern w:val="0"/>
                <w:sz w:val="21"/>
                <w:szCs w:val="21"/>
                <w:lang w:val="en-US" w:eastAsia="zh-CN"/>
              </w:rPr>
              <w:t>行政处罚</w:t>
            </w:r>
          </w:p>
        </w:tc>
        <w:tc>
          <w:tcPr>
            <w:tcW w:w="1179" w:type="dxa"/>
            <w:shd w:val="clear" w:color="auto" w:fill="FFFFFF"/>
            <w:tcMar>
              <w:left w:w="108" w:type="dxa"/>
              <w:right w:w="108" w:type="dxa"/>
            </w:tcMar>
            <w:vAlign w:val="center"/>
          </w:tcPr>
          <w:p w14:paraId="54241C8B">
            <w:pPr>
              <w:pStyle w:val="7"/>
              <w:keepNext w:val="0"/>
              <w:keepLines w:val="0"/>
              <w:pageBreakBefore w:val="0"/>
              <w:widowControl/>
              <w:kinsoku w:val="0"/>
              <w:wordWrap/>
              <w:overflowPunct/>
              <w:topLinePunct w:val="0"/>
              <w:autoSpaceDE w:val="0"/>
              <w:autoSpaceDN w:val="0"/>
              <w:bidi w:val="0"/>
              <w:adjustRightInd w:val="0"/>
              <w:snapToGrid w:val="0"/>
              <w:spacing w:line="260" w:lineRule="exact"/>
              <w:ind w:left="272" w:leftChars="0"/>
              <w:jc w:val="center"/>
              <w:textAlignment w:val="baseline"/>
              <w:rPr>
                <w:rFonts w:hint="eastAsia" w:ascii="仿宋_GB2312" w:hAnsi="仿宋_GB2312" w:eastAsia="仿宋_GB2312" w:cs="仿宋_GB2312"/>
                <w:b w:val="0"/>
                <w:bCs w:val="0"/>
                <w:snapToGrid w:val="0"/>
                <w:color w:val="000000"/>
                <w:kern w:val="0"/>
                <w:sz w:val="21"/>
                <w:szCs w:val="21"/>
              </w:rPr>
            </w:pPr>
            <w:r>
              <w:rPr>
                <w:rFonts w:hint="eastAsia" w:ascii="仿宋_GB2312" w:hAnsi="仿宋_GB2312" w:eastAsia="仿宋_GB2312" w:cs="仿宋_GB2312"/>
                <w:b w:val="0"/>
                <w:bCs w:val="0"/>
                <w:snapToGrid w:val="0"/>
                <w:color w:val="000000"/>
                <w:kern w:val="0"/>
                <w:sz w:val="21"/>
                <w:szCs w:val="21"/>
                <w:lang w:val="en-US" w:eastAsia="zh-CN"/>
              </w:rPr>
              <w:t>零陵区发改局</w:t>
            </w:r>
          </w:p>
        </w:tc>
        <w:tc>
          <w:tcPr>
            <w:tcW w:w="1444" w:type="dxa"/>
            <w:shd w:val="clear" w:color="auto" w:fill="FFFFFF"/>
            <w:tcMar>
              <w:left w:w="108" w:type="dxa"/>
              <w:right w:w="108" w:type="dxa"/>
            </w:tcMar>
            <w:vAlign w:val="center"/>
          </w:tcPr>
          <w:p w14:paraId="6CE09B66">
            <w:pPr>
              <w:pStyle w:val="7"/>
              <w:keepNext w:val="0"/>
              <w:keepLines w:val="0"/>
              <w:pageBreakBefore w:val="0"/>
              <w:widowControl/>
              <w:kinsoku w:val="0"/>
              <w:wordWrap/>
              <w:overflowPunct/>
              <w:topLinePunct w:val="0"/>
              <w:autoSpaceDE w:val="0"/>
              <w:autoSpaceDN w:val="0"/>
              <w:bidi w:val="0"/>
              <w:adjustRightInd w:val="0"/>
              <w:snapToGrid w:val="0"/>
              <w:spacing w:line="260" w:lineRule="exact"/>
              <w:ind w:left="272" w:leftChars="0"/>
              <w:jc w:val="center"/>
              <w:textAlignment w:val="baseline"/>
              <w:rPr>
                <w:rFonts w:hint="eastAsia" w:ascii="仿宋_GB2312" w:hAnsi="仿宋_GB2312" w:eastAsia="仿宋_GB2312" w:cs="仿宋_GB2312"/>
                <w:b w:val="0"/>
                <w:bCs w:val="0"/>
                <w:snapToGrid w:val="0"/>
                <w:color w:val="000000"/>
                <w:kern w:val="0"/>
                <w:sz w:val="21"/>
                <w:szCs w:val="21"/>
              </w:rPr>
            </w:pPr>
            <w:r>
              <w:rPr>
                <w:rFonts w:hint="eastAsia" w:ascii="仿宋_GB2312" w:hAnsi="仿宋_GB2312" w:eastAsia="仿宋_GB2312" w:cs="仿宋_GB2312"/>
                <w:b w:val="0"/>
                <w:bCs w:val="0"/>
                <w:snapToGrid w:val="0"/>
                <w:color w:val="000000"/>
                <w:kern w:val="0"/>
                <w:sz w:val="21"/>
                <w:szCs w:val="21"/>
                <w:lang w:val="en-US" w:eastAsia="zh-CN"/>
              </w:rPr>
              <w:t>法规股</w:t>
            </w:r>
          </w:p>
        </w:tc>
        <w:tc>
          <w:tcPr>
            <w:tcW w:w="8616" w:type="dxa"/>
            <w:shd w:val="clear" w:color="auto" w:fill="FFFFFF"/>
            <w:tcMar>
              <w:left w:w="108" w:type="dxa"/>
              <w:right w:w="108" w:type="dxa"/>
            </w:tcMar>
            <w:vAlign w:val="center"/>
          </w:tcPr>
          <w:p w14:paraId="45AB9178">
            <w:pPr>
              <w:pStyle w:val="7"/>
              <w:keepNext w:val="0"/>
              <w:keepLines w:val="0"/>
              <w:pageBreakBefore w:val="0"/>
              <w:widowControl/>
              <w:kinsoku w:val="0"/>
              <w:wordWrap/>
              <w:overflowPunct/>
              <w:topLinePunct w:val="0"/>
              <w:autoSpaceDE w:val="0"/>
              <w:autoSpaceDN w:val="0"/>
              <w:bidi w:val="0"/>
              <w:adjustRightInd w:val="0"/>
              <w:snapToGrid w:val="0"/>
              <w:spacing w:line="260" w:lineRule="exact"/>
              <w:ind w:left="272"/>
              <w:jc w:val="left"/>
              <w:textAlignment w:val="baseline"/>
              <w:rPr>
                <w:rFonts w:hint="eastAsia" w:ascii="仿宋_GB2312" w:hAnsi="仿宋_GB2312" w:eastAsia="仿宋_GB2312" w:cs="仿宋_GB2312"/>
                <w:b w:val="0"/>
                <w:bCs w:val="0"/>
                <w:snapToGrid w:val="0"/>
                <w:color w:val="000000"/>
                <w:kern w:val="0"/>
                <w:sz w:val="21"/>
                <w:szCs w:val="21"/>
              </w:rPr>
            </w:pPr>
            <w:r>
              <w:rPr>
                <w:rFonts w:hint="eastAsia" w:ascii="仿宋_GB2312" w:hAnsi="仿宋_GB2312" w:eastAsia="仿宋_GB2312" w:cs="仿宋_GB2312"/>
                <w:b w:val="0"/>
                <w:bCs w:val="0"/>
                <w:snapToGrid w:val="0"/>
                <w:color w:val="000000"/>
                <w:kern w:val="0"/>
                <w:sz w:val="21"/>
                <w:szCs w:val="21"/>
                <w:lang w:val="en-US" w:eastAsia="zh-CN"/>
              </w:rPr>
              <w:t>1.《中华人民共和国招标投标法》第五十五条  依法必须进行招标的项目，招标人违反本法规定，与投标人就投标价格、投标方案等实质性内容进行谈判的，给予警告，对单位直接负责的主管人员和其他直接责任人员依法给予处分。</w:t>
            </w:r>
            <w:r>
              <w:rPr>
                <w:rFonts w:hint="eastAsia" w:ascii="仿宋_GB2312" w:hAnsi="仿宋_GB2312" w:eastAsia="仿宋_GB2312" w:cs="仿宋_GB2312"/>
                <w:b w:val="0"/>
                <w:bCs w:val="0"/>
                <w:snapToGrid w:val="0"/>
                <w:color w:val="000000"/>
                <w:kern w:val="0"/>
                <w:sz w:val="21"/>
                <w:szCs w:val="21"/>
                <w:lang w:val="en-US" w:eastAsia="zh-CN"/>
              </w:rPr>
              <w:br w:type="textWrapping"/>
            </w:r>
            <w:r>
              <w:rPr>
                <w:rFonts w:hint="eastAsia" w:ascii="仿宋_GB2312" w:hAnsi="仿宋_GB2312" w:eastAsia="仿宋_GB2312" w:cs="仿宋_GB2312"/>
                <w:b w:val="0"/>
                <w:bCs w:val="0"/>
                <w:snapToGrid w:val="0"/>
                <w:color w:val="000000"/>
                <w:kern w:val="0"/>
                <w:sz w:val="21"/>
                <w:szCs w:val="21"/>
                <w:lang w:val="en-US" w:eastAsia="zh-CN"/>
              </w:rPr>
              <w:t>前款所列行为影响中标结果的，中标无效。</w:t>
            </w:r>
            <w:r>
              <w:rPr>
                <w:rFonts w:hint="eastAsia" w:ascii="仿宋_GB2312" w:hAnsi="仿宋_GB2312" w:eastAsia="仿宋_GB2312" w:cs="仿宋_GB2312"/>
                <w:b w:val="0"/>
                <w:bCs w:val="0"/>
                <w:snapToGrid w:val="0"/>
                <w:color w:val="000000"/>
                <w:kern w:val="0"/>
                <w:sz w:val="21"/>
                <w:szCs w:val="21"/>
                <w:lang w:val="en-US" w:eastAsia="zh-CN"/>
              </w:rPr>
              <w:br w:type="textWrapping"/>
            </w:r>
            <w:r>
              <w:rPr>
                <w:rFonts w:hint="eastAsia" w:ascii="仿宋_GB2312" w:hAnsi="仿宋_GB2312" w:eastAsia="仿宋_GB2312" w:cs="仿宋_GB2312"/>
                <w:b w:val="0"/>
                <w:bCs w:val="0"/>
                <w:snapToGrid w:val="0"/>
                <w:color w:val="000000"/>
                <w:kern w:val="0"/>
                <w:sz w:val="21"/>
                <w:szCs w:val="21"/>
                <w:lang w:val="en-US" w:eastAsia="zh-CN"/>
              </w:rPr>
              <w:t>2.《湖南省人民政府办公厅《关于建立健全招标投标监管长效机制规范招标投标活动的意见》（湘政办发〔2021〕77号）第(一)条  规定合理划分招标投标活动监管职责。各级发展改革部门负责指导和协调本行政区域内的招标投标工作，按照职责权限对工业项目(含能源)、代建单位招标投标实施监督。对没有行业主管部门或确实难以协调明确监管职责的项目，由发展改革部门实施监督和查处违法违规行为，避免出现管理空白和监督缺位。</w:t>
            </w:r>
          </w:p>
        </w:tc>
        <w:tc>
          <w:tcPr>
            <w:tcW w:w="817" w:type="dxa"/>
            <w:shd w:val="clear" w:color="auto" w:fill="FFFFFF"/>
            <w:noWrap/>
            <w:tcMar>
              <w:left w:w="108" w:type="dxa"/>
              <w:right w:w="108" w:type="dxa"/>
            </w:tcMar>
            <w:vAlign w:val="center"/>
          </w:tcPr>
          <w:p w14:paraId="353FCF39">
            <w:pPr>
              <w:pStyle w:val="7"/>
              <w:keepNext w:val="0"/>
              <w:keepLines w:val="0"/>
              <w:pageBreakBefore w:val="0"/>
              <w:widowControl/>
              <w:kinsoku w:val="0"/>
              <w:wordWrap/>
              <w:overflowPunct/>
              <w:topLinePunct w:val="0"/>
              <w:autoSpaceDE w:val="0"/>
              <w:autoSpaceDN w:val="0"/>
              <w:bidi w:val="0"/>
              <w:adjustRightInd w:val="0"/>
              <w:snapToGrid w:val="0"/>
              <w:spacing w:line="260" w:lineRule="exact"/>
              <w:ind w:left="272"/>
              <w:jc w:val="center"/>
              <w:textAlignment w:val="baseline"/>
              <w:rPr>
                <w:rFonts w:hint="eastAsia" w:ascii="仿宋_GB2312" w:hAnsi="仿宋_GB2312" w:eastAsia="仿宋_GB2312" w:cs="仿宋_GB2312"/>
                <w:b w:val="0"/>
                <w:bCs w:val="0"/>
                <w:snapToGrid w:val="0"/>
                <w:color w:val="000000"/>
                <w:kern w:val="0"/>
                <w:sz w:val="21"/>
                <w:szCs w:val="21"/>
              </w:rPr>
            </w:pPr>
          </w:p>
        </w:tc>
      </w:tr>
      <w:tr w14:paraId="545722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85" w:hRule="atLeast"/>
        </w:trPr>
        <w:tc>
          <w:tcPr>
            <w:tcW w:w="745" w:type="dxa"/>
            <w:shd w:val="clear" w:color="auto" w:fill="FFFFFF"/>
            <w:tcMar>
              <w:left w:w="108" w:type="dxa"/>
              <w:right w:w="108" w:type="dxa"/>
            </w:tcMar>
            <w:vAlign w:val="center"/>
          </w:tcPr>
          <w:p w14:paraId="40356796">
            <w:pPr>
              <w:pStyle w:val="7"/>
              <w:keepNext w:val="0"/>
              <w:keepLines w:val="0"/>
              <w:pageBreakBefore w:val="0"/>
              <w:widowControl/>
              <w:kinsoku w:val="0"/>
              <w:wordWrap/>
              <w:overflowPunct/>
              <w:topLinePunct w:val="0"/>
              <w:autoSpaceDE w:val="0"/>
              <w:autoSpaceDN w:val="0"/>
              <w:bidi w:val="0"/>
              <w:adjustRightInd w:val="0"/>
              <w:snapToGrid w:val="0"/>
              <w:spacing w:line="260" w:lineRule="exact"/>
              <w:ind w:left="272"/>
              <w:jc w:val="center"/>
              <w:textAlignment w:val="baseline"/>
              <w:rPr>
                <w:rFonts w:hint="eastAsia" w:ascii="仿宋_GB2312" w:hAnsi="仿宋_GB2312" w:eastAsia="仿宋_GB2312" w:cs="仿宋_GB2312"/>
                <w:b w:val="0"/>
                <w:bCs w:val="0"/>
                <w:snapToGrid w:val="0"/>
                <w:color w:val="000000"/>
                <w:kern w:val="0"/>
                <w:sz w:val="21"/>
                <w:szCs w:val="21"/>
              </w:rPr>
            </w:pPr>
            <w:r>
              <w:rPr>
                <w:rFonts w:hint="eastAsia" w:ascii="仿宋_GB2312" w:hAnsi="仿宋_GB2312" w:eastAsia="仿宋_GB2312" w:cs="仿宋_GB2312"/>
                <w:b w:val="0"/>
                <w:bCs w:val="0"/>
                <w:snapToGrid w:val="0"/>
                <w:color w:val="000000"/>
                <w:kern w:val="0"/>
                <w:sz w:val="21"/>
                <w:szCs w:val="21"/>
                <w:lang w:val="en-US" w:eastAsia="zh-CN"/>
              </w:rPr>
              <w:t>7</w:t>
            </w:r>
          </w:p>
        </w:tc>
        <w:tc>
          <w:tcPr>
            <w:tcW w:w="1334" w:type="dxa"/>
            <w:shd w:val="clear" w:color="auto" w:fill="FFFFFF"/>
            <w:tcMar>
              <w:left w:w="108" w:type="dxa"/>
              <w:right w:w="108" w:type="dxa"/>
            </w:tcMar>
            <w:vAlign w:val="center"/>
          </w:tcPr>
          <w:p w14:paraId="3D27C2A1">
            <w:pPr>
              <w:pStyle w:val="7"/>
              <w:keepNext w:val="0"/>
              <w:keepLines w:val="0"/>
              <w:pageBreakBefore w:val="0"/>
              <w:widowControl/>
              <w:kinsoku w:val="0"/>
              <w:wordWrap/>
              <w:overflowPunct/>
              <w:topLinePunct w:val="0"/>
              <w:autoSpaceDE w:val="0"/>
              <w:autoSpaceDN w:val="0"/>
              <w:bidi w:val="0"/>
              <w:adjustRightInd w:val="0"/>
              <w:snapToGrid w:val="0"/>
              <w:spacing w:line="260" w:lineRule="exact"/>
              <w:ind w:left="272"/>
              <w:jc w:val="center"/>
              <w:textAlignment w:val="baseline"/>
              <w:rPr>
                <w:rFonts w:hint="eastAsia" w:ascii="仿宋_GB2312" w:hAnsi="仿宋_GB2312" w:eastAsia="仿宋_GB2312" w:cs="仿宋_GB2312"/>
                <w:b w:val="0"/>
                <w:bCs w:val="0"/>
                <w:snapToGrid w:val="0"/>
                <w:color w:val="000000"/>
                <w:kern w:val="0"/>
                <w:sz w:val="21"/>
                <w:szCs w:val="21"/>
              </w:rPr>
            </w:pPr>
            <w:r>
              <w:rPr>
                <w:rFonts w:hint="eastAsia" w:ascii="仿宋_GB2312" w:hAnsi="仿宋_GB2312" w:eastAsia="仿宋_GB2312" w:cs="仿宋_GB2312"/>
                <w:b w:val="0"/>
                <w:bCs w:val="0"/>
                <w:snapToGrid w:val="0"/>
                <w:color w:val="000000"/>
                <w:kern w:val="0"/>
                <w:sz w:val="21"/>
                <w:szCs w:val="21"/>
                <w:lang w:val="en-US" w:eastAsia="zh-CN"/>
              </w:rPr>
              <w:t>对评标专家违规的行政处罚</w:t>
            </w:r>
          </w:p>
        </w:tc>
        <w:tc>
          <w:tcPr>
            <w:tcW w:w="1085" w:type="dxa"/>
            <w:shd w:val="clear" w:color="auto" w:fill="FFFFFF"/>
            <w:noWrap/>
            <w:tcMar>
              <w:left w:w="108" w:type="dxa"/>
              <w:right w:w="108" w:type="dxa"/>
            </w:tcMar>
            <w:vAlign w:val="center"/>
          </w:tcPr>
          <w:p w14:paraId="23252797">
            <w:pPr>
              <w:pStyle w:val="7"/>
              <w:keepNext w:val="0"/>
              <w:keepLines w:val="0"/>
              <w:pageBreakBefore w:val="0"/>
              <w:widowControl/>
              <w:kinsoku w:val="0"/>
              <w:wordWrap/>
              <w:overflowPunct/>
              <w:topLinePunct w:val="0"/>
              <w:autoSpaceDE w:val="0"/>
              <w:autoSpaceDN w:val="0"/>
              <w:bidi w:val="0"/>
              <w:adjustRightInd w:val="0"/>
              <w:snapToGrid w:val="0"/>
              <w:spacing w:line="260" w:lineRule="exact"/>
              <w:ind w:left="272"/>
              <w:jc w:val="center"/>
              <w:textAlignment w:val="baseline"/>
              <w:rPr>
                <w:rFonts w:hint="eastAsia" w:ascii="仿宋_GB2312" w:hAnsi="仿宋_GB2312" w:eastAsia="仿宋_GB2312" w:cs="仿宋_GB2312"/>
                <w:b w:val="0"/>
                <w:bCs w:val="0"/>
                <w:snapToGrid w:val="0"/>
                <w:color w:val="000000"/>
                <w:kern w:val="0"/>
                <w:sz w:val="21"/>
                <w:szCs w:val="21"/>
              </w:rPr>
            </w:pPr>
            <w:r>
              <w:rPr>
                <w:rFonts w:hint="eastAsia" w:ascii="仿宋_GB2312" w:hAnsi="仿宋_GB2312" w:eastAsia="仿宋_GB2312" w:cs="仿宋_GB2312"/>
                <w:b w:val="0"/>
                <w:bCs w:val="0"/>
                <w:snapToGrid w:val="0"/>
                <w:color w:val="000000"/>
                <w:kern w:val="0"/>
                <w:sz w:val="21"/>
                <w:szCs w:val="21"/>
                <w:lang w:val="en-US" w:eastAsia="zh-CN"/>
              </w:rPr>
              <w:t>行政处罚</w:t>
            </w:r>
          </w:p>
        </w:tc>
        <w:tc>
          <w:tcPr>
            <w:tcW w:w="1179" w:type="dxa"/>
            <w:shd w:val="clear" w:color="auto" w:fill="FFFFFF"/>
            <w:tcMar>
              <w:left w:w="108" w:type="dxa"/>
              <w:right w:w="108" w:type="dxa"/>
            </w:tcMar>
            <w:vAlign w:val="center"/>
          </w:tcPr>
          <w:p w14:paraId="3C263E85">
            <w:pPr>
              <w:pStyle w:val="7"/>
              <w:keepNext w:val="0"/>
              <w:keepLines w:val="0"/>
              <w:pageBreakBefore w:val="0"/>
              <w:widowControl/>
              <w:kinsoku w:val="0"/>
              <w:wordWrap/>
              <w:overflowPunct/>
              <w:topLinePunct w:val="0"/>
              <w:autoSpaceDE w:val="0"/>
              <w:autoSpaceDN w:val="0"/>
              <w:bidi w:val="0"/>
              <w:adjustRightInd w:val="0"/>
              <w:snapToGrid w:val="0"/>
              <w:spacing w:line="260" w:lineRule="exact"/>
              <w:ind w:left="272" w:leftChars="0"/>
              <w:jc w:val="center"/>
              <w:textAlignment w:val="baseline"/>
              <w:rPr>
                <w:rFonts w:hint="eastAsia" w:ascii="仿宋_GB2312" w:hAnsi="仿宋_GB2312" w:eastAsia="仿宋_GB2312" w:cs="仿宋_GB2312"/>
                <w:b w:val="0"/>
                <w:bCs w:val="0"/>
                <w:snapToGrid w:val="0"/>
                <w:color w:val="000000"/>
                <w:kern w:val="0"/>
                <w:sz w:val="21"/>
                <w:szCs w:val="21"/>
              </w:rPr>
            </w:pPr>
            <w:r>
              <w:rPr>
                <w:rFonts w:hint="eastAsia" w:ascii="仿宋_GB2312" w:hAnsi="仿宋_GB2312" w:eastAsia="仿宋_GB2312" w:cs="仿宋_GB2312"/>
                <w:b w:val="0"/>
                <w:bCs w:val="0"/>
                <w:snapToGrid w:val="0"/>
                <w:color w:val="000000"/>
                <w:kern w:val="0"/>
                <w:sz w:val="21"/>
                <w:szCs w:val="21"/>
                <w:lang w:val="en-US" w:eastAsia="zh-CN"/>
              </w:rPr>
              <w:t>零陵区发改局</w:t>
            </w:r>
          </w:p>
        </w:tc>
        <w:tc>
          <w:tcPr>
            <w:tcW w:w="1444" w:type="dxa"/>
            <w:shd w:val="clear" w:color="auto" w:fill="FFFFFF"/>
            <w:tcMar>
              <w:left w:w="108" w:type="dxa"/>
              <w:right w:w="108" w:type="dxa"/>
            </w:tcMar>
            <w:vAlign w:val="center"/>
          </w:tcPr>
          <w:p w14:paraId="592768FB">
            <w:pPr>
              <w:pStyle w:val="7"/>
              <w:keepNext w:val="0"/>
              <w:keepLines w:val="0"/>
              <w:pageBreakBefore w:val="0"/>
              <w:widowControl/>
              <w:kinsoku w:val="0"/>
              <w:wordWrap/>
              <w:overflowPunct/>
              <w:topLinePunct w:val="0"/>
              <w:autoSpaceDE w:val="0"/>
              <w:autoSpaceDN w:val="0"/>
              <w:bidi w:val="0"/>
              <w:adjustRightInd w:val="0"/>
              <w:snapToGrid w:val="0"/>
              <w:spacing w:line="260" w:lineRule="exact"/>
              <w:ind w:left="272" w:leftChars="0"/>
              <w:jc w:val="center"/>
              <w:textAlignment w:val="baseline"/>
              <w:rPr>
                <w:rFonts w:hint="eastAsia" w:ascii="仿宋_GB2312" w:hAnsi="仿宋_GB2312" w:eastAsia="仿宋_GB2312" w:cs="仿宋_GB2312"/>
                <w:b w:val="0"/>
                <w:bCs w:val="0"/>
                <w:snapToGrid w:val="0"/>
                <w:color w:val="000000"/>
                <w:kern w:val="0"/>
                <w:sz w:val="21"/>
                <w:szCs w:val="21"/>
              </w:rPr>
            </w:pPr>
            <w:r>
              <w:rPr>
                <w:rFonts w:hint="eastAsia" w:ascii="仿宋_GB2312" w:hAnsi="仿宋_GB2312" w:eastAsia="仿宋_GB2312" w:cs="仿宋_GB2312"/>
                <w:b w:val="0"/>
                <w:bCs w:val="0"/>
                <w:snapToGrid w:val="0"/>
                <w:color w:val="000000"/>
                <w:kern w:val="0"/>
                <w:sz w:val="21"/>
                <w:szCs w:val="21"/>
                <w:lang w:val="en-US" w:eastAsia="zh-CN"/>
              </w:rPr>
              <w:t>法规股</w:t>
            </w:r>
          </w:p>
        </w:tc>
        <w:tc>
          <w:tcPr>
            <w:tcW w:w="8616" w:type="dxa"/>
            <w:shd w:val="clear" w:color="auto" w:fill="FFFFFF"/>
            <w:tcMar>
              <w:left w:w="108" w:type="dxa"/>
              <w:right w:w="108" w:type="dxa"/>
            </w:tcMar>
            <w:vAlign w:val="center"/>
          </w:tcPr>
          <w:p w14:paraId="65E1CA9B">
            <w:pPr>
              <w:pStyle w:val="7"/>
              <w:keepNext w:val="0"/>
              <w:keepLines w:val="0"/>
              <w:pageBreakBefore w:val="0"/>
              <w:widowControl/>
              <w:kinsoku w:val="0"/>
              <w:wordWrap/>
              <w:overflowPunct/>
              <w:topLinePunct w:val="0"/>
              <w:autoSpaceDE w:val="0"/>
              <w:autoSpaceDN w:val="0"/>
              <w:bidi w:val="0"/>
              <w:adjustRightInd w:val="0"/>
              <w:snapToGrid w:val="0"/>
              <w:spacing w:line="260" w:lineRule="exact"/>
              <w:ind w:left="272"/>
              <w:jc w:val="left"/>
              <w:textAlignment w:val="baseline"/>
              <w:rPr>
                <w:rFonts w:hint="eastAsia" w:ascii="仿宋_GB2312" w:hAnsi="仿宋_GB2312" w:eastAsia="仿宋_GB2312" w:cs="仿宋_GB2312"/>
                <w:b w:val="0"/>
                <w:bCs w:val="0"/>
                <w:snapToGrid w:val="0"/>
                <w:color w:val="000000"/>
                <w:kern w:val="0"/>
                <w:sz w:val="21"/>
                <w:szCs w:val="21"/>
              </w:rPr>
            </w:pPr>
            <w:r>
              <w:rPr>
                <w:rFonts w:hint="eastAsia" w:ascii="仿宋_GB2312" w:hAnsi="仿宋_GB2312" w:eastAsia="仿宋_GB2312" w:cs="仿宋_GB2312"/>
                <w:b w:val="0"/>
                <w:bCs w:val="0"/>
                <w:snapToGrid w:val="0"/>
                <w:color w:val="000000"/>
                <w:kern w:val="0"/>
                <w:sz w:val="21"/>
                <w:szCs w:val="21"/>
                <w:lang w:val="en-US" w:eastAsia="zh-CN"/>
              </w:rPr>
              <w:t>1.《中华人民共和国招标投标法》第五十六条  评标委员会成员收受投标人的财物或者其他好处的，评标委员会成员或者参加评标的有关工作人员向他人透露对投标文件的评审和比较、中标候选人的推荐以及与评标有关的其他情况的，给予警告，没收收受的财物，可以并处三千元以上五万元以下的罚款，对有所列违法行为的评标委员会成员取消担任评标委员会成员的资格，不得再参加任何依法必须进行招标的项目的评标；构成犯罪的，依法追究刑事责任。</w:t>
            </w:r>
            <w:r>
              <w:rPr>
                <w:rFonts w:hint="eastAsia" w:ascii="仿宋_GB2312" w:hAnsi="仿宋_GB2312" w:eastAsia="仿宋_GB2312" w:cs="仿宋_GB2312"/>
                <w:b w:val="0"/>
                <w:bCs w:val="0"/>
                <w:snapToGrid w:val="0"/>
                <w:color w:val="000000"/>
                <w:kern w:val="0"/>
                <w:sz w:val="21"/>
                <w:szCs w:val="21"/>
                <w:lang w:val="en-US" w:eastAsia="zh-CN"/>
              </w:rPr>
              <w:br w:type="textWrapping"/>
            </w:r>
            <w:r>
              <w:rPr>
                <w:rFonts w:hint="eastAsia" w:ascii="仿宋_GB2312" w:hAnsi="仿宋_GB2312" w:eastAsia="仿宋_GB2312" w:cs="仿宋_GB2312"/>
                <w:b w:val="0"/>
                <w:bCs w:val="0"/>
                <w:snapToGrid w:val="0"/>
                <w:color w:val="000000"/>
                <w:kern w:val="0"/>
                <w:sz w:val="21"/>
                <w:szCs w:val="21"/>
                <w:lang w:val="en-US" w:eastAsia="zh-CN"/>
              </w:rPr>
              <w:t>2.《中华人民共和国招标投标法实施条例》第七十一条  评标委员会成员有下列行为之一的，由有关行政监督部门责令改正；情节严重的，禁止其在一定期限内参加依法必须进行招标的项目的评标；情节特别严重的，取消其担任评标委员会成员的资格：</w:t>
            </w:r>
            <w:r>
              <w:rPr>
                <w:rFonts w:hint="eastAsia" w:ascii="仿宋_GB2312" w:hAnsi="仿宋_GB2312" w:eastAsia="仿宋_GB2312" w:cs="仿宋_GB2312"/>
                <w:b w:val="0"/>
                <w:bCs w:val="0"/>
                <w:snapToGrid w:val="0"/>
                <w:color w:val="000000"/>
                <w:kern w:val="0"/>
                <w:sz w:val="21"/>
                <w:szCs w:val="21"/>
                <w:lang w:val="en-US" w:eastAsia="zh-CN"/>
              </w:rPr>
              <w:br w:type="textWrapping"/>
            </w:r>
            <w:r>
              <w:rPr>
                <w:rFonts w:hint="eastAsia" w:ascii="仿宋_GB2312" w:hAnsi="仿宋_GB2312" w:eastAsia="仿宋_GB2312" w:cs="仿宋_GB2312"/>
                <w:b w:val="0"/>
                <w:bCs w:val="0"/>
                <w:snapToGrid w:val="0"/>
                <w:color w:val="000000"/>
                <w:kern w:val="0"/>
                <w:sz w:val="21"/>
                <w:szCs w:val="21"/>
                <w:lang w:val="en-US" w:eastAsia="zh-CN"/>
              </w:rPr>
              <w:t>（一）应当回避而不回避；</w:t>
            </w:r>
            <w:r>
              <w:rPr>
                <w:rFonts w:hint="eastAsia" w:ascii="仿宋_GB2312" w:hAnsi="仿宋_GB2312" w:eastAsia="仿宋_GB2312" w:cs="仿宋_GB2312"/>
                <w:b w:val="0"/>
                <w:bCs w:val="0"/>
                <w:snapToGrid w:val="0"/>
                <w:color w:val="000000"/>
                <w:kern w:val="0"/>
                <w:sz w:val="21"/>
                <w:szCs w:val="21"/>
                <w:lang w:val="en-US" w:eastAsia="zh-CN"/>
              </w:rPr>
              <w:br w:type="textWrapping"/>
            </w:r>
            <w:r>
              <w:rPr>
                <w:rFonts w:hint="eastAsia" w:ascii="仿宋_GB2312" w:hAnsi="仿宋_GB2312" w:eastAsia="仿宋_GB2312" w:cs="仿宋_GB2312"/>
                <w:b w:val="0"/>
                <w:bCs w:val="0"/>
                <w:snapToGrid w:val="0"/>
                <w:color w:val="000000"/>
                <w:kern w:val="0"/>
                <w:sz w:val="21"/>
                <w:szCs w:val="21"/>
                <w:lang w:val="en-US" w:eastAsia="zh-CN"/>
              </w:rPr>
              <w:t>（二）擅离职守；</w:t>
            </w:r>
            <w:r>
              <w:rPr>
                <w:rFonts w:hint="eastAsia" w:ascii="仿宋_GB2312" w:hAnsi="仿宋_GB2312" w:eastAsia="仿宋_GB2312" w:cs="仿宋_GB2312"/>
                <w:b w:val="0"/>
                <w:bCs w:val="0"/>
                <w:snapToGrid w:val="0"/>
                <w:color w:val="000000"/>
                <w:kern w:val="0"/>
                <w:sz w:val="21"/>
                <w:szCs w:val="21"/>
                <w:lang w:val="en-US" w:eastAsia="zh-CN"/>
              </w:rPr>
              <w:br w:type="textWrapping"/>
            </w:r>
            <w:r>
              <w:rPr>
                <w:rFonts w:hint="eastAsia" w:ascii="仿宋_GB2312" w:hAnsi="仿宋_GB2312" w:eastAsia="仿宋_GB2312" w:cs="仿宋_GB2312"/>
                <w:b w:val="0"/>
                <w:bCs w:val="0"/>
                <w:snapToGrid w:val="0"/>
                <w:color w:val="000000"/>
                <w:kern w:val="0"/>
                <w:sz w:val="21"/>
                <w:szCs w:val="21"/>
                <w:lang w:val="en-US" w:eastAsia="zh-CN"/>
              </w:rPr>
              <w:t>（三）不按照招标文件规定的评标标准和方法评标；</w:t>
            </w:r>
            <w:r>
              <w:rPr>
                <w:rFonts w:hint="eastAsia" w:ascii="仿宋_GB2312" w:hAnsi="仿宋_GB2312" w:eastAsia="仿宋_GB2312" w:cs="仿宋_GB2312"/>
                <w:b w:val="0"/>
                <w:bCs w:val="0"/>
                <w:snapToGrid w:val="0"/>
                <w:color w:val="000000"/>
                <w:kern w:val="0"/>
                <w:sz w:val="21"/>
                <w:szCs w:val="21"/>
                <w:lang w:val="en-US" w:eastAsia="zh-CN"/>
              </w:rPr>
              <w:br w:type="textWrapping"/>
            </w:r>
            <w:r>
              <w:rPr>
                <w:rFonts w:hint="eastAsia" w:ascii="仿宋_GB2312" w:hAnsi="仿宋_GB2312" w:eastAsia="仿宋_GB2312" w:cs="仿宋_GB2312"/>
                <w:b w:val="0"/>
                <w:bCs w:val="0"/>
                <w:snapToGrid w:val="0"/>
                <w:color w:val="000000"/>
                <w:kern w:val="0"/>
                <w:sz w:val="21"/>
                <w:szCs w:val="21"/>
                <w:lang w:val="en-US" w:eastAsia="zh-CN"/>
              </w:rPr>
              <w:t>（四）私下接触投标人；</w:t>
            </w:r>
            <w:r>
              <w:rPr>
                <w:rFonts w:hint="eastAsia" w:ascii="仿宋_GB2312" w:hAnsi="仿宋_GB2312" w:eastAsia="仿宋_GB2312" w:cs="仿宋_GB2312"/>
                <w:b w:val="0"/>
                <w:bCs w:val="0"/>
                <w:snapToGrid w:val="0"/>
                <w:color w:val="000000"/>
                <w:kern w:val="0"/>
                <w:sz w:val="21"/>
                <w:szCs w:val="21"/>
                <w:lang w:val="en-US" w:eastAsia="zh-CN"/>
              </w:rPr>
              <w:br w:type="textWrapping"/>
            </w:r>
            <w:r>
              <w:rPr>
                <w:rFonts w:hint="eastAsia" w:ascii="仿宋_GB2312" w:hAnsi="仿宋_GB2312" w:eastAsia="仿宋_GB2312" w:cs="仿宋_GB2312"/>
                <w:b w:val="0"/>
                <w:bCs w:val="0"/>
                <w:snapToGrid w:val="0"/>
                <w:color w:val="000000"/>
                <w:kern w:val="0"/>
                <w:sz w:val="21"/>
                <w:szCs w:val="21"/>
                <w:lang w:val="en-US" w:eastAsia="zh-CN"/>
              </w:rPr>
              <w:t>（五）向招标人征询确定中标人的意向或者接受任何单位或者个人明示或者暗示提出的倾向或者排斥特定投标人的要求；</w:t>
            </w:r>
            <w:r>
              <w:rPr>
                <w:rFonts w:hint="eastAsia" w:ascii="仿宋_GB2312" w:hAnsi="仿宋_GB2312" w:eastAsia="仿宋_GB2312" w:cs="仿宋_GB2312"/>
                <w:b w:val="0"/>
                <w:bCs w:val="0"/>
                <w:snapToGrid w:val="0"/>
                <w:color w:val="000000"/>
                <w:kern w:val="0"/>
                <w:sz w:val="21"/>
                <w:szCs w:val="21"/>
                <w:lang w:val="en-US" w:eastAsia="zh-CN"/>
              </w:rPr>
              <w:br w:type="textWrapping"/>
            </w:r>
            <w:r>
              <w:rPr>
                <w:rFonts w:hint="eastAsia" w:ascii="仿宋_GB2312" w:hAnsi="仿宋_GB2312" w:eastAsia="仿宋_GB2312" w:cs="仿宋_GB2312"/>
                <w:b w:val="0"/>
                <w:bCs w:val="0"/>
                <w:snapToGrid w:val="0"/>
                <w:color w:val="000000"/>
                <w:kern w:val="0"/>
                <w:sz w:val="21"/>
                <w:szCs w:val="21"/>
                <w:lang w:val="en-US" w:eastAsia="zh-CN"/>
              </w:rPr>
              <w:t>（六）对依法应当否决的投标不提出否决意见；</w:t>
            </w:r>
            <w:r>
              <w:rPr>
                <w:rFonts w:hint="eastAsia" w:ascii="仿宋_GB2312" w:hAnsi="仿宋_GB2312" w:eastAsia="仿宋_GB2312" w:cs="仿宋_GB2312"/>
                <w:b w:val="0"/>
                <w:bCs w:val="0"/>
                <w:snapToGrid w:val="0"/>
                <w:color w:val="000000"/>
                <w:kern w:val="0"/>
                <w:sz w:val="21"/>
                <w:szCs w:val="21"/>
                <w:lang w:val="en-US" w:eastAsia="zh-CN"/>
              </w:rPr>
              <w:br w:type="textWrapping"/>
            </w:r>
            <w:r>
              <w:rPr>
                <w:rFonts w:hint="eastAsia" w:ascii="仿宋_GB2312" w:hAnsi="仿宋_GB2312" w:eastAsia="仿宋_GB2312" w:cs="仿宋_GB2312"/>
                <w:b w:val="0"/>
                <w:bCs w:val="0"/>
                <w:snapToGrid w:val="0"/>
                <w:color w:val="000000"/>
                <w:kern w:val="0"/>
                <w:sz w:val="21"/>
                <w:szCs w:val="21"/>
                <w:lang w:val="en-US" w:eastAsia="zh-CN"/>
              </w:rPr>
              <w:t>（七）暗示或者诱导投标人作出澄清、说明或者接受投标人主动提出的澄清、说明；</w:t>
            </w:r>
            <w:r>
              <w:rPr>
                <w:rFonts w:hint="eastAsia" w:ascii="仿宋_GB2312" w:hAnsi="仿宋_GB2312" w:eastAsia="仿宋_GB2312" w:cs="仿宋_GB2312"/>
                <w:b w:val="0"/>
                <w:bCs w:val="0"/>
                <w:snapToGrid w:val="0"/>
                <w:color w:val="000000"/>
                <w:kern w:val="0"/>
                <w:sz w:val="21"/>
                <w:szCs w:val="21"/>
                <w:lang w:val="en-US" w:eastAsia="zh-CN"/>
              </w:rPr>
              <w:br w:type="textWrapping"/>
            </w:r>
            <w:r>
              <w:rPr>
                <w:rFonts w:hint="eastAsia" w:ascii="仿宋_GB2312" w:hAnsi="仿宋_GB2312" w:eastAsia="仿宋_GB2312" w:cs="仿宋_GB2312"/>
                <w:b w:val="0"/>
                <w:bCs w:val="0"/>
                <w:snapToGrid w:val="0"/>
                <w:color w:val="000000"/>
                <w:kern w:val="0"/>
                <w:sz w:val="21"/>
                <w:szCs w:val="21"/>
                <w:lang w:val="en-US" w:eastAsia="zh-CN"/>
              </w:rPr>
              <w:t>（八）其他不客观、不公正履行职务的行为。七十二条  评标委员会成员收受投标人的财物或者其他好处的，没收收受的财物，处3000元以上5万元以下的罚款，取消担任评标委员会成员的资格，不得再参加依法必须进行招标的项目的评标；构成犯罪的，依法追究刑事责任。</w:t>
            </w:r>
          </w:p>
        </w:tc>
        <w:tc>
          <w:tcPr>
            <w:tcW w:w="817" w:type="dxa"/>
            <w:shd w:val="clear" w:color="auto" w:fill="FFFFFF"/>
            <w:noWrap/>
            <w:tcMar>
              <w:left w:w="108" w:type="dxa"/>
              <w:right w:w="108" w:type="dxa"/>
            </w:tcMar>
            <w:vAlign w:val="center"/>
          </w:tcPr>
          <w:p w14:paraId="777D9CEF">
            <w:pPr>
              <w:pStyle w:val="7"/>
              <w:keepNext w:val="0"/>
              <w:keepLines w:val="0"/>
              <w:pageBreakBefore w:val="0"/>
              <w:widowControl/>
              <w:kinsoku w:val="0"/>
              <w:wordWrap/>
              <w:overflowPunct/>
              <w:topLinePunct w:val="0"/>
              <w:autoSpaceDE w:val="0"/>
              <w:autoSpaceDN w:val="0"/>
              <w:bidi w:val="0"/>
              <w:adjustRightInd w:val="0"/>
              <w:snapToGrid w:val="0"/>
              <w:spacing w:line="260" w:lineRule="exact"/>
              <w:ind w:left="272"/>
              <w:jc w:val="center"/>
              <w:textAlignment w:val="baseline"/>
              <w:rPr>
                <w:rFonts w:hint="eastAsia" w:ascii="仿宋_GB2312" w:hAnsi="仿宋_GB2312" w:eastAsia="仿宋_GB2312" w:cs="仿宋_GB2312"/>
                <w:b w:val="0"/>
                <w:bCs w:val="0"/>
                <w:snapToGrid w:val="0"/>
                <w:color w:val="000000"/>
                <w:kern w:val="0"/>
                <w:sz w:val="21"/>
                <w:szCs w:val="21"/>
              </w:rPr>
            </w:pPr>
          </w:p>
        </w:tc>
      </w:tr>
      <w:tr w14:paraId="710C52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286" w:hRule="atLeast"/>
        </w:trPr>
        <w:tc>
          <w:tcPr>
            <w:tcW w:w="745" w:type="dxa"/>
            <w:shd w:val="clear" w:color="auto" w:fill="FFFFFF"/>
            <w:tcMar>
              <w:left w:w="108" w:type="dxa"/>
              <w:right w:w="108" w:type="dxa"/>
            </w:tcMar>
            <w:vAlign w:val="center"/>
          </w:tcPr>
          <w:p w14:paraId="7AC841A7">
            <w:pPr>
              <w:pStyle w:val="7"/>
              <w:keepNext w:val="0"/>
              <w:keepLines w:val="0"/>
              <w:pageBreakBefore w:val="0"/>
              <w:widowControl/>
              <w:kinsoku w:val="0"/>
              <w:wordWrap/>
              <w:overflowPunct/>
              <w:topLinePunct w:val="0"/>
              <w:autoSpaceDE w:val="0"/>
              <w:autoSpaceDN w:val="0"/>
              <w:bidi w:val="0"/>
              <w:adjustRightInd w:val="0"/>
              <w:snapToGrid w:val="0"/>
              <w:spacing w:line="260" w:lineRule="exact"/>
              <w:ind w:left="272"/>
              <w:jc w:val="center"/>
              <w:textAlignment w:val="baseline"/>
              <w:rPr>
                <w:rFonts w:hint="eastAsia" w:ascii="仿宋_GB2312" w:hAnsi="仿宋_GB2312" w:eastAsia="仿宋_GB2312" w:cs="仿宋_GB2312"/>
                <w:b w:val="0"/>
                <w:bCs w:val="0"/>
                <w:snapToGrid w:val="0"/>
                <w:color w:val="000000"/>
                <w:kern w:val="0"/>
                <w:sz w:val="21"/>
                <w:szCs w:val="21"/>
              </w:rPr>
            </w:pPr>
            <w:r>
              <w:rPr>
                <w:rFonts w:hint="eastAsia" w:ascii="仿宋_GB2312" w:hAnsi="仿宋_GB2312" w:eastAsia="仿宋_GB2312" w:cs="仿宋_GB2312"/>
                <w:b w:val="0"/>
                <w:bCs w:val="0"/>
                <w:snapToGrid w:val="0"/>
                <w:color w:val="000000"/>
                <w:kern w:val="0"/>
                <w:sz w:val="21"/>
                <w:szCs w:val="21"/>
                <w:lang w:val="en-US" w:eastAsia="zh-CN"/>
              </w:rPr>
              <w:t>8</w:t>
            </w:r>
          </w:p>
        </w:tc>
        <w:tc>
          <w:tcPr>
            <w:tcW w:w="1334" w:type="dxa"/>
            <w:shd w:val="clear" w:color="auto" w:fill="FFFFFF"/>
            <w:tcMar>
              <w:left w:w="108" w:type="dxa"/>
              <w:right w:w="108" w:type="dxa"/>
            </w:tcMar>
            <w:vAlign w:val="center"/>
          </w:tcPr>
          <w:p w14:paraId="7A5DBE83">
            <w:pPr>
              <w:pStyle w:val="7"/>
              <w:keepNext w:val="0"/>
              <w:keepLines w:val="0"/>
              <w:pageBreakBefore w:val="0"/>
              <w:widowControl/>
              <w:kinsoku w:val="0"/>
              <w:wordWrap/>
              <w:overflowPunct/>
              <w:topLinePunct w:val="0"/>
              <w:autoSpaceDE w:val="0"/>
              <w:autoSpaceDN w:val="0"/>
              <w:bidi w:val="0"/>
              <w:adjustRightInd w:val="0"/>
              <w:snapToGrid w:val="0"/>
              <w:spacing w:line="260" w:lineRule="exact"/>
              <w:ind w:left="272"/>
              <w:jc w:val="center"/>
              <w:textAlignment w:val="baseline"/>
              <w:rPr>
                <w:rFonts w:hint="eastAsia" w:ascii="仿宋_GB2312" w:hAnsi="仿宋_GB2312" w:eastAsia="仿宋_GB2312" w:cs="仿宋_GB2312"/>
                <w:b w:val="0"/>
                <w:bCs w:val="0"/>
                <w:snapToGrid w:val="0"/>
                <w:color w:val="000000"/>
                <w:kern w:val="0"/>
                <w:sz w:val="21"/>
                <w:szCs w:val="21"/>
              </w:rPr>
            </w:pPr>
            <w:r>
              <w:rPr>
                <w:rFonts w:hint="eastAsia" w:ascii="仿宋_GB2312" w:hAnsi="仿宋_GB2312" w:eastAsia="仿宋_GB2312" w:cs="仿宋_GB2312"/>
                <w:b w:val="0"/>
                <w:bCs w:val="0"/>
                <w:snapToGrid w:val="0"/>
                <w:color w:val="000000"/>
                <w:kern w:val="0"/>
                <w:sz w:val="21"/>
                <w:szCs w:val="21"/>
                <w:lang w:val="en-US" w:eastAsia="zh-CN"/>
              </w:rPr>
              <w:t>对工业项目及按规定履行监管职责项目招标人在评标委员会依法推荐的中标候选人以外确定中标人的，依法必须进行招标的项目在所有投标被评标委员会否决后自行确定中标人的行政处罚</w:t>
            </w:r>
          </w:p>
        </w:tc>
        <w:tc>
          <w:tcPr>
            <w:tcW w:w="1085" w:type="dxa"/>
            <w:shd w:val="clear" w:color="auto" w:fill="FFFFFF"/>
            <w:noWrap/>
            <w:tcMar>
              <w:left w:w="108" w:type="dxa"/>
              <w:right w:w="108" w:type="dxa"/>
            </w:tcMar>
            <w:vAlign w:val="center"/>
          </w:tcPr>
          <w:p w14:paraId="00CE0BB7">
            <w:pPr>
              <w:pStyle w:val="7"/>
              <w:keepNext w:val="0"/>
              <w:keepLines w:val="0"/>
              <w:pageBreakBefore w:val="0"/>
              <w:widowControl/>
              <w:kinsoku w:val="0"/>
              <w:wordWrap/>
              <w:overflowPunct/>
              <w:topLinePunct w:val="0"/>
              <w:autoSpaceDE w:val="0"/>
              <w:autoSpaceDN w:val="0"/>
              <w:bidi w:val="0"/>
              <w:adjustRightInd w:val="0"/>
              <w:snapToGrid w:val="0"/>
              <w:spacing w:line="260" w:lineRule="exact"/>
              <w:ind w:left="272"/>
              <w:jc w:val="center"/>
              <w:textAlignment w:val="baseline"/>
              <w:rPr>
                <w:rFonts w:hint="eastAsia" w:ascii="仿宋_GB2312" w:hAnsi="仿宋_GB2312" w:eastAsia="仿宋_GB2312" w:cs="仿宋_GB2312"/>
                <w:b w:val="0"/>
                <w:bCs w:val="0"/>
                <w:snapToGrid w:val="0"/>
                <w:color w:val="000000"/>
                <w:kern w:val="0"/>
                <w:sz w:val="21"/>
                <w:szCs w:val="21"/>
              </w:rPr>
            </w:pPr>
            <w:r>
              <w:rPr>
                <w:rFonts w:hint="eastAsia" w:ascii="仿宋_GB2312" w:hAnsi="仿宋_GB2312" w:eastAsia="仿宋_GB2312" w:cs="仿宋_GB2312"/>
                <w:b w:val="0"/>
                <w:bCs w:val="0"/>
                <w:snapToGrid w:val="0"/>
                <w:color w:val="000000"/>
                <w:kern w:val="0"/>
                <w:sz w:val="21"/>
                <w:szCs w:val="21"/>
                <w:lang w:val="en-US" w:eastAsia="zh-CN"/>
              </w:rPr>
              <w:t>行政处罚</w:t>
            </w:r>
          </w:p>
        </w:tc>
        <w:tc>
          <w:tcPr>
            <w:tcW w:w="1179" w:type="dxa"/>
            <w:shd w:val="clear" w:color="auto" w:fill="FFFFFF"/>
            <w:tcMar>
              <w:left w:w="108" w:type="dxa"/>
              <w:right w:w="108" w:type="dxa"/>
            </w:tcMar>
            <w:vAlign w:val="center"/>
          </w:tcPr>
          <w:p w14:paraId="4544B44E">
            <w:pPr>
              <w:pStyle w:val="7"/>
              <w:keepNext w:val="0"/>
              <w:keepLines w:val="0"/>
              <w:pageBreakBefore w:val="0"/>
              <w:widowControl/>
              <w:kinsoku w:val="0"/>
              <w:wordWrap/>
              <w:overflowPunct/>
              <w:topLinePunct w:val="0"/>
              <w:autoSpaceDE w:val="0"/>
              <w:autoSpaceDN w:val="0"/>
              <w:bidi w:val="0"/>
              <w:adjustRightInd w:val="0"/>
              <w:snapToGrid w:val="0"/>
              <w:spacing w:line="260" w:lineRule="exact"/>
              <w:ind w:left="272" w:leftChars="0"/>
              <w:jc w:val="center"/>
              <w:textAlignment w:val="baseline"/>
              <w:rPr>
                <w:rFonts w:hint="eastAsia" w:ascii="仿宋_GB2312" w:hAnsi="仿宋_GB2312" w:eastAsia="仿宋_GB2312" w:cs="仿宋_GB2312"/>
                <w:b w:val="0"/>
                <w:bCs w:val="0"/>
                <w:snapToGrid w:val="0"/>
                <w:color w:val="000000"/>
                <w:kern w:val="0"/>
                <w:sz w:val="21"/>
                <w:szCs w:val="21"/>
              </w:rPr>
            </w:pPr>
            <w:r>
              <w:rPr>
                <w:rFonts w:hint="eastAsia" w:ascii="仿宋_GB2312" w:hAnsi="仿宋_GB2312" w:eastAsia="仿宋_GB2312" w:cs="仿宋_GB2312"/>
                <w:b w:val="0"/>
                <w:bCs w:val="0"/>
                <w:snapToGrid w:val="0"/>
                <w:color w:val="000000"/>
                <w:kern w:val="0"/>
                <w:sz w:val="21"/>
                <w:szCs w:val="21"/>
                <w:lang w:val="en-US" w:eastAsia="zh-CN"/>
              </w:rPr>
              <w:t>零陵区发改局</w:t>
            </w:r>
          </w:p>
        </w:tc>
        <w:tc>
          <w:tcPr>
            <w:tcW w:w="1444" w:type="dxa"/>
            <w:shd w:val="clear" w:color="auto" w:fill="FFFFFF"/>
            <w:tcMar>
              <w:left w:w="108" w:type="dxa"/>
              <w:right w:w="108" w:type="dxa"/>
            </w:tcMar>
            <w:vAlign w:val="center"/>
          </w:tcPr>
          <w:p w14:paraId="79729ACC">
            <w:pPr>
              <w:pStyle w:val="7"/>
              <w:keepNext w:val="0"/>
              <w:keepLines w:val="0"/>
              <w:pageBreakBefore w:val="0"/>
              <w:widowControl/>
              <w:kinsoku w:val="0"/>
              <w:wordWrap/>
              <w:overflowPunct/>
              <w:topLinePunct w:val="0"/>
              <w:autoSpaceDE w:val="0"/>
              <w:autoSpaceDN w:val="0"/>
              <w:bidi w:val="0"/>
              <w:adjustRightInd w:val="0"/>
              <w:snapToGrid w:val="0"/>
              <w:spacing w:line="260" w:lineRule="exact"/>
              <w:ind w:left="272" w:leftChars="0"/>
              <w:jc w:val="center"/>
              <w:textAlignment w:val="baseline"/>
              <w:rPr>
                <w:rFonts w:hint="eastAsia" w:ascii="仿宋_GB2312" w:hAnsi="仿宋_GB2312" w:eastAsia="仿宋_GB2312" w:cs="仿宋_GB2312"/>
                <w:b w:val="0"/>
                <w:bCs w:val="0"/>
                <w:snapToGrid w:val="0"/>
                <w:color w:val="000000"/>
                <w:kern w:val="0"/>
                <w:sz w:val="21"/>
                <w:szCs w:val="21"/>
              </w:rPr>
            </w:pPr>
            <w:r>
              <w:rPr>
                <w:rFonts w:hint="eastAsia" w:ascii="仿宋_GB2312" w:hAnsi="仿宋_GB2312" w:eastAsia="仿宋_GB2312" w:cs="仿宋_GB2312"/>
                <w:b w:val="0"/>
                <w:bCs w:val="0"/>
                <w:snapToGrid w:val="0"/>
                <w:color w:val="000000"/>
                <w:kern w:val="0"/>
                <w:sz w:val="21"/>
                <w:szCs w:val="21"/>
                <w:lang w:val="en-US" w:eastAsia="zh-CN"/>
              </w:rPr>
              <w:t>法规股</w:t>
            </w:r>
          </w:p>
        </w:tc>
        <w:tc>
          <w:tcPr>
            <w:tcW w:w="8616" w:type="dxa"/>
            <w:shd w:val="clear" w:color="auto" w:fill="FFFFFF"/>
            <w:tcMar>
              <w:left w:w="108" w:type="dxa"/>
              <w:right w:w="108" w:type="dxa"/>
            </w:tcMar>
            <w:vAlign w:val="center"/>
          </w:tcPr>
          <w:p w14:paraId="744BEE45">
            <w:pPr>
              <w:pStyle w:val="7"/>
              <w:keepNext w:val="0"/>
              <w:keepLines w:val="0"/>
              <w:pageBreakBefore w:val="0"/>
              <w:widowControl/>
              <w:kinsoku w:val="0"/>
              <w:wordWrap/>
              <w:overflowPunct/>
              <w:topLinePunct w:val="0"/>
              <w:autoSpaceDE w:val="0"/>
              <w:autoSpaceDN w:val="0"/>
              <w:bidi w:val="0"/>
              <w:adjustRightInd w:val="0"/>
              <w:snapToGrid w:val="0"/>
              <w:spacing w:line="260" w:lineRule="exact"/>
              <w:ind w:left="272"/>
              <w:jc w:val="left"/>
              <w:textAlignment w:val="baseline"/>
              <w:rPr>
                <w:rFonts w:hint="eastAsia" w:ascii="仿宋_GB2312" w:hAnsi="仿宋_GB2312" w:eastAsia="仿宋_GB2312" w:cs="仿宋_GB2312"/>
                <w:b w:val="0"/>
                <w:bCs w:val="0"/>
                <w:snapToGrid w:val="0"/>
                <w:color w:val="000000"/>
                <w:kern w:val="0"/>
                <w:sz w:val="21"/>
                <w:szCs w:val="21"/>
              </w:rPr>
            </w:pPr>
            <w:r>
              <w:rPr>
                <w:rFonts w:hint="eastAsia" w:ascii="仿宋_GB2312" w:hAnsi="仿宋_GB2312" w:eastAsia="仿宋_GB2312" w:cs="仿宋_GB2312"/>
                <w:b w:val="0"/>
                <w:bCs w:val="0"/>
                <w:snapToGrid w:val="0"/>
                <w:color w:val="000000"/>
                <w:kern w:val="0"/>
                <w:sz w:val="21"/>
                <w:szCs w:val="21"/>
                <w:lang w:val="en-US" w:eastAsia="zh-CN"/>
              </w:rPr>
              <w:t>1.《中华人民共和国招标投标法》第五十七条  招标人在评标委员会依法推荐的中标候选人以外确定中标人的，依法必须进行招标的项目在所有投标被评标委员会否决后自行确定中标人的，中标无效，责令改正，可以处中标项目金额千分之五以上千分之十以下的罚款；对单位直接负责的主管人员和其他直接责任人员依法给予处分。</w:t>
            </w:r>
            <w:r>
              <w:rPr>
                <w:rFonts w:hint="eastAsia" w:ascii="仿宋_GB2312" w:hAnsi="仿宋_GB2312" w:eastAsia="仿宋_GB2312" w:cs="仿宋_GB2312"/>
                <w:b w:val="0"/>
                <w:bCs w:val="0"/>
                <w:snapToGrid w:val="0"/>
                <w:color w:val="000000"/>
                <w:kern w:val="0"/>
                <w:sz w:val="21"/>
                <w:szCs w:val="21"/>
                <w:lang w:val="en-US" w:eastAsia="zh-CN"/>
              </w:rPr>
              <w:br w:type="textWrapping"/>
            </w:r>
            <w:r>
              <w:rPr>
                <w:rFonts w:hint="eastAsia" w:ascii="仿宋_GB2312" w:hAnsi="仿宋_GB2312" w:eastAsia="仿宋_GB2312" w:cs="仿宋_GB2312"/>
                <w:b w:val="0"/>
                <w:bCs w:val="0"/>
                <w:snapToGrid w:val="0"/>
                <w:color w:val="000000"/>
                <w:kern w:val="0"/>
                <w:sz w:val="21"/>
                <w:szCs w:val="21"/>
                <w:lang w:val="en-US" w:eastAsia="zh-CN"/>
              </w:rPr>
              <w:t>2.《中华人民共和国招标投标法实施条例》第七十三条  依法必须进行招标的项目的招标人有下列情形之一的，由有关行政监督部门责令改正，可以处中标项目金额10‰以下的罚款；给他人造成损失的，依法承担赔偿责任；对单位直接负责的主管人员和其他直接责任人员依法给予处分：</w:t>
            </w:r>
            <w:r>
              <w:rPr>
                <w:rFonts w:hint="eastAsia" w:ascii="仿宋_GB2312" w:hAnsi="仿宋_GB2312" w:eastAsia="仿宋_GB2312" w:cs="仿宋_GB2312"/>
                <w:b w:val="0"/>
                <w:bCs w:val="0"/>
                <w:snapToGrid w:val="0"/>
                <w:color w:val="000000"/>
                <w:kern w:val="0"/>
                <w:sz w:val="21"/>
                <w:szCs w:val="21"/>
                <w:lang w:val="en-US" w:eastAsia="zh-CN"/>
              </w:rPr>
              <w:br w:type="textWrapping"/>
            </w:r>
            <w:r>
              <w:rPr>
                <w:rFonts w:hint="eastAsia" w:ascii="仿宋_GB2312" w:hAnsi="仿宋_GB2312" w:eastAsia="仿宋_GB2312" w:cs="仿宋_GB2312"/>
                <w:b w:val="0"/>
                <w:bCs w:val="0"/>
                <w:snapToGrid w:val="0"/>
                <w:color w:val="000000"/>
                <w:kern w:val="0"/>
                <w:sz w:val="21"/>
                <w:szCs w:val="21"/>
                <w:lang w:val="en-US" w:eastAsia="zh-CN"/>
              </w:rPr>
              <w:t>（一）无正当理由不发出中标通知书；</w:t>
            </w:r>
            <w:r>
              <w:rPr>
                <w:rFonts w:hint="eastAsia" w:ascii="仿宋_GB2312" w:hAnsi="仿宋_GB2312" w:eastAsia="仿宋_GB2312" w:cs="仿宋_GB2312"/>
                <w:b w:val="0"/>
                <w:bCs w:val="0"/>
                <w:snapToGrid w:val="0"/>
                <w:color w:val="000000"/>
                <w:kern w:val="0"/>
                <w:sz w:val="21"/>
                <w:szCs w:val="21"/>
                <w:lang w:val="en-US" w:eastAsia="zh-CN"/>
              </w:rPr>
              <w:br w:type="textWrapping"/>
            </w:r>
            <w:r>
              <w:rPr>
                <w:rFonts w:hint="eastAsia" w:ascii="仿宋_GB2312" w:hAnsi="仿宋_GB2312" w:eastAsia="仿宋_GB2312" w:cs="仿宋_GB2312"/>
                <w:b w:val="0"/>
                <w:bCs w:val="0"/>
                <w:snapToGrid w:val="0"/>
                <w:color w:val="000000"/>
                <w:kern w:val="0"/>
                <w:sz w:val="21"/>
                <w:szCs w:val="21"/>
                <w:lang w:val="en-US" w:eastAsia="zh-CN"/>
              </w:rPr>
              <w:t>（二）不按照规定确定中标人；</w:t>
            </w:r>
            <w:r>
              <w:rPr>
                <w:rFonts w:hint="eastAsia" w:ascii="仿宋_GB2312" w:hAnsi="仿宋_GB2312" w:eastAsia="仿宋_GB2312" w:cs="仿宋_GB2312"/>
                <w:b w:val="0"/>
                <w:bCs w:val="0"/>
                <w:snapToGrid w:val="0"/>
                <w:color w:val="000000"/>
                <w:kern w:val="0"/>
                <w:sz w:val="21"/>
                <w:szCs w:val="21"/>
                <w:lang w:val="en-US" w:eastAsia="zh-CN"/>
              </w:rPr>
              <w:br w:type="textWrapping"/>
            </w:r>
            <w:r>
              <w:rPr>
                <w:rFonts w:hint="eastAsia" w:ascii="仿宋_GB2312" w:hAnsi="仿宋_GB2312" w:eastAsia="仿宋_GB2312" w:cs="仿宋_GB2312"/>
                <w:b w:val="0"/>
                <w:bCs w:val="0"/>
                <w:snapToGrid w:val="0"/>
                <w:color w:val="000000"/>
                <w:kern w:val="0"/>
                <w:sz w:val="21"/>
                <w:szCs w:val="21"/>
                <w:lang w:val="en-US" w:eastAsia="zh-CN"/>
              </w:rPr>
              <w:t>（三）中标通知书发出后无正当理由改变中标结果；</w:t>
            </w:r>
            <w:r>
              <w:rPr>
                <w:rFonts w:hint="eastAsia" w:ascii="仿宋_GB2312" w:hAnsi="仿宋_GB2312" w:eastAsia="仿宋_GB2312" w:cs="仿宋_GB2312"/>
                <w:b w:val="0"/>
                <w:bCs w:val="0"/>
                <w:snapToGrid w:val="0"/>
                <w:color w:val="000000"/>
                <w:kern w:val="0"/>
                <w:sz w:val="21"/>
                <w:szCs w:val="21"/>
                <w:lang w:val="en-US" w:eastAsia="zh-CN"/>
              </w:rPr>
              <w:br w:type="textWrapping"/>
            </w:r>
            <w:r>
              <w:rPr>
                <w:rFonts w:hint="eastAsia" w:ascii="仿宋_GB2312" w:hAnsi="仿宋_GB2312" w:eastAsia="仿宋_GB2312" w:cs="仿宋_GB2312"/>
                <w:b w:val="0"/>
                <w:bCs w:val="0"/>
                <w:snapToGrid w:val="0"/>
                <w:color w:val="000000"/>
                <w:kern w:val="0"/>
                <w:sz w:val="21"/>
                <w:szCs w:val="21"/>
                <w:lang w:val="en-US" w:eastAsia="zh-CN"/>
              </w:rPr>
              <w:t>（四）无正当理由不与中标人订立合同；</w:t>
            </w:r>
            <w:r>
              <w:rPr>
                <w:rFonts w:hint="eastAsia" w:ascii="仿宋_GB2312" w:hAnsi="仿宋_GB2312" w:eastAsia="仿宋_GB2312" w:cs="仿宋_GB2312"/>
                <w:b w:val="0"/>
                <w:bCs w:val="0"/>
                <w:snapToGrid w:val="0"/>
                <w:color w:val="000000"/>
                <w:kern w:val="0"/>
                <w:sz w:val="21"/>
                <w:szCs w:val="21"/>
                <w:lang w:val="en-US" w:eastAsia="zh-CN"/>
              </w:rPr>
              <w:br w:type="textWrapping"/>
            </w:r>
            <w:r>
              <w:rPr>
                <w:rFonts w:hint="eastAsia" w:ascii="仿宋_GB2312" w:hAnsi="仿宋_GB2312" w:eastAsia="仿宋_GB2312" w:cs="仿宋_GB2312"/>
                <w:b w:val="0"/>
                <w:bCs w:val="0"/>
                <w:snapToGrid w:val="0"/>
                <w:color w:val="000000"/>
                <w:kern w:val="0"/>
                <w:sz w:val="21"/>
                <w:szCs w:val="21"/>
                <w:lang w:val="en-US" w:eastAsia="zh-CN"/>
              </w:rPr>
              <w:t>（五）在订立合同时向中标人提出附加条件。</w:t>
            </w:r>
            <w:r>
              <w:rPr>
                <w:rFonts w:hint="eastAsia" w:ascii="仿宋_GB2312" w:hAnsi="仿宋_GB2312" w:eastAsia="仿宋_GB2312" w:cs="仿宋_GB2312"/>
                <w:b w:val="0"/>
                <w:bCs w:val="0"/>
                <w:snapToGrid w:val="0"/>
                <w:color w:val="000000"/>
                <w:kern w:val="0"/>
                <w:sz w:val="21"/>
                <w:szCs w:val="21"/>
                <w:lang w:val="en-US" w:eastAsia="zh-CN"/>
              </w:rPr>
              <w:br w:type="textWrapping"/>
            </w:r>
            <w:r>
              <w:rPr>
                <w:rFonts w:hint="eastAsia" w:ascii="仿宋_GB2312" w:hAnsi="仿宋_GB2312" w:eastAsia="仿宋_GB2312" w:cs="仿宋_GB2312"/>
                <w:b w:val="0"/>
                <w:bCs w:val="0"/>
                <w:snapToGrid w:val="0"/>
                <w:color w:val="000000"/>
                <w:kern w:val="0"/>
                <w:sz w:val="21"/>
                <w:szCs w:val="21"/>
                <w:lang w:val="en-US" w:eastAsia="zh-CN"/>
              </w:rPr>
              <w:t>3.《湖南省人民政府办公厅《关于建立健全招标投标监管长效机制规范招标投标活动的意见》（湘政办发〔2021〕77号）第(一)条  规定合理划分招标投标活动监管职责。各级发展改革部门负责指导和协调本行政区域内的招标投标工作，按照职责权限对工业项目(含能源)、代建单位招标投标实施监督。对没有行业主管部门或确实难以协调明确监管职责的项目，由发展改革部门实施监督和查处违法违规行为，避免出现管理空白和监督缺位。</w:t>
            </w:r>
          </w:p>
        </w:tc>
        <w:tc>
          <w:tcPr>
            <w:tcW w:w="817" w:type="dxa"/>
            <w:shd w:val="clear" w:color="auto" w:fill="FFFFFF"/>
            <w:noWrap/>
            <w:tcMar>
              <w:left w:w="108" w:type="dxa"/>
              <w:right w:w="108" w:type="dxa"/>
            </w:tcMar>
            <w:vAlign w:val="center"/>
          </w:tcPr>
          <w:p w14:paraId="1942CB8F">
            <w:pPr>
              <w:pStyle w:val="7"/>
              <w:keepNext w:val="0"/>
              <w:keepLines w:val="0"/>
              <w:pageBreakBefore w:val="0"/>
              <w:widowControl/>
              <w:kinsoku w:val="0"/>
              <w:wordWrap/>
              <w:overflowPunct/>
              <w:topLinePunct w:val="0"/>
              <w:autoSpaceDE w:val="0"/>
              <w:autoSpaceDN w:val="0"/>
              <w:bidi w:val="0"/>
              <w:adjustRightInd w:val="0"/>
              <w:snapToGrid w:val="0"/>
              <w:spacing w:line="260" w:lineRule="exact"/>
              <w:ind w:left="272"/>
              <w:jc w:val="center"/>
              <w:textAlignment w:val="baseline"/>
              <w:rPr>
                <w:rFonts w:hint="eastAsia" w:ascii="仿宋_GB2312" w:hAnsi="仿宋_GB2312" w:eastAsia="仿宋_GB2312" w:cs="仿宋_GB2312"/>
                <w:b w:val="0"/>
                <w:bCs w:val="0"/>
                <w:snapToGrid w:val="0"/>
                <w:color w:val="000000"/>
                <w:kern w:val="0"/>
                <w:sz w:val="21"/>
                <w:szCs w:val="21"/>
              </w:rPr>
            </w:pPr>
          </w:p>
        </w:tc>
      </w:tr>
      <w:tr w14:paraId="0E4FB5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286" w:hRule="atLeast"/>
        </w:trPr>
        <w:tc>
          <w:tcPr>
            <w:tcW w:w="745" w:type="dxa"/>
            <w:shd w:val="clear" w:color="auto" w:fill="FFFFFF"/>
            <w:tcMar>
              <w:left w:w="108" w:type="dxa"/>
              <w:right w:w="108" w:type="dxa"/>
            </w:tcMar>
            <w:vAlign w:val="center"/>
          </w:tcPr>
          <w:p w14:paraId="4688EDD8">
            <w:pPr>
              <w:pStyle w:val="7"/>
              <w:keepNext w:val="0"/>
              <w:keepLines w:val="0"/>
              <w:pageBreakBefore w:val="0"/>
              <w:widowControl/>
              <w:kinsoku w:val="0"/>
              <w:wordWrap/>
              <w:overflowPunct/>
              <w:topLinePunct w:val="0"/>
              <w:autoSpaceDE w:val="0"/>
              <w:autoSpaceDN w:val="0"/>
              <w:bidi w:val="0"/>
              <w:adjustRightInd w:val="0"/>
              <w:snapToGrid w:val="0"/>
              <w:spacing w:line="260" w:lineRule="exact"/>
              <w:ind w:left="272"/>
              <w:jc w:val="center"/>
              <w:textAlignment w:val="baseline"/>
              <w:rPr>
                <w:rFonts w:hint="eastAsia" w:ascii="仿宋_GB2312" w:hAnsi="仿宋_GB2312" w:eastAsia="仿宋_GB2312" w:cs="仿宋_GB2312"/>
                <w:b w:val="0"/>
                <w:bCs w:val="0"/>
                <w:snapToGrid w:val="0"/>
                <w:color w:val="000000"/>
                <w:kern w:val="0"/>
                <w:sz w:val="21"/>
                <w:szCs w:val="21"/>
              </w:rPr>
            </w:pPr>
            <w:r>
              <w:rPr>
                <w:rFonts w:hint="eastAsia" w:ascii="仿宋_GB2312" w:hAnsi="仿宋_GB2312" w:eastAsia="仿宋_GB2312" w:cs="仿宋_GB2312"/>
                <w:b w:val="0"/>
                <w:bCs w:val="0"/>
                <w:snapToGrid w:val="0"/>
                <w:color w:val="000000"/>
                <w:kern w:val="0"/>
                <w:sz w:val="21"/>
                <w:szCs w:val="21"/>
                <w:lang w:val="en-US" w:eastAsia="zh-CN"/>
              </w:rPr>
              <w:t>9</w:t>
            </w:r>
          </w:p>
        </w:tc>
        <w:tc>
          <w:tcPr>
            <w:tcW w:w="1334" w:type="dxa"/>
            <w:shd w:val="clear" w:color="auto" w:fill="FFFFFF"/>
            <w:tcMar>
              <w:left w:w="108" w:type="dxa"/>
              <w:right w:w="108" w:type="dxa"/>
            </w:tcMar>
            <w:vAlign w:val="center"/>
          </w:tcPr>
          <w:p w14:paraId="25A0BE50">
            <w:pPr>
              <w:pStyle w:val="7"/>
              <w:keepNext w:val="0"/>
              <w:keepLines w:val="0"/>
              <w:pageBreakBefore w:val="0"/>
              <w:widowControl/>
              <w:kinsoku w:val="0"/>
              <w:wordWrap/>
              <w:overflowPunct/>
              <w:topLinePunct w:val="0"/>
              <w:autoSpaceDE w:val="0"/>
              <w:autoSpaceDN w:val="0"/>
              <w:bidi w:val="0"/>
              <w:adjustRightInd w:val="0"/>
              <w:snapToGrid w:val="0"/>
              <w:spacing w:line="260" w:lineRule="exact"/>
              <w:ind w:left="272"/>
              <w:jc w:val="center"/>
              <w:textAlignment w:val="baseline"/>
              <w:rPr>
                <w:rFonts w:hint="eastAsia" w:ascii="仿宋_GB2312" w:hAnsi="仿宋_GB2312" w:eastAsia="仿宋_GB2312" w:cs="仿宋_GB2312"/>
                <w:b w:val="0"/>
                <w:bCs w:val="0"/>
                <w:snapToGrid w:val="0"/>
                <w:color w:val="000000"/>
                <w:kern w:val="0"/>
                <w:sz w:val="21"/>
                <w:szCs w:val="21"/>
              </w:rPr>
            </w:pPr>
            <w:r>
              <w:rPr>
                <w:rFonts w:hint="eastAsia" w:ascii="仿宋_GB2312" w:hAnsi="仿宋_GB2312" w:eastAsia="仿宋_GB2312" w:cs="仿宋_GB2312"/>
                <w:b w:val="0"/>
                <w:bCs w:val="0"/>
                <w:snapToGrid w:val="0"/>
                <w:color w:val="000000"/>
                <w:kern w:val="0"/>
                <w:sz w:val="21"/>
                <w:szCs w:val="21"/>
                <w:lang w:val="en-US" w:eastAsia="zh-CN"/>
              </w:rPr>
              <w:t>对工业项目及按规定履行监管职责项目中标人将中标项目转让给他人的，将中标项目肢解后分别转让给他人的， 违反《招标投标法》规定将中标项目的部分主体、关键性工作分包给他人的，或者分包人再次分包的行政处罚</w:t>
            </w:r>
          </w:p>
        </w:tc>
        <w:tc>
          <w:tcPr>
            <w:tcW w:w="1085" w:type="dxa"/>
            <w:shd w:val="clear" w:color="auto" w:fill="FFFFFF"/>
            <w:noWrap/>
            <w:tcMar>
              <w:left w:w="108" w:type="dxa"/>
              <w:right w:w="108" w:type="dxa"/>
            </w:tcMar>
            <w:vAlign w:val="center"/>
          </w:tcPr>
          <w:p w14:paraId="0AA2F897">
            <w:pPr>
              <w:pStyle w:val="7"/>
              <w:keepNext w:val="0"/>
              <w:keepLines w:val="0"/>
              <w:pageBreakBefore w:val="0"/>
              <w:widowControl/>
              <w:kinsoku w:val="0"/>
              <w:wordWrap/>
              <w:overflowPunct/>
              <w:topLinePunct w:val="0"/>
              <w:autoSpaceDE w:val="0"/>
              <w:autoSpaceDN w:val="0"/>
              <w:bidi w:val="0"/>
              <w:adjustRightInd w:val="0"/>
              <w:snapToGrid w:val="0"/>
              <w:spacing w:line="260" w:lineRule="exact"/>
              <w:ind w:left="272"/>
              <w:jc w:val="center"/>
              <w:textAlignment w:val="baseline"/>
              <w:rPr>
                <w:rFonts w:hint="eastAsia" w:ascii="仿宋_GB2312" w:hAnsi="仿宋_GB2312" w:eastAsia="仿宋_GB2312" w:cs="仿宋_GB2312"/>
                <w:b w:val="0"/>
                <w:bCs w:val="0"/>
                <w:snapToGrid w:val="0"/>
                <w:color w:val="000000"/>
                <w:kern w:val="0"/>
                <w:sz w:val="21"/>
                <w:szCs w:val="21"/>
              </w:rPr>
            </w:pPr>
            <w:r>
              <w:rPr>
                <w:rFonts w:hint="eastAsia" w:ascii="仿宋_GB2312" w:hAnsi="仿宋_GB2312" w:eastAsia="仿宋_GB2312" w:cs="仿宋_GB2312"/>
                <w:b w:val="0"/>
                <w:bCs w:val="0"/>
                <w:snapToGrid w:val="0"/>
                <w:color w:val="000000"/>
                <w:kern w:val="0"/>
                <w:sz w:val="21"/>
                <w:szCs w:val="21"/>
                <w:lang w:val="en-US" w:eastAsia="zh-CN"/>
              </w:rPr>
              <w:t>行政处罚</w:t>
            </w:r>
          </w:p>
        </w:tc>
        <w:tc>
          <w:tcPr>
            <w:tcW w:w="1179" w:type="dxa"/>
            <w:shd w:val="clear" w:color="auto" w:fill="FFFFFF"/>
            <w:tcMar>
              <w:left w:w="108" w:type="dxa"/>
              <w:right w:w="108" w:type="dxa"/>
            </w:tcMar>
            <w:vAlign w:val="center"/>
          </w:tcPr>
          <w:p w14:paraId="1AC3E71D">
            <w:pPr>
              <w:pStyle w:val="7"/>
              <w:keepNext w:val="0"/>
              <w:keepLines w:val="0"/>
              <w:pageBreakBefore w:val="0"/>
              <w:widowControl/>
              <w:kinsoku w:val="0"/>
              <w:wordWrap/>
              <w:overflowPunct/>
              <w:topLinePunct w:val="0"/>
              <w:autoSpaceDE w:val="0"/>
              <w:autoSpaceDN w:val="0"/>
              <w:bidi w:val="0"/>
              <w:adjustRightInd w:val="0"/>
              <w:snapToGrid w:val="0"/>
              <w:spacing w:line="260" w:lineRule="exact"/>
              <w:ind w:left="272" w:leftChars="0"/>
              <w:jc w:val="center"/>
              <w:textAlignment w:val="baseline"/>
              <w:rPr>
                <w:rFonts w:hint="eastAsia" w:ascii="仿宋_GB2312" w:hAnsi="仿宋_GB2312" w:eastAsia="仿宋_GB2312" w:cs="仿宋_GB2312"/>
                <w:b w:val="0"/>
                <w:bCs w:val="0"/>
                <w:snapToGrid w:val="0"/>
                <w:color w:val="000000"/>
                <w:kern w:val="0"/>
                <w:sz w:val="21"/>
                <w:szCs w:val="21"/>
              </w:rPr>
            </w:pPr>
            <w:r>
              <w:rPr>
                <w:rFonts w:hint="eastAsia" w:ascii="仿宋_GB2312" w:hAnsi="仿宋_GB2312" w:eastAsia="仿宋_GB2312" w:cs="仿宋_GB2312"/>
                <w:b w:val="0"/>
                <w:bCs w:val="0"/>
                <w:snapToGrid w:val="0"/>
                <w:color w:val="000000"/>
                <w:kern w:val="0"/>
                <w:sz w:val="21"/>
                <w:szCs w:val="21"/>
                <w:lang w:val="en-US" w:eastAsia="zh-CN"/>
              </w:rPr>
              <w:t>零陵区发改局</w:t>
            </w:r>
          </w:p>
        </w:tc>
        <w:tc>
          <w:tcPr>
            <w:tcW w:w="1444" w:type="dxa"/>
            <w:shd w:val="clear" w:color="auto" w:fill="FFFFFF"/>
            <w:tcMar>
              <w:left w:w="108" w:type="dxa"/>
              <w:right w:w="108" w:type="dxa"/>
            </w:tcMar>
            <w:vAlign w:val="center"/>
          </w:tcPr>
          <w:p w14:paraId="77470850">
            <w:pPr>
              <w:pStyle w:val="7"/>
              <w:keepNext w:val="0"/>
              <w:keepLines w:val="0"/>
              <w:pageBreakBefore w:val="0"/>
              <w:widowControl/>
              <w:kinsoku w:val="0"/>
              <w:wordWrap/>
              <w:overflowPunct/>
              <w:topLinePunct w:val="0"/>
              <w:autoSpaceDE w:val="0"/>
              <w:autoSpaceDN w:val="0"/>
              <w:bidi w:val="0"/>
              <w:adjustRightInd w:val="0"/>
              <w:snapToGrid w:val="0"/>
              <w:spacing w:line="260" w:lineRule="exact"/>
              <w:ind w:left="272" w:leftChars="0"/>
              <w:jc w:val="center"/>
              <w:textAlignment w:val="baseline"/>
              <w:rPr>
                <w:rFonts w:hint="eastAsia" w:ascii="仿宋_GB2312" w:hAnsi="仿宋_GB2312" w:eastAsia="仿宋_GB2312" w:cs="仿宋_GB2312"/>
                <w:b w:val="0"/>
                <w:bCs w:val="0"/>
                <w:snapToGrid w:val="0"/>
                <w:color w:val="000000"/>
                <w:kern w:val="0"/>
                <w:sz w:val="21"/>
                <w:szCs w:val="21"/>
              </w:rPr>
            </w:pPr>
            <w:r>
              <w:rPr>
                <w:rFonts w:hint="eastAsia" w:ascii="仿宋_GB2312" w:hAnsi="仿宋_GB2312" w:eastAsia="仿宋_GB2312" w:cs="仿宋_GB2312"/>
                <w:b w:val="0"/>
                <w:bCs w:val="0"/>
                <w:snapToGrid w:val="0"/>
                <w:color w:val="000000"/>
                <w:kern w:val="0"/>
                <w:sz w:val="21"/>
                <w:szCs w:val="21"/>
                <w:lang w:val="en-US" w:eastAsia="zh-CN"/>
              </w:rPr>
              <w:t>法规股</w:t>
            </w:r>
          </w:p>
        </w:tc>
        <w:tc>
          <w:tcPr>
            <w:tcW w:w="8616" w:type="dxa"/>
            <w:shd w:val="clear" w:color="auto" w:fill="FFFFFF"/>
            <w:tcMar>
              <w:left w:w="108" w:type="dxa"/>
              <w:right w:w="108" w:type="dxa"/>
            </w:tcMar>
            <w:vAlign w:val="center"/>
          </w:tcPr>
          <w:p w14:paraId="7D0C39B8">
            <w:pPr>
              <w:pStyle w:val="7"/>
              <w:keepNext w:val="0"/>
              <w:keepLines w:val="0"/>
              <w:pageBreakBefore w:val="0"/>
              <w:widowControl/>
              <w:kinsoku w:val="0"/>
              <w:wordWrap/>
              <w:overflowPunct/>
              <w:topLinePunct w:val="0"/>
              <w:autoSpaceDE w:val="0"/>
              <w:autoSpaceDN w:val="0"/>
              <w:bidi w:val="0"/>
              <w:adjustRightInd w:val="0"/>
              <w:snapToGrid w:val="0"/>
              <w:spacing w:line="260" w:lineRule="exact"/>
              <w:ind w:left="272"/>
              <w:jc w:val="left"/>
              <w:textAlignment w:val="baseline"/>
              <w:rPr>
                <w:rFonts w:hint="eastAsia" w:ascii="仿宋_GB2312" w:hAnsi="仿宋_GB2312" w:eastAsia="仿宋_GB2312" w:cs="仿宋_GB2312"/>
                <w:b w:val="0"/>
                <w:bCs w:val="0"/>
                <w:snapToGrid w:val="0"/>
                <w:color w:val="000000"/>
                <w:kern w:val="0"/>
                <w:sz w:val="21"/>
                <w:szCs w:val="21"/>
              </w:rPr>
            </w:pPr>
            <w:r>
              <w:rPr>
                <w:rFonts w:hint="eastAsia" w:ascii="仿宋_GB2312" w:hAnsi="仿宋_GB2312" w:eastAsia="仿宋_GB2312" w:cs="仿宋_GB2312"/>
                <w:b w:val="0"/>
                <w:bCs w:val="0"/>
                <w:snapToGrid w:val="0"/>
                <w:color w:val="000000"/>
                <w:kern w:val="0"/>
                <w:sz w:val="21"/>
                <w:szCs w:val="21"/>
                <w:lang w:val="en-US" w:eastAsia="zh-CN"/>
              </w:rPr>
              <w:t>1.《中华人民共和国招标投标法》第五十八条  中标人将中标项目转让给他人的，将中标项目肢解后分别转让给他人的，违反本法规定将中标项目的部分主体、关键性工作分包给他人的，或者分包人再次分包的，转让、分包无效，处转让、分包项目金额千分之五以上千分之十以下的罚款；有违法所得的，并处没收违法所得；可以责令停业整顿；情节严重的，由工商行政管理机关吊销营业执照。</w:t>
            </w:r>
            <w:r>
              <w:rPr>
                <w:rFonts w:hint="eastAsia" w:ascii="仿宋_GB2312" w:hAnsi="仿宋_GB2312" w:eastAsia="仿宋_GB2312" w:cs="仿宋_GB2312"/>
                <w:b w:val="0"/>
                <w:bCs w:val="0"/>
                <w:snapToGrid w:val="0"/>
                <w:color w:val="000000"/>
                <w:kern w:val="0"/>
                <w:sz w:val="21"/>
                <w:szCs w:val="21"/>
                <w:lang w:val="en-US" w:eastAsia="zh-CN"/>
              </w:rPr>
              <w:br w:type="textWrapping"/>
            </w:r>
            <w:r>
              <w:rPr>
                <w:rFonts w:hint="eastAsia" w:ascii="仿宋_GB2312" w:hAnsi="仿宋_GB2312" w:eastAsia="仿宋_GB2312" w:cs="仿宋_GB2312"/>
                <w:b w:val="0"/>
                <w:bCs w:val="0"/>
                <w:snapToGrid w:val="0"/>
                <w:color w:val="000000"/>
                <w:kern w:val="0"/>
                <w:sz w:val="21"/>
                <w:szCs w:val="21"/>
                <w:lang w:val="en-US" w:eastAsia="zh-CN"/>
              </w:rPr>
              <w:t>2.《中华人民共和国招标投标法实施条例》第七十六条  中标人将中标项目转让给他人的，将中标项目肢解后分别转让给他人的，违反招标投标法和本条例规定将中标项目的部分主体、关键性工作分包给他人的，或者分包人再次分包的，转让、分包无效，处转让、分包项目金额5‰以上10‰以下的罚款；有违法所得的，并处没收违法所得；可以责令停业整顿；情节严重的，由工商行政管理机关吊销营业执照。</w:t>
            </w:r>
            <w:r>
              <w:rPr>
                <w:rFonts w:hint="eastAsia" w:ascii="仿宋_GB2312" w:hAnsi="仿宋_GB2312" w:eastAsia="仿宋_GB2312" w:cs="仿宋_GB2312"/>
                <w:b w:val="0"/>
                <w:bCs w:val="0"/>
                <w:snapToGrid w:val="0"/>
                <w:color w:val="000000"/>
                <w:kern w:val="0"/>
                <w:sz w:val="21"/>
                <w:szCs w:val="21"/>
                <w:lang w:val="en-US" w:eastAsia="zh-CN"/>
              </w:rPr>
              <w:br w:type="textWrapping"/>
            </w:r>
            <w:r>
              <w:rPr>
                <w:rFonts w:hint="eastAsia" w:ascii="仿宋_GB2312" w:hAnsi="仿宋_GB2312" w:eastAsia="仿宋_GB2312" w:cs="仿宋_GB2312"/>
                <w:b w:val="0"/>
                <w:bCs w:val="0"/>
                <w:snapToGrid w:val="0"/>
                <w:color w:val="000000"/>
                <w:kern w:val="0"/>
                <w:sz w:val="21"/>
                <w:szCs w:val="21"/>
                <w:lang w:val="en-US" w:eastAsia="zh-CN"/>
              </w:rPr>
              <w:t>3.《湖南省实施&lt;中华人民共和国招标投标法&gt;办法》第四十六条　违反本办法规定，有必须招标的项目不招标、泄露标底、串通投标、评标委员会成员收受贿赂、中标人将中标项目转让给他人等违法行为的，依照《中华人民共和国招标投标法 》的有关规定处理。</w:t>
            </w:r>
            <w:r>
              <w:rPr>
                <w:rFonts w:hint="eastAsia" w:ascii="仿宋_GB2312" w:hAnsi="仿宋_GB2312" w:eastAsia="仿宋_GB2312" w:cs="仿宋_GB2312"/>
                <w:b w:val="0"/>
                <w:bCs w:val="0"/>
                <w:snapToGrid w:val="0"/>
                <w:color w:val="000000"/>
                <w:kern w:val="0"/>
                <w:sz w:val="21"/>
                <w:szCs w:val="21"/>
                <w:lang w:val="en-US" w:eastAsia="zh-CN"/>
              </w:rPr>
              <w:br w:type="textWrapping"/>
            </w:r>
            <w:r>
              <w:rPr>
                <w:rFonts w:hint="eastAsia" w:ascii="仿宋_GB2312" w:hAnsi="仿宋_GB2312" w:eastAsia="仿宋_GB2312" w:cs="仿宋_GB2312"/>
                <w:b w:val="0"/>
                <w:bCs w:val="0"/>
                <w:snapToGrid w:val="0"/>
                <w:color w:val="000000"/>
                <w:kern w:val="0"/>
                <w:sz w:val="21"/>
                <w:szCs w:val="21"/>
                <w:lang w:val="en-US" w:eastAsia="zh-CN"/>
              </w:rPr>
              <w:t>4.《湖南省人民政府办公厅《关于建立健全招标投标监管长效机制规范招标投标活动的意见》（湘政办发〔2021〕77号）第(一)条  规定合理划分招标投标活动监管职责。各级发展改革部门负责指导和协调本行政区域内的招标投标工作，按照职责权限对工业项目(含能源)、代建单位招标投标实施监督。对没有行业主管部门或确实难以协调明确监管职责的项目，由发展改革部门实施监督和查处违法违规行为，避免出现管理空白和监督缺位。</w:t>
            </w:r>
          </w:p>
        </w:tc>
        <w:tc>
          <w:tcPr>
            <w:tcW w:w="817" w:type="dxa"/>
            <w:shd w:val="clear" w:color="auto" w:fill="FFFFFF"/>
            <w:noWrap/>
            <w:tcMar>
              <w:left w:w="108" w:type="dxa"/>
              <w:right w:w="108" w:type="dxa"/>
            </w:tcMar>
            <w:vAlign w:val="center"/>
          </w:tcPr>
          <w:p w14:paraId="4AA9B42D">
            <w:pPr>
              <w:pStyle w:val="7"/>
              <w:keepNext w:val="0"/>
              <w:keepLines w:val="0"/>
              <w:pageBreakBefore w:val="0"/>
              <w:widowControl/>
              <w:kinsoku w:val="0"/>
              <w:wordWrap/>
              <w:overflowPunct/>
              <w:topLinePunct w:val="0"/>
              <w:autoSpaceDE w:val="0"/>
              <w:autoSpaceDN w:val="0"/>
              <w:bidi w:val="0"/>
              <w:adjustRightInd w:val="0"/>
              <w:snapToGrid w:val="0"/>
              <w:spacing w:line="260" w:lineRule="exact"/>
              <w:ind w:left="272"/>
              <w:jc w:val="center"/>
              <w:textAlignment w:val="baseline"/>
              <w:rPr>
                <w:rFonts w:hint="eastAsia" w:ascii="仿宋_GB2312" w:hAnsi="仿宋_GB2312" w:eastAsia="仿宋_GB2312" w:cs="仿宋_GB2312"/>
                <w:b w:val="0"/>
                <w:bCs w:val="0"/>
                <w:snapToGrid w:val="0"/>
                <w:color w:val="000000"/>
                <w:kern w:val="0"/>
                <w:sz w:val="21"/>
                <w:szCs w:val="21"/>
              </w:rPr>
            </w:pPr>
          </w:p>
        </w:tc>
      </w:tr>
      <w:tr w14:paraId="1F13D5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144" w:hRule="atLeast"/>
        </w:trPr>
        <w:tc>
          <w:tcPr>
            <w:tcW w:w="745" w:type="dxa"/>
            <w:shd w:val="clear" w:color="auto" w:fill="FFFFFF"/>
            <w:tcMar>
              <w:left w:w="108" w:type="dxa"/>
              <w:right w:w="108" w:type="dxa"/>
            </w:tcMar>
            <w:vAlign w:val="center"/>
          </w:tcPr>
          <w:p w14:paraId="405BBDCA">
            <w:pPr>
              <w:pStyle w:val="7"/>
              <w:keepNext w:val="0"/>
              <w:keepLines w:val="0"/>
              <w:pageBreakBefore w:val="0"/>
              <w:widowControl/>
              <w:kinsoku w:val="0"/>
              <w:wordWrap/>
              <w:overflowPunct/>
              <w:topLinePunct w:val="0"/>
              <w:autoSpaceDE w:val="0"/>
              <w:autoSpaceDN w:val="0"/>
              <w:bidi w:val="0"/>
              <w:adjustRightInd w:val="0"/>
              <w:snapToGrid w:val="0"/>
              <w:spacing w:line="260" w:lineRule="exact"/>
              <w:ind w:left="272"/>
              <w:jc w:val="center"/>
              <w:textAlignment w:val="baseline"/>
              <w:rPr>
                <w:rFonts w:hint="default" w:ascii="仿宋_GB2312" w:hAnsi="仿宋_GB2312" w:eastAsia="仿宋_GB2312" w:cs="仿宋_GB2312"/>
                <w:b w:val="0"/>
                <w:bCs w:val="0"/>
                <w:snapToGrid w:val="0"/>
                <w:color w:val="000000"/>
                <w:kern w:val="0"/>
                <w:sz w:val="21"/>
                <w:szCs w:val="21"/>
                <w:lang w:val="en-US"/>
              </w:rPr>
            </w:pPr>
            <w:r>
              <w:rPr>
                <w:rFonts w:hint="eastAsia" w:ascii="仿宋_GB2312" w:hAnsi="仿宋_GB2312" w:eastAsia="仿宋_GB2312" w:cs="仿宋_GB2312"/>
                <w:b w:val="0"/>
                <w:bCs w:val="0"/>
                <w:snapToGrid w:val="0"/>
                <w:color w:val="000000"/>
                <w:kern w:val="0"/>
                <w:sz w:val="21"/>
                <w:szCs w:val="21"/>
                <w:lang w:val="en-US" w:eastAsia="zh-CN"/>
              </w:rPr>
              <w:t>10</w:t>
            </w:r>
          </w:p>
        </w:tc>
        <w:tc>
          <w:tcPr>
            <w:tcW w:w="1334" w:type="dxa"/>
            <w:shd w:val="clear" w:color="auto" w:fill="FFFFFF"/>
            <w:tcMar>
              <w:left w:w="108" w:type="dxa"/>
              <w:right w:w="108" w:type="dxa"/>
            </w:tcMar>
            <w:vAlign w:val="center"/>
          </w:tcPr>
          <w:p w14:paraId="04F4BF6E">
            <w:pPr>
              <w:pStyle w:val="7"/>
              <w:keepNext w:val="0"/>
              <w:keepLines w:val="0"/>
              <w:pageBreakBefore w:val="0"/>
              <w:widowControl/>
              <w:kinsoku w:val="0"/>
              <w:wordWrap/>
              <w:overflowPunct/>
              <w:topLinePunct w:val="0"/>
              <w:autoSpaceDE w:val="0"/>
              <w:autoSpaceDN w:val="0"/>
              <w:bidi w:val="0"/>
              <w:adjustRightInd w:val="0"/>
              <w:snapToGrid w:val="0"/>
              <w:spacing w:line="260" w:lineRule="exact"/>
              <w:ind w:left="272"/>
              <w:jc w:val="center"/>
              <w:textAlignment w:val="baseline"/>
              <w:rPr>
                <w:rFonts w:hint="eastAsia" w:ascii="仿宋_GB2312" w:hAnsi="仿宋_GB2312" w:eastAsia="仿宋_GB2312" w:cs="仿宋_GB2312"/>
                <w:b w:val="0"/>
                <w:bCs w:val="0"/>
                <w:snapToGrid w:val="0"/>
                <w:color w:val="000000"/>
                <w:kern w:val="0"/>
                <w:sz w:val="21"/>
                <w:szCs w:val="21"/>
              </w:rPr>
            </w:pPr>
            <w:r>
              <w:rPr>
                <w:rFonts w:hint="eastAsia" w:ascii="仿宋_GB2312" w:hAnsi="仿宋_GB2312" w:eastAsia="仿宋_GB2312" w:cs="仿宋_GB2312"/>
                <w:b w:val="0"/>
                <w:bCs w:val="0"/>
                <w:snapToGrid w:val="0"/>
                <w:color w:val="000000"/>
                <w:kern w:val="0"/>
                <w:sz w:val="21"/>
                <w:szCs w:val="21"/>
                <w:lang w:val="en-US" w:eastAsia="zh-CN"/>
              </w:rPr>
              <w:t>对工业项目及按规定履行监管职责项目的招标人和中标人不按照招标文件和中标人的投标文件订立合同，合同的主要条款与招标文件、中标人的投标文件的内容不一致，或者招标人、中标人订立背离合同实质性内容的协议的行政处罚</w:t>
            </w:r>
          </w:p>
        </w:tc>
        <w:tc>
          <w:tcPr>
            <w:tcW w:w="1085" w:type="dxa"/>
            <w:shd w:val="clear" w:color="auto" w:fill="FFFFFF"/>
            <w:noWrap/>
            <w:tcMar>
              <w:left w:w="108" w:type="dxa"/>
              <w:right w:w="108" w:type="dxa"/>
            </w:tcMar>
            <w:vAlign w:val="center"/>
          </w:tcPr>
          <w:p w14:paraId="4DB52358">
            <w:pPr>
              <w:pStyle w:val="7"/>
              <w:keepNext w:val="0"/>
              <w:keepLines w:val="0"/>
              <w:pageBreakBefore w:val="0"/>
              <w:widowControl/>
              <w:kinsoku w:val="0"/>
              <w:wordWrap/>
              <w:overflowPunct/>
              <w:topLinePunct w:val="0"/>
              <w:autoSpaceDE w:val="0"/>
              <w:autoSpaceDN w:val="0"/>
              <w:bidi w:val="0"/>
              <w:adjustRightInd w:val="0"/>
              <w:snapToGrid w:val="0"/>
              <w:spacing w:line="260" w:lineRule="exact"/>
              <w:ind w:left="272"/>
              <w:jc w:val="center"/>
              <w:textAlignment w:val="baseline"/>
              <w:rPr>
                <w:rFonts w:hint="eastAsia" w:ascii="仿宋_GB2312" w:hAnsi="仿宋_GB2312" w:eastAsia="仿宋_GB2312" w:cs="仿宋_GB2312"/>
                <w:b w:val="0"/>
                <w:bCs w:val="0"/>
                <w:snapToGrid w:val="0"/>
                <w:color w:val="000000"/>
                <w:kern w:val="0"/>
                <w:sz w:val="21"/>
                <w:szCs w:val="21"/>
              </w:rPr>
            </w:pPr>
            <w:r>
              <w:rPr>
                <w:rFonts w:hint="eastAsia" w:ascii="仿宋_GB2312" w:hAnsi="仿宋_GB2312" w:eastAsia="仿宋_GB2312" w:cs="仿宋_GB2312"/>
                <w:b w:val="0"/>
                <w:bCs w:val="0"/>
                <w:snapToGrid w:val="0"/>
                <w:color w:val="000000"/>
                <w:kern w:val="0"/>
                <w:sz w:val="21"/>
                <w:szCs w:val="21"/>
                <w:lang w:val="en-US" w:eastAsia="zh-CN"/>
              </w:rPr>
              <w:t>行政处罚</w:t>
            </w:r>
          </w:p>
        </w:tc>
        <w:tc>
          <w:tcPr>
            <w:tcW w:w="1179" w:type="dxa"/>
            <w:shd w:val="clear" w:color="auto" w:fill="FFFFFF"/>
            <w:tcMar>
              <w:left w:w="108" w:type="dxa"/>
              <w:right w:w="108" w:type="dxa"/>
            </w:tcMar>
            <w:vAlign w:val="center"/>
          </w:tcPr>
          <w:p w14:paraId="504CA4A6">
            <w:pPr>
              <w:pStyle w:val="7"/>
              <w:keepNext w:val="0"/>
              <w:keepLines w:val="0"/>
              <w:pageBreakBefore w:val="0"/>
              <w:widowControl/>
              <w:kinsoku w:val="0"/>
              <w:wordWrap/>
              <w:overflowPunct/>
              <w:topLinePunct w:val="0"/>
              <w:autoSpaceDE w:val="0"/>
              <w:autoSpaceDN w:val="0"/>
              <w:bidi w:val="0"/>
              <w:adjustRightInd w:val="0"/>
              <w:snapToGrid w:val="0"/>
              <w:spacing w:line="260" w:lineRule="exact"/>
              <w:ind w:left="272" w:leftChars="0"/>
              <w:jc w:val="center"/>
              <w:textAlignment w:val="baseline"/>
              <w:rPr>
                <w:rFonts w:hint="eastAsia" w:ascii="仿宋_GB2312" w:hAnsi="仿宋_GB2312" w:eastAsia="仿宋_GB2312" w:cs="仿宋_GB2312"/>
                <w:b w:val="0"/>
                <w:bCs w:val="0"/>
                <w:snapToGrid w:val="0"/>
                <w:color w:val="000000"/>
                <w:kern w:val="0"/>
                <w:sz w:val="21"/>
                <w:szCs w:val="21"/>
              </w:rPr>
            </w:pPr>
            <w:r>
              <w:rPr>
                <w:rFonts w:hint="eastAsia" w:ascii="仿宋_GB2312" w:hAnsi="仿宋_GB2312" w:eastAsia="仿宋_GB2312" w:cs="仿宋_GB2312"/>
                <w:b w:val="0"/>
                <w:bCs w:val="0"/>
                <w:snapToGrid w:val="0"/>
                <w:color w:val="000000"/>
                <w:kern w:val="0"/>
                <w:sz w:val="21"/>
                <w:szCs w:val="21"/>
                <w:lang w:val="en-US" w:eastAsia="zh-CN"/>
              </w:rPr>
              <w:t>零陵区发改局</w:t>
            </w:r>
          </w:p>
        </w:tc>
        <w:tc>
          <w:tcPr>
            <w:tcW w:w="1444" w:type="dxa"/>
            <w:shd w:val="clear" w:color="auto" w:fill="FFFFFF"/>
            <w:tcMar>
              <w:left w:w="108" w:type="dxa"/>
              <w:right w:w="108" w:type="dxa"/>
            </w:tcMar>
            <w:vAlign w:val="center"/>
          </w:tcPr>
          <w:p w14:paraId="0E18D92F">
            <w:pPr>
              <w:pStyle w:val="7"/>
              <w:keepNext w:val="0"/>
              <w:keepLines w:val="0"/>
              <w:pageBreakBefore w:val="0"/>
              <w:widowControl/>
              <w:kinsoku w:val="0"/>
              <w:wordWrap/>
              <w:overflowPunct/>
              <w:topLinePunct w:val="0"/>
              <w:autoSpaceDE w:val="0"/>
              <w:autoSpaceDN w:val="0"/>
              <w:bidi w:val="0"/>
              <w:adjustRightInd w:val="0"/>
              <w:snapToGrid w:val="0"/>
              <w:spacing w:line="260" w:lineRule="exact"/>
              <w:ind w:left="272" w:leftChars="0"/>
              <w:jc w:val="center"/>
              <w:textAlignment w:val="baseline"/>
              <w:rPr>
                <w:rFonts w:hint="eastAsia" w:ascii="仿宋_GB2312" w:hAnsi="仿宋_GB2312" w:eastAsia="仿宋_GB2312" w:cs="仿宋_GB2312"/>
                <w:b w:val="0"/>
                <w:bCs w:val="0"/>
                <w:snapToGrid w:val="0"/>
                <w:color w:val="000000"/>
                <w:kern w:val="0"/>
                <w:sz w:val="21"/>
                <w:szCs w:val="21"/>
              </w:rPr>
            </w:pPr>
            <w:r>
              <w:rPr>
                <w:rFonts w:hint="eastAsia" w:ascii="仿宋_GB2312" w:hAnsi="仿宋_GB2312" w:eastAsia="仿宋_GB2312" w:cs="仿宋_GB2312"/>
                <w:b w:val="0"/>
                <w:bCs w:val="0"/>
                <w:snapToGrid w:val="0"/>
                <w:color w:val="000000"/>
                <w:kern w:val="0"/>
                <w:sz w:val="21"/>
                <w:szCs w:val="21"/>
                <w:lang w:val="en-US" w:eastAsia="zh-CN"/>
              </w:rPr>
              <w:t>法规股</w:t>
            </w:r>
          </w:p>
        </w:tc>
        <w:tc>
          <w:tcPr>
            <w:tcW w:w="8616" w:type="dxa"/>
            <w:shd w:val="clear" w:color="auto" w:fill="FFFFFF"/>
            <w:tcMar>
              <w:left w:w="108" w:type="dxa"/>
              <w:right w:w="108" w:type="dxa"/>
            </w:tcMar>
            <w:vAlign w:val="center"/>
          </w:tcPr>
          <w:p w14:paraId="3EA16D96">
            <w:pPr>
              <w:pStyle w:val="7"/>
              <w:keepNext w:val="0"/>
              <w:keepLines w:val="0"/>
              <w:pageBreakBefore w:val="0"/>
              <w:widowControl/>
              <w:kinsoku w:val="0"/>
              <w:wordWrap/>
              <w:overflowPunct/>
              <w:topLinePunct w:val="0"/>
              <w:autoSpaceDE w:val="0"/>
              <w:autoSpaceDN w:val="0"/>
              <w:bidi w:val="0"/>
              <w:adjustRightInd w:val="0"/>
              <w:snapToGrid w:val="0"/>
              <w:spacing w:line="260" w:lineRule="exact"/>
              <w:ind w:left="272"/>
              <w:jc w:val="left"/>
              <w:textAlignment w:val="baseline"/>
              <w:rPr>
                <w:rFonts w:hint="eastAsia" w:ascii="仿宋_GB2312" w:hAnsi="仿宋_GB2312" w:eastAsia="仿宋_GB2312" w:cs="仿宋_GB2312"/>
                <w:b w:val="0"/>
                <w:bCs w:val="0"/>
                <w:snapToGrid w:val="0"/>
                <w:color w:val="000000"/>
                <w:kern w:val="0"/>
                <w:sz w:val="21"/>
                <w:szCs w:val="21"/>
              </w:rPr>
            </w:pPr>
            <w:r>
              <w:rPr>
                <w:rFonts w:hint="eastAsia" w:ascii="仿宋_GB2312" w:hAnsi="仿宋_GB2312" w:eastAsia="仿宋_GB2312" w:cs="仿宋_GB2312"/>
                <w:b w:val="0"/>
                <w:bCs w:val="0"/>
                <w:snapToGrid w:val="0"/>
                <w:color w:val="000000"/>
                <w:kern w:val="0"/>
                <w:sz w:val="21"/>
                <w:szCs w:val="21"/>
                <w:lang w:val="en-US" w:eastAsia="zh-CN"/>
              </w:rPr>
              <w:t>1.《中华人民共和国招标投标法》第五十九条  招标人与中标人不按照招标文件和中标人的投标文件订立合同的，或者招标人、中标人订立背离合同实质性内容的协议的，责令改正；可以处中标项目金额千分之五以上千分之十以下的罚款。</w:t>
            </w:r>
            <w:r>
              <w:rPr>
                <w:rFonts w:hint="eastAsia" w:ascii="仿宋_GB2312" w:hAnsi="仿宋_GB2312" w:eastAsia="仿宋_GB2312" w:cs="仿宋_GB2312"/>
                <w:b w:val="0"/>
                <w:bCs w:val="0"/>
                <w:snapToGrid w:val="0"/>
                <w:color w:val="000000"/>
                <w:kern w:val="0"/>
                <w:sz w:val="21"/>
                <w:szCs w:val="21"/>
                <w:lang w:val="en-US" w:eastAsia="zh-CN"/>
              </w:rPr>
              <w:br w:type="textWrapping"/>
            </w:r>
            <w:r>
              <w:rPr>
                <w:rFonts w:hint="eastAsia" w:ascii="仿宋_GB2312" w:hAnsi="仿宋_GB2312" w:eastAsia="仿宋_GB2312" w:cs="仿宋_GB2312"/>
                <w:b w:val="0"/>
                <w:bCs w:val="0"/>
                <w:snapToGrid w:val="0"/>
                <w:color w:val="000000"/>
                <w:kern w:val="0"/>
                <w:sz w:val="21"/>
                <w:szCs w:val="21"/>
                <w:lang w:val="en-US" w:eastAsia="zh-CN"/>
              </w:rPr>
              <w:t>2.《中华人民共和国招标投标法实施条例》第七十五条  招标人和中标人不按照招标文件和中标人的投标文件订立合同，合同的主要条款与招标文件、中标人的投标文件的内容不一致，或者招标人、中标人订立背离合同实质性内容的协议的，由有关行政监督部门责令改正，可以处中标项目金额5‰以上10‰以下的罚款。</w:t>
            </w:r>
            <w:r>
              <w:rPr>
                <w:rFonts w:hint="eastAsia" w:ascii="仿宋_GB2312" w:hAnsi="仿宋_GB2312" w:eastAsia="仿宋_GB2312" w:cs="仿宋_GB2312"/>
                <w:b w:val="0"/>
                <w:bCs w:val="0"/>
                <w:snapToGrid w:val="0"/>
                <w:color w:val="000000"/>
                <w:kern w:val="0"/>
                <w:sz w:val="21"/>
                <w:szCs w:val="21"/>
                <w:lang w:val="en-US" w:eastAsia="zh-CN"/>
              </w:rPr>
              <w:br w:type="textWrapping"/>
            </w:r>
            <w:r>
              <w:rPr>
                <w:rFonts w:hint="eastAsia" w:ascii="仿宋_GB2312" w:hAnsi="仿宋_GB2312" w:eastAsia="仿宋_GB2312" w:cs="仿宋_GB2312"/>
                <w:b w:val="0"/>
                <w:bCs w:val="0"/>
                <w:snapToGrid w:val="0"/>
                <w:color w:val="000000"/>
                <w:kern w:val="0"/>
                <w:sz w:val="21"/>
                <w:szCs w:val="21"/>
                <w:lang w:val="en-US" w:eastAsia="zh-CN"/>
              </w:rPr>
              <w:t>3.《湖南省人民政府办公厅《关于建立健全招标投标监管长效机制规范招标投标活动的意见》（湘政办发〔2021〕77号）第(一)条  规定合理划分招标投标活动监管职责。各级发展改革部门负责指导和协调本行政区域内的招标投标工作，按照职责权限对工业项目(含能源)、代建单位招标投标实施监督。对没有行业主管部门或确实难以协调明确监管职责的项目，由发展改革部门实施监督和查处违法违规行为，避免出现管理空白和监督缺位。</w:t>
            </w:r>
          </w:p>
        </w:tc>
        <w:tc>
          <w:tcPr>
            <w:tcW w:w="817" w:type="dxa"/>
            <w:shd w:val="clear" w:color="auto" w:fill="FFFFFF"/>
            <w:noWrap/>
            <w:tcMar>
              <w:left w:w="108" w:type="dxa"/>
              <w:right w:w="108" w:type="dxa"/>
            </w:tcMar>
            <w:vAlign w:val="center"/>
          </w:tcPr>
          <w:p w14:paraId="32092730">
            <w:pPr>
              <w:pStyle w:val="7"/>
              <w:keepNext w:val="0"/>
              <w:keepLines w:val="0"/>
              <w:pageBreakBefore w:val="0"/>
              <w:widowControl/>
              <w:kinsoku w:val="0"/>
              <w:wordWrap/>
              <w:overflowPunct/>
              <w:topLinePunct w:val="0"/>
              <w:autoSpaceDE w:val="0"/>
              <w:autoSpaceDN w:val="0"/>
              <w:bidi w:val="0"/>
              <w:adjustRightInd w:val="0"/>
              <w:snapToGrid w:val="0"/>
              <w:spacing w:line="260" w:lineRule="exact"/>
              <w:ind w:left="272"/>
              <w:jc w:val="center"/>
              <w:textAlignment w:val="baseline"/>
              <w:rPr>
                <w:rFonts w:hint="eastAsia" w:ascii="仿宋_GB2312" w:hAnsi="仿宋_GB2312" w:eastAsia="仿宋_GB2312" w:cs="仿宋_GB2312"/>
                <w:b w:val="0"/>
                <w:bCs w:val="0"/>
                <w:snapToGrid w:val="0"/>
                <w:color w:val="000000"/>
                <w:kern w:val="0"/>
                <w:sz w:val="21"/>
                <w:szCs w:val="21"/>
              </w:rPr>
            </w:pPr>
          </w:p>
        </w:tc>
      </w:tr>
      <w:tr w14:paraId="70D12F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83" w:hRule="atLeast"/>
        </w:trPr>
        <w:tc>
          <w:tcPr>
            <w:tcW w:w="745" w:type="dxa"/>
            <w:shd w:val="clear" w:color="auto" w:fill="FFFFFF"/>
            <w:tcMar>
              <w:left w:w="108" w:type="dxa"/>
              <w:right w:w="108" w:type="dxa"/>
            </w:tcMar>
            <w:vAlign w:val="center"/>
          </w:tcPr>
          <w:p w14:paraId="2E4389E4">
            <w:pPr>
              <w:pStyle w:val="7"/>
              <w:keepNext w:val="0"/>
              <w:keepLines w:val="0"/>
              <w:pageBreakBefore w:val="0"/>
              <w:widowControl/>
              <w:kinsoku w:val="0"/>
              <w:wordWrap/>
              <w:overflowPunct/>
              <w:topLinePunct w:val="0"/>
              <w:autoSpaceDE w:val="0"/>
              <w:autoSpaceDN w:val="0"/>
              <w:bidi w:val="0"/>
              <w:adjustRightInd w:val="0"/>
              <w:snapToGrid w:val="0"/>
              <w:spacing w:line="260" w:lineRule="exact"/>
              <w:ind w:left="272"/>
              <w:jc w:val="center"/>
              <w:textAlignment w:val="baseline"/>
              <w:rPr>
                <w:rFonts w:hint="default" w:ascii="仿宋_GB2312" w:hAnsi="仿宋_GB2312" w:eastAsia="仿宋_GB2312" w:cs="仿宋_GB2312"/>
                <w:b w:val="0"/>
                <w:bCs w:val="0"/>
                <w:snapToGrid w:val="0"/>
                <w:color w:val="000000"/>
                <w:kern w:val="0"/>
                <w:sz w:val="21"/>
                <w:szCs w:val="21"/>
                <w:lang w:val="en-US"/>
              </w:rPr>
            </w:pPr>
            <w:r>
              <w:rPr>
                <w:rFonts w:hint="eastAsia" w:ascii="仿宋_GB2312" w:hAnsi="仿宋_GB2312" w:eastAsia="仿宋_GB2312" w:cs="仿宋_GB2312"/>
                <w:b w:val="0"/>
                <w:bCs w:val="0"/>
                <w:snapToGrid w:val="0"/>
                <w:color w:val="000000"/>
                <w:kern w:val="0"/>
                <w:sz w:val="21"/>
                <w:szCs w:val="21"/>
                <w:lang w:val="en-US" w:eastAsia="zh-CN"/>
              </w:rPr>
              <w:t>11</w:t>
            </w:r>
          </w:p>
        </w:tc>
        <w:tc>
          <w:tcPr>
            <w:tcW w:w="1334" w:type="dxa"/>
            <w:shd w:val="clear" w:color="auto" w:fill="FFFFFF"/>
            <w:tcMar>
              <w:left w:w="108" w:type="dxa"/>
              <w:right w:w="108" w:type="dxa"/>
            </w:tcMar>
            <w:vAlign w:val="center"/>
          </w:tcPr>
          <w:p w14:paraId="02F1FE2A">
            <w:pPr>
              <w:pStyle w:val="7"/>
              <w:keepNext w:val="0"/>
              <w:keepLines w:val="0"/>
              <w:pageBreakBefore w:val="0"/>
              <w:widowControl/>
              <w:kinsoku w:val="0"/>
              <w:wordWrap/>
              <w:overflowPunct/>
              <w:topLinePunct w:val="0"/>
              <w:autoSpaceDE w:val="0"/>
              <w:autoSpaceDN w:val="0"/>
              <w:bidi w:val="0"/>
              <w:adjustRightInd w:val="0"/>
              <w:snapToGrid w:val="0"/>
              <w:spacing w:line="260" w:lineRule="exact"/>
              <w:ind w:left="272"/>
              <w:jc w:val="center"/>
              <w:textAlignment w:val="baseline"/>
              <w:rPr>
                <w:rFonts w:hint="eastAsia" w:ascii="仿宋_GB2312" w:hAnsi="仿宋_GB2312" w:eastAsia="仿宋_GB2312" w:cs="仿宋_GB2312"/>
                <w:b w:val="0"/>
                <w:bCs w:val="0"/>
                <w:snapToGrid w:val="0"/>
                <w:color w:val="000000"/>
                <w:kern w:val="0"/>
                <w:sz w:val="21"/>
                <w:szCs w:val="21"/>
              </w:rPr>
            </w:pPr>
            <w:r>
              <w:rPr>
                <w:rFonts w:hint="eastAsia" w:ascii="仿宋_GB2312" w:hAnsi="仿宋_GB2312" w:eastAsia="仿宋_GB2312" w:cs="仿宋_GB2312"/>
                <w:b w:val="0"/>
                <w:bCs w:val="0"/>
                <w:snapToGrid w:val="0"/>
                <w:color w:val="000000"/>
                <w:kern w:val="0"/>
                <w:sz w:val="21"/>
                <w:szCs w:val="21"/>
                <w:lang w:val="en-US" w:eastAsia="zh-CN"/>
              </w:rPr>
              <w:t>对工业项目及按规定履行监管职责项目中标人不履行与招标人订立的合同、不按照与招标人订立的合同履行义务的行政处罚</w:t>
            </w:r>
          </w:p>
        </w:tc>
        <w:tc>
          <w:tcPr>
            <w:tcW w:w="1085" w:type="dxa"/>
            <w:shd w:val="clear" w:color="auto" w:fill="FFFFFF"/>
            <w:noWrap/>
            <w:tcMar>
              <w:left w:w="108" w:type="dxa"/>
              <w:right w:w="108" w:type="dxa"/>
            </w:tcMar>
            <w:vAlign w:val="center"/>
          </w:tcPr>
          <w:p w14:paraId="266CC54B">
            <w:pPr>
              <w:pStyle w:val="7"/>
              <w:keepNext w:val="0"/>
              <w:keepLines w:val="0"/>
              <w:pageBreakBefore w:val="0"/>
              <w:widowControl/>
              <w:kinsoku w:val="0"/>
              <w:wordWrap/>
              <w:overflowPunct/>
              <w:topLinePunct w:val="0"/>
              <w:autoSpaceDE w:val="0"/>
              <w:autoSpaceDN w:val="0"/>
              <w:bidi w:val="0"/>
              <w:adjustRightInd w:val="0"/>
              <w:snapToGrid w:val="0"/>
              <w:spacing w:line="260" w:lineRule="exact"/>
              <w:ind w:left="272"/>
              <w:jc w:val="center"/>
              <w:textAlignment w:val="baseline"/>
              <w:rPr>
                <w:rFonts w:hint="eastAsia" w:ascii="仿宋_GB2312" w:hAnsi="仿宋_GB2312" w:eastAsia="仿宋_GB2312" w:cs="仿宋_GB2312"/>
                <w:b w:val="0"/>
                <w:bCs w:val="0"/>
                <w:snapToGrid w:val="0"/>
                <w:color w:val="000000"/>
                <w:kern w:val="0"/>
                <w:sz w:val="21"/>
                <w:szCs w:val="21"/>
              </w:rPr>
            </w:pPr>
            <w:r>
              <w:rPr>
                <w:rFonts w:hint="eastAsia" w:ascii="仿宋_GB2312" w:hAnsi="仿宋_GB2312" w:eastAsia="仿宋_GB2312" w:cs="仿宋_GB2312"/>
                <w:b w:val="0"/>
                <w:bCs w:val="0"/>
                <w:snapToGrid w:val="0"/>
                <w:color w:val="000000"/>
                <w:kern w:val="0"/>
                <w:sz w:val="21"/>
                <w:szCs w:val="21"/>
                <w:lang w:val="en-US" w:eastAsia="zh-CN"/>
              </w:rPr>
              <w:t>行政处罚</w:t>
            </w:r>
          </w:p>
        </w:tc>
        <w:tc>
          <w:tcPr>
            <w:tcW w:w="1179" w:type="dxa"/>
            <w:shd w:val="clear" w:color="auto" w:fill="FFFFFF"/>
            <w:tcMar>
              <w:left w:w="108" w:type="dxa"/>
              <w:right w:w="108" w:type="dxa"/>
            </w:tcMar>
            <w:vAlign w:val="center"/>
          </w:tcPr>
          <w:p w14:paraId="19C31780">
            <w:pPr>
              <w:pStyle w:val="7"/>
              <w:keepNext w:val="0"/>
              <w:keepLines w:val="0"/>
              <w:pageBreakBefore w:val="0"/>
              <w:widowControl/>
              <w:kinsoku w:val="0"/>
              <w:wordWrap/>
              <w:overflowPunct/>
              <w:topLinePunct w:val="0"/>
              <w:autoSpaceDE w:val="0"/>
              <w:autoSpaceDN w:val="0"/>
              <w:bidi w:val="0"/>
              <w:adjustRightInd w:val="0"/>
              <w:snapToGrid w:val="0"/>
              <w:spacing w:line="260" w:lineRule="exact"/>
              <w:ind w:left="272" w:leftChars="0"/>
              <w:jc w:val="center"/>
              <w:textAlignment w:val="baseline"/>
              <w:rPr>
                <w:rFonts w:hint="eastAsia" w:ascii="仿宋_GB2312" w:hAnsi="仿宋_GB2312" w:eastAsia="仿宋_GB2312" w:cs="仿宋_GB2312"/>
                <w:b w:val="0"/>
                <w:bCs w:val="0"/>
                <w:snapToGrid w:val="0"/>
                <w:color w:val="000000"/>
                <w:kern w:val="0"/>
                <w:sz w:val="21"/>
                <w:szCs w:val="21"/>
              </w:rPr>
            </w:pPr>
            <w:r>
              <w:rPr>
                <w:rFonts w:hint="eastAsia" w:ascii="仿宋_GB2312" w:hAnsi="仿宋_GB2312" w:eastAsia="仿宋_GB2312" w:cs="仿宋_GB2312"/>
                <w:b w:val="0"/>
                <w:bCs w:val="0"/>
                <w:snapToGrid w:val="0"/>
                <w:color w:val="000000"/>
                <w:kern w:val="0"/>
                <w:sz w:val="21"/>
                <w:szCs w:val="21"/>
                <w:lang w:val="en-US" w:eastAsia="zh-CN"/>
              </w:rPr>
              <w:t>零陵区发改局</w:t>
            </w:r>
          </w:p>
        </w:tc>
        <w:tc>
          <w:tcPr>
            <w:tcW w:w="1444" w:type="dxa"/>
            <w:shd w:val="clear" w:color="auto" w:fill="FFFFFF"/>
            <w:tcMar>
              <w:left w:w="108" w:type="dxa"/>
              <w:right w:w="108" w:type="dxa"/>
            </w:tcMar>
            <w:vAlign w:val="center"/>
          </w:tcPr>
          <w:p w14:paraId="449C1260">
            <w:pPr>
              <w:pStyle w:val="7"/>
              <w:keepNext w:val="0"/>
              <w:keepLines w:val="0"/>
              <w:pageBreakBefore w:val="0"/>
              <w:widowControl/>
              <w:kinsoku w:val="0"/>
              <w:wordWrap/>
              <w:overflowPunct/>
              <w:topLinePunct w:val="0"/>
              <w:autoSpaceDE w:val="0"/>
              <w:autoSpaceDN w:val="0"/>
              <w:bidi w:val="0"/>
              <w:adjustRightInd w:val="0"/>
              <w:snapToGrid w:val="0"/>
              <w:spacing w:line="260" w:lineRule="exact"/>
              <w:ind w:left="272" w:leftChars="0"/>
              <w:jc w:val="center"/>
              <w:textAlignment w:val="baseline"/>
              <w:rPr>
                <w:rFonts w:hint="eastAsia" w:ascii="仿宋_GB2312" w:hAnsi="仿宋_GB2312" w:eastAsia="仿宋_GB2312" w:cs="仿宋_GB2312"/>
                <w:b w:val="0"/>
                <w:bCs w:val="0"/>
                <w:snapToGrid w:val="0"/>
                <w:color w:val="000000"/>
                <w:kern w:val="0"/>
                <w:sz w:val="21"/>
                <w:szCs w:val="21"/>
              </w:rPr>
            </w:pPr>
            <w:r>
              <w:rPr>
                <w:rFonts w:hint="eastAsia" w:ascii="仿宋_GB2312" w:hAnsi="仿宋_GB2312" w:eastAsia="仿宋_GB2312" w:cs="仿宋_GB2312"/>
                <w:b w:val="0"/>
                <w:bCs w:val="0"/>
                <w:snapToGrid w:val="0"/>
                <w:color w:val="000000"/>
                <w:kern w:val="0"/>
                <w:sz w:val="21"/>
                <w:szCs w:val="21"/>
                <w:lang w:val="en-US" w:eastAsia="zh-CN"/>
              </w:rPr>
              <w:t>法规股</w:t>
            </w:r>
          </w:p>
        </w:tc>
        <w:tc>
          <w:tcPr>
            <w:tcW w:w="8616" w:type="dxa"/>
            <w:shd w:val="clear" w:color="auto" w:fill="FFFFFF"/>
            <w:tcMar>
              <w:left w:w="108" w:type="dxa"/>
              <w:right w:w="108" w:type="dxa"/>
            </w:tcMar>
            <w:vAlign w:val="center"/>
          </w:tcPr>
          <w:p w14:paraId="32218331">
            <w:pPr>
              <w:pStyle w:val="7"/>
              <w:keepNext w:val="0"/>
              <w:keepLines w:val="0"/>
              <w:pageBreakBefore w:val="0"/>
              <w:widowControl/>
              <w:kinsoku w:val="0"/>
              <w:wordWrap/>
              <w:overflowPunct/>
              <w:topLinePunct w:val="0"/>
              <w:autoSpaceDE w:val="0"/>
              <w:autoSpaceDN w:val="0"/>
              <w:bidi w:val="0"/>
              <w:adjustRightInd w:val="0"/>
              <w:snapToGrid w:val="0"/>
              <w:spacing w:line="260" w:lineRule="exact"/>
              <w:ind w:left="272"/>
              <w:jc w:val="left"/>
              <w:textAlignment w:val="baseline"/>
              <w:rPr>
                <w:rFonts w:hint="eastAsia" w:ascii="仿宋_GB2312" w:hAnsi="仿宋_GB2312" w:eastAsia="仿宋_GB2312" w:cs="仿宋_GB2312"/>
                <w:b w:val="0"/>
                <w:bCs w:val="0"/>
                <w:snapToGrid w:val="0"/>
                <w:color w:val="000000"/>
                <w:kern w:val="0"/>
                <w:sz w:val="21"/>
                <w:szCs w:val="21"/>
              </w:rPr>
            </w:pPr>
            <w:r>
              <w:rPr>
                <w:rFonts w:hint="eastAsia" w:ascii="仿宋_GB2312" w:hAnsi="仿宋_GB2312" w:eastAsia="仿宋_GB2312" w:cs="仿宋_GB2312"/>
                <w:b w:val="0"/>
                <w:bCs w:val="0"/>
                <w:snapToGrid w:val="0"/>
                <w:color w:val="000000"/>
                <w:kern w:val="0"/>
                <w:sz w:val="21"/>
                <w:szCs w:val="21"/>
                <w:lang w:val="en-US" w:eastAsia="zh-CN"/>
              </w:rPr>
              <w:t>1.《中华人民共和国招标投标法》第六十条  中标人不履行与招标人订立的合同的，履约保证金不予退还，给招标人造成的损失超过履约保证金数额的，还应当对超过部分予以赔偿；没有提交履约保证金的，应当对招标人的损失承担赔偿责任。</w:t>
            </w:r>
            <w:r>
              <w:rPr>
                <w:rFonts w:hint="eastAsia" w:ascii="仿宋_GB2312" w:hAnsi="仿宋_GB2312" w:eastAsia="仿宋_GB2312" w:cs="仿宋_GB2312"/>
                <w:b w:val="0"/>
                <w:bCs w:val="0"/>
                <w:snapToGrid w:val="0"/>
                <w:color w:val="000000"/>
                <w:kern w:val="0"/>
                <w:sz w:val="21"/>
                <w:szCs w:val="21"/>
                <w:lang w:val="en-US" w:eastAsia="zh-CN"/>
              </w:rPr>
              <w:br w:type="textWrapping"/>
            </w:r>
            <w:r>
              <w:rPr>
                <w:rFonts w:hint="eastAsia" w:ascii="仿宋_GB2312" w:hAnsi="仿宋_GB2312" w:eastAsia="仿宋_GB2312" w:cs="仿宋_GB2312"/>
                <w:b w:val="0"/>
                <w:bCs w:val="0"/>
                <w:snapToGrid w:val="0"/>
                <w:color w:val="000000"/>
                <w:kern w:val="0"/>
                <w:sz w:val="21"/>
                <w:szCs w:val="21"/>
                <w:lang w:val="en-US" w:eastAsia="zh-CN"/>
              </w:rPr>
              <w:t>中标人不按照与招标人订立的合同履行义务，情节严重的，取消其二年至五年内参加依法必须进行招标的项目的投标资格并予以公告，直至由工商行政管理机关吊销营业执照。</w:t>
            </w:r>
            <w:r>
              <w:rPr>
                <w:rFonts w:hint="eastAsia" w:ascii="仿宋_GB2312" w:hAnsi="仿宋_GB2312" w:eastAsia="仿宋_GB2312" w:cs="仿宋_GB2312"/>
                <w:b w:val="0"/>
                <w:bCs w:val="0"/>
                <w:snapToGrid w:val="0"/>
                <w:color w:val="000000"/>
                <w:kern w:val="0"/>
                <w:sz w:val="21"/>
                <w:szCs w:val="21"/>
                <w:lang w:val="en-US" w:eastAsia="zh-CN"/>
              </w:rPr>
              <w:br w:type="textWrapping"/>
            </w:r>
            <w:r>
              <w:rPr>
                <w:rFonts w:hint="eastAsia" w:ascii="仿宋_GB2312" w:hAnsi="仿宋_GB2312" w:eastAsia="仿宋_GB2312" w:cs="仿宋_GB2312"/>
                <w:b w:val="0"/>
                <w:bCs w:val="0"/>
                <w:snapToGrid w:val="0"/>
                <w:color w:val="000000"/>
                <w:kern w:val="0"/>
                <w:sz w:val="21"/>
                <w:szCs w:val="21"/>
                <w:lang w:val="en-US" w:eastAsia="zh-CN"/>
              </w:rPr>
              <w:t>因不可抗力不能履行合同的，不适用前两款规定。</w:t>
            </w:r>
            <w:r>
              <w:rPr>
                <w:rFonts w:hint="eastAsia" w:ascii="仿宋_GB2312" w:hAnsi="仿宋_GB2312" w:eastAsia="仿宋_GB2312" w:cs="仿宋_GB2312"/>
                <w:b w:val="0"/>
                <w:bCs w:val="0"/>
                <w:snapToGrid w:val="0"/>
                <w:color w:val="000000"/>
                <w:kern w:val="0"/>
                <w:sz w:val="21"/>
                <w:szCs w:val="21"/>
                <w:lang w:val="en-US" w:eastAsia="zh-CN"/>
              </w:rPr>
              <w:br w:type="textWrapping"/>
            </w:r>
            <w:r>
              <w:rPr>
                <w:rFonts w:hint="eastAsia" w:ascii="仿宋_GB2312" w:hAnsi="仿宋_GB2312" w:eastAsia="仿宋_GB2312" w:cs="仿宋_GB2312"/>
                <w:b w:val="0"/>
                <w:bCs w:val="0"/>
                <w:snapToGrid w:val="0"/>
                <w:color w:val="000000"/>
                <w:kern w:val="0"/>
                <w:sz w:val="21"/>
                <w:szCs w:val="21"/>
                <w:lang w:val="en-US" w:eastAsia="zh-CN"/>
              </w:rPr>
              <w:t>2.《湖南省人民政府办公厅《关于建立健全招标投标监管长效机制规范招标投标活动的意见》（湘政办发〔2021〕77号）第(一)条  规定合理划分招标投标活动监管职责。各级发展改革部门负责指导和协调本行政区域内的招标投标工作，按照职责权限对工业项目(含能源)、代建单位招标投标实施监督。对没有行业主管部门或确实难以协调明确监管职责的项目，由发展改革部门实施监督和查处违法违规行为，避免出现管理空白和监督缺位。</w:t>
            </w:r>
          </w:p>
        </w:tc>
        <w:tc>
          <w:tcPr>
            <w:tcW w:w="817" w:type="dxa"/>
            <w:shd w:val="clear" w:color="auto" w:fill="FFFFFF"/>
            <w:noWrap/>
            <w:tcMar>
              <w:left w:w="108" w:type="dxa"/>
              <w:right w:w="108" w:type="dxa"/>
            </w:tcMar>
            <w:vAlign w:val="center"/>
          </w:tcPr>
          <w:p w14:paraId="62964387">
            <w:pPr>
              <w:pStyle w:val="7"/>
              <w:keepNext w:val="0"/>
              <w:keepLines w:val="0"/>
              <w:pageBreakBefore w:val="0"/>
              <w:widowControl/>
              <w:kinsoku w:val="0"/>
              <w:wordWrap/>
              <w:overflowPunct/>
              <w:topLinePunct w:val="0"/>
              <w:autoSpaceDE w:val="0"/>
              <w:autoSpaceDN w:val="0"/>
              <w:bidi w:val="0"/>
              <w:adjustRightInd w:val="0"/>
              <w:snapToGrid w:val="0"/>
              <w:spacing w:line="260" w:lineRule="exact"/>
              <w:ind w:left="272"/>
              <w:jc w:val="center"/>
              <w:textAlignment w:val="baseline"/>
              <w:rPr>
                <w:rFonts w:hint="eastAsia" w:ascii="仿宋_GB2312" w:hAnsi="仿宋_GB2312" w:eastAsia="仿宋_GB2312" w:cs="仿宋_GB2312"/>
                <w:b w:val="0"/>
                <w:bCs w:val="0"/>
                <w:snapToGrid w:val="0"/>
                <w:color w:val="000000"/>
                <w:kern w:val="0"/>
                <w:sz w:val="21"/>
                <w:szCs w:val="21"/>
              </w:rPr>
            </w:pPr>
          </w:p>
        </w:tc>
      </w:tr>
      <w:tr w14:paraId="296D29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67" w:hRule="atLeast"/>
        </w:trPr>
        <w:tc>
          <w:tcPr>
            <w:tcW w:w="745" w:type="dxa"/>
            <w:shd w:val="clear" w:color="auto" w:fill="FFFFFF"/>
            <w:tcMar>
              <w:left w:w="108" w:type="dxa"/>
              <w:right w:w="108" w:type="dxa"/>
            </w:tcMar>
            <w:vAlign w:val="center"/>
          </w:tcPr>
          <w:p w14:paraId="73BC8942">
            <w:pPr>
              <w:pStyle w:val="7"/>
              <w:keepNext w:val="0"/>
              <w:keepLines w:val="0"/>
              <w:pageBreakBefore w:val="0"/>
              <w:widowControl/>
              <w:kinsoku w:val="0"/>
              <w:wordWrap/>
              <w:overflowPunct/>
              <w:topLinePunct w:val="0"/>
              <w:autoSpaceDE w:val="0"/>
              <w:autoSpaceDN w:val="0"/>
              <w:bidi w:val="0"/>
              <w:adjustRightInd w:val="0"/>
              <w:snapToGrid w:val="0"/>
              <w:spacing w:line="260" w:lineRule="exact"/>
              <w:ind w:left="272"/>
              <w:jc w:val="center"/>
              <w:textAlignment w:val="baseline"/>
              <w:rPr>
                <w:rFonts w:hint="default" w:ascii="仿宋_GB2312" w:hAnsi="仿宋_GB2312" w:eastAsia="仿宋_GB2312" w:cs="仿宋_GB2312"/>
                <w:b w:val="0"/>
                <w:bCs w:val="0"/>
                <w:snapToGrid w:val="0"/>
                <w:color w:val="000000"/>
                <w:kern w:val="0"/>
                <w:sz w:val="21"/>
                <w:szCs w:val="21"/>
                <w:lang w:val="en-US"/>
              </w:rPr>
            </w:pPr>
            <w:r>
              <w:rPr>
                <w:rFonts w:hint="eastAsia" w:ascii="仿宋_GB2312" w:hAnsi="仿宋_GB2312" w:eastAsia="仿宋_GB2312" w:cs="仿宋_GB2312"/>
                <w:b w:val="0"/>
                <w:bCs w:val="0"/>
                <w:snapToGrid w:val="0"/>
                <w:color w:val="000000"/>
                <w:kern w:val="0"/>
                <w:sz w:val="21"/>
                <w:szCs w:val="21"/>
                <w:lang w:val="en-US" w:eastAsia="zh-CN"/>
              </w:rPr>
              <w:t>12</w:t>
            </w:r>
          </w:p>
        </w:tc>
        <w:tc>
          <w:tcPr>
            <w:tcW w:w="1334" w:type="dxa"/>
            <w:shd w:val="clear" w:color="auto" w:fill="FFFFFF"/>
            <w:tcMar>
              <w:left w:w="108" w:type="dxa"/>
              <w:right w:w="108" w:type="dxa"/>
            </w:tcMar>
            <w:vAlign w:val="center"/>
          </w:tcPr>
          <w:p w14:paraId="099346F5">
            <w:pPr>
              <w:pStyle w:val="7"/>
              <w:keepNext w:val="0"/>
              <w:keepLines w:val="0"/>
              <w:pageBreakBefore w:val="0"/>
              <w:widowControl/>
              <w:kinsoku w:val="0"/>
              <w:wordWrap/>
              <w:overflowPunct/>
              <w:topLinePunct w:val="0"/>
              <w:autoSpaceDE w:val="0"/>
              <w:autoSpaceDN w:val="0"/>
              <w:bidi w:val="0"/>
              <w:adjustRightInd w:val="0"/>
              <w:snapToGrid w:val="0"/>
              <w:spacing w:line="260" w:lineRule="exact"/>
              <w:ind w:left="272"/>
              <w:jc w:val="center"/>
              <w:textAlignment w:val="baseline"/>
              <w:rPr>
                <w:rFonts w:hint="eastAsia" w:ascii="仿宋_GB2312" w:hAnsi="仿宋_GB2312" w:eastAsia="仿宋_GB2312" w:cs="仿宋_GB2312"/>
                <w:b w:val="0"/>
                <w:bCs w:val="0"/>
                <w:snapToGrid w:val="0"/>
                <w:color w:val="000000"/>
                <w:kern w:val="0"/>
                <w:sz w:val="21"/>
                <w:szCs w:val="21"/>
              </w:rPr>
            </w:pPr>
            <w:r>
              <w:rPr>
                <w:rFonts w:hint="eastAsia" w:ascii="仿宋_GB2312" w:hAnsi="仿宋_GB2312" w:eastAsia="仿宋_GB2312" w:cs="仿宋_GB2312"/>
                <w:b w:val="0"/>
                <w:bCs w:val="0"/>
                <w:snapToGrid w:val="0"/>
                <w:color w:val="000000"/>
                <w:kern w:val="0"/>
                <w:sz w:val="21"/>
                <w:szCs w:val="21"/>
                <w:lang w:val="en-US" w:eastAsia="zh-CN"/>
              </w:rPr>
              <w:t>对依法必须进行招标的工业项目及按规定履行监管职责项目的招标人不按照规定组建评标委员会的行政处罚</w:t>
            </w:r>
          </w:p>
        </w:tc>
        <w:tc>
          <w:tcPr>
            <w:tcW w:w="1085" w:type="dxa"/>
            <w:shd w:val="clear" w:color="auto" w:fill="FFFFFF"/>
            <w:noWrap/>
            <w:tcMar>
              <w:left w:w="108" w:type="dxa"/>
              <w:right w:w="108" w:type="dxa"/>
            </w:tcMar>
            <w:vAlign w:val="center"/>
          </w:tcPr>
          <w:p w14:paraId="798BC927">
            <w:pPr>
              <w:pStyle w:val="7"/>
              <w:keepNext w:val="0"/>
              <w:keepLines w:val="0"/>
              <w:pageBreakBefore w:val="0"/>
              <w:widowControl/>
              <w:kinsoku w:val="0"/>
              <w:wordWrap/>
              <w:overflowPunct/>
              <w:topLinePunct w:val="0"/>
              <w:autoSpaceDE w:val="0"/>
              <w:autoSpaceDN w:val="0"/>
              <w:bidi w:val="0"/>
              <w:adjustRightInd w:val="0"/>
              <w:snapToGrid w:val="0"/>
              <w:spacing w:line="260" w:lineRule="exact"/>
              <w:ind w:left="272"/>
              <w:jc w:val="center"/>
              <w:textAlignment w:val="baseline"/>
              <w:rPr>
                <w:rFonts w:hint="eastAsia" w:ascii="仿宋_GB2312" w:hAnsi="仿宋_GB2312" w:eastAsia="仿宋_GB2312" w:cs="仿宋_GB2312"/>
                <w:b w:val="0"/>
                <w:bCs w:val="0"/>
                <w:snapToGrid w:val="0"/>
                <w:color w:val="000000"/>
                <w:kern w:val="0"/>
                <w:sz w:val="21"/>
                <w:szCs w:val="21"/>
              </w:rPr>
            </w:pPr>
            <w:r>
              <w:rPr>
                <w:rFonts w:hint="eastAsia" w:ascii="仿宋_GB2312" w:hAnsi="仿宋_GB2312" w:eastAsia="仿宋_GB2312" w:cs="仿宋_GB2312"/>
                <w:b w:val="0"/>
                <w:bCs w:val="0"/>
                <w:snapToGrid w:val="0"/>
                <w:color w:val="000000"/>
                <w:kern w:val="0"/>
                <w:sz w:val="21"/>
                <w:szCs w:val="21"/>
                <w:lang w:val="en-US" w:eastAsia="zh-CN"/>
              </w:rPr>
              <w:t>行政处罚</w:t>
            </w:r>
          </w:p>
        </w:tc>
        <w:tc>
          <w:tcPr>
            <w:tcW w:w="1179" w:type="dxa"/>
            <w:shd w:val="clear" w:color="auto" w:fill="FFFFFF"/>
            <w:tcMar>
              <w:left w:w="108" w:type="dxa"/>
              <w:right w:w="108" w:type="dxa"/>
            </w:tcMar>
            <w:vAlign w:val="center"/>
          </w:tcPr>
          <w:p w14:paraId="65369E47">
            <w:pPr>
              <w:pStyle w:val="7"/>
              <w:keepNext w:val="0"/>
              <w:keepLines w:val="0"/>
              <w:pageBreakBefore w:val="0"/>
              <w:widowControl/>
              <w:kinsoku w:val="0"/>
              <w:wordWrap/>
              <w:overflowPunct/>
              <w:topLinePunct w:val="0"/>
              <w:autoSpaceDE w:val="0"/>
              <w:autoSpaceDN w:val="0"/>
              <w:bidi w:val="0"/>
              <w:adjustRightInd w:val="0"/>
              <w:snapToGrid w:val="0"/>
              <w:spacing w:line="260" w:lineRule="exact"/>
              <w:ind w:left="272" w:leftChars="0"/>
              <w:jc w:val="center"/>
              <w:textAlignment w:val="baseline"/>
              <w:rPr>
                <w:rFonts w:hint="eastAsia" w:ascii="仿宋_GB2312" w:hAnsi="仿宋_GB2312" w:eastAsia="仿宋_GB2312" w:cs="仿宋_GB2312"/>
                <w:b w:val="0"/>
                <w:bCs w:val="0"/>
                <w:snapToGrid w:val="0"/>
                <w:color w:val="000000"/>
                <w:kern w:val="0"/>
                <w:sz w:val="21"/>
                <w:szCs w:val="21"/>
              </w:rPr>
            </w:pPr>
            <w:r>
              <w:rPr>
                <w:rFonts w:hint="eastAsia" w:ascii="仿宋_GB2312" w:hAnsi="仿宋_GB2312" w:eastAsia="仿宋_GB2312" w:cs="仿宋_GB2312"/>
                <w:b w:val="0"/>
                <w:bCs w:val="0"/>
                <w:snapToGrid w:val="0"/>
                <w:color w:val="000000"/>
                <w:kern w:val="0"/>
                <w:sz w:val="21"/>
                <w:szCs w:val="21"/>
                <w:lang w:val="en-US" w:eastAsia="zh-CN"/>
              </w:rPr>
              <w:t>零陵区发改局</w:t>
            </w:r>
          </w:p>
        </w:tc>
        <w:tc>
          <w:tcPr>
            <w:tcW w:w="1444" w:type="dxa"/>
            <w:shd w:val="clear" w:color="auto" w:fill="FFFFFF"/>
            <w:tcMar>
              <w:left w:w="108" w:type="dxa"/>
              <w:right w:w="108" w:type="dxa"/>
            </w:tcMar>
            <w:vAlign w:val="center"/>
          </w:tcPr>
          <w:p w14:paraId="5E3A1402">
            <w:pPr>
              <w:pStyle w:val="7"/>
              <w:keepNext w:val="0"/>
              <w:keepLines w:val="0"/>
              <w:pageBreakBefore w:val="0"/>
              <w:widowControl/>
              <w:kinsoku w:val="0"/>
              <w:wordWrap/>
              <w:overflowPunct/>
              <w:topLinePunct w:val="0"/>
              <w:autoSpaceDE w:val="0"/>
              <w:autoSpaceDN w:val="0"/>
              <w:bidi w:val="0"/>
              <w:adjustRightInd w:val="0"/>
              <w:snapToGrid w:val="0"/>
              <w:spacing w:line="260" w:lineRule="exact"/>
              <w:ind w:left="272" w:leftChars="0"/>
              <w:jc w:val="center"/>
              <w:textAlignment w:val="baseline"/>
              <w:rPr>
                <w:rFonts w:hint="eastAsia" w:ascii="仿宋_GB2312" w:hAnsi="仿宋_GB2312" w:eastAsia="仿宋_GB2312" w:cs="仿宋_GB2312"/>
                <w:b w:val="0"/>
                <w:bCs w:val="0"/>
                <w:snapToGrid w:val="0"/>
                <w:color w:val="000000"/>
                <w:kern w:val="0"/>
                <w:sz w:val="21"/>
                <w:szCs w:val="21"/>
              </w:rPr>
            </w:pPr>
            <w:r>
              <w:rPr>
                <w:rFonts w:hint="eastAsia" w:ascii="仿宋_GB2312" w:hAnsi="仿宋_GB2312" w:eastAsia="仿宋_GB2312" w:cs="仿宋_GB2312"/>
                <w:b w:val="0"/>
                <w:bCs w:val="0"/>
                <w:snapToGrid w:val="0"/>
                <w:color w:val="000000"/>
                <w:kern w:val="0"/>
                <w:sz w:val="21"/>
                <w:szCs w:val="21"/>
                <w:lang w:val="en-US" w:eastAsia="zh-CN"/>
              </w:rPr>
              <w:t>法规股</w:t>
            </w:r>
          </w:p>
        </w:tc>
        <w:tc>
          <w:tcPr>
            <w:tcW w:w="8616" w:type="dxa"/>
            <w:shd w:val="clear" w:color="auto" w:fill="FFFFFF"/>
            <w:tcMar>
              <w:left w:w="108" w:type="dxa"/>
              <w:right w:w="108" w:type="dxa"/>
            </w:tcMar>
            <w:vAlign w:val="center"/>
          </w:tcPr>
          <w:p w14:paraId="6FC37112">
            <w:pPr>
              <w:pStyle w:val="7"/>
              <w:keepNext w:val="0"/>
              <w:keepLines w:val="0"/>
              <w:pageBreakBefore w:val="0"/>
              <w:widowControl/>
              <w:kinsoku w:val="0"/>
              <w:wordWrap/>
              <w:overflowPunct/>
              <w:topLinePunct w:val="0"/>
              <w:autoSpaceDE w:val="0"/>
              <w:autoSpaceDN w:val="0"/>
              <w:bidi w:val="0"/>
              <w:adjustRightInd w:val="0"/>
              <w:snapToGrid w:val="0"/>
              <w:spacing w:line="260" w:lineRule="exact"/>
              <w:ind w:left="272"/>
              <w:jc w:val="left"/>
              <w:textAlignment w:val="baseline"/>
              <w:rPr>
                <w:rFonts w:hint="eastAsia" w:ascii="仿宋_GB2312" w:hAnsi="仿宋_GB2312" w:eastAsia="仿宋_GB2312" w:cs="仿宋_GB2312"/>
                <w:b w:val="0"/>
                <w:bCs w:val="0"/>
                <w:snapToGrid w:val="0"/>
                <w:color w:val="000000"/>
                <w:kern w:val="0"/>
                <w:sz w:val="21"/>
                <w:szCs w:val="21"/>
              </w:rPr>
            </w:pPr>
            <w:r>
              <w:rPr>
                <w:rFonts w:hint="eastAsia" w:ascii="仿宋_GB2312" w:hAnsi="仿宋_GB2312" w:eastAsia="仿宋_GB2312" w:cs="仿宋_GB2312"/>
                <w:b w:val="0"/>
                <w:bCs w:val="0"/>
                <w:snapToGrid w:val="0"/>
                <w:color w:val="000000"/>
                <w:kern w:val="0"/>
                <w:sz w:val="21"/>
                <w:szCs w:val="21"/>
                <w:lang w:val="en-US" w:eastAsia="zh-CN"/>
              </w:rPr>
              <w:t>1.《中华人民共和国招标投标法实施条例》第七十条  依法必须进行招标的项目的招标人不按照规定组建评标委员会，或者确定、更换评标委员会成员违反招标投标法和本条例规定的，由有关行政监督部门责令改正，可以处10万元以下的罚款，对单位直接负责的主管人员和其他直接责任人员依法给予处分；违法确定或者更换的评标委员会成员作出的评审结论无效，依法重新进行评审。</w:t>
            </w:r>
            <w:r>
              <w:rPr>
                <w:rFonts w:hint="eastAsia" w:ascii="仿宋_GB2312" w:hAnsi="仿宋_GB2312" w:eastAsia="仿宋_GB2312" w:cs="仿宋_GB2312"/>
                <w:b w:val="0"/>
                <w:bCs w:val="0"/>
                <w:snapToGrid w:val="0"/>
                <w:color w:val="000000"/>
                <w:kern w:val="0"/>
                <w:sz w:val="21"/>
                <w:szCs w:val="21"/>
                <w:lang w:val="en-US" w:eastAsia="zh-CN"/>
              </w:rPr>
              <w:br w:type="textWrapping"/>
            </w:r>
            <w:r>
              <w:rPr>
                <w:rFonts w:hint="eastAsia" w:ascii="仿宋_GB2312" w:hAnsi="仿宋_GB2312" w:eastAsia="仿宋_GB2312" w:cs="仿宋_GB2312"/>
                <w:b w:val="0"/>
                <w:bCs w:val="0"/>
                <w:snapToGrid w:val="0"/>
                <w:color w:val="000000"/>
                <w:kern w:val="0"/>
                <w:sz w:val="21"/>
                <w:szCs w:val="21"/>
                <w:lang w:val="en-US" w:eastAsia="zh-CN"/>
              </w:rPr>
              <w:t>国家工作人员以任何方式非法干涉选取评标委员会成员的，依照本条例第八十条的规定追究法律责任。</w:t>
            </w:r>
            <w:r>
              <w:rPr>
                <w:rFonts w:hint="eastAsia" w:ascii="仿宋_GB2312" w:hAnsi="仿宋_GB2312" w:eastAsia="仿宋_GB2312" w:cs="仿宋_GB2312"/>
                <w:b w:val="0"/>
                <w:bCs w:val="0"/>
                <w:snapToGrid w:val="0"/>
                <w:color w:val="000000"/>
                <w:kern w:val="0"/>
                <w:sz w:val="21"/>
                <w:szCs w:val="21"/>
                <w:lang w:val="en-US" w:eastAsia="zh-CN"/>
              </w:rPr>
              <w:br w:type="textWrapping"/>
            </w:r>
            <w:r>
              <w:rPr>
                <w:rFonts w:hint="eastAsia" w:ascii="仿宋_GB2312" w:hAnsi="仿宋_GB2312" w:eastAsia="仿宋_GB2312" w:cs="仿宋_GB2312"/>
                <w:b w:val="0"/>
                <w:bCs w:val="0"/>
                <w:snapToGrid w:val="0"/>
                <w:color w:val="000000"/>
                <w:kern w:val="0"/>
                <w:sz w:val="21"/>
                <w:szCs w:val="21"/>
                <w:lang w:val="en-US" w:eastAsia="zh-CN"/>
              </w:rPr>
              <w:t>2.《评标专家和评标专家库管理办法》第三十四条  依法必须进行招标项目的招标人违法组建评标委员会，或者违法确定、更换评标委员会成员的，由有关行政监督部门责令改正，可以处十万元以下的罚款；对负有责任的领导人员和直接责任人员依法给予处分；涉嫌违纪违法犯罪的，及时移送纪检监察机关、司法机关处理。</w:t>
            </w:r>
            <w:r>
              <w:rPr>
                <w:rFonts w:hint="eastAsia" w:ascii="仿宋_GB2312" w:hAnsi="仿宋_GB2312" w:eastAsia="仿宋_GB2312" w:cs="仿宋_GB2312"/>
                <w:b w:val="0"/>
                <w:bCs w:val="0"/>
                <w:snapToGrid w:val="0"/>
                <w:color w:val="000000"/>
                <w:kern w:val="0"/>
                <w:sz w:val="21"/>
                <w:szCs w:val="21"/>
                <w:lang w:val="en-US" w:eastAsia="zh-CN"/>
              </w:rPr>
              <w:br w:type="textWrapping"/>
            </w:r>
            <w:r>
              <w:rPr>
                <w:rFonts w:hint="eastAsia" w:ascii="仿宋_GB2312" w:hAnsi="仿宋_GB2312" w:eastAsia="仿宋_GB2312" w:cs="仿宋_GB2312"/>
                <w:b w:val="0"/>
                <w:bCs w:val="0"/>
                <w:snapToGrid w:val="0"/>
                <w:color w:val="000000"/>
                <w:kern w:val="0"/>
                <w:sz w:val="21"/>
                <w:szCs w:val="21"/>
                <w:lang w:val="en-US" w:eastAsia="zh-CN"/>
              </w:rPr>
              <w:t>政府投资项目的招标人不按照本办法规定抽取专家的，由有关行政监督部门责令改正；对负有责任的领导人员和直接责任人员依法给予处分；涉嫌违纪违法犯罪的，及时移送纪检监察机关、司法机关处理。</w:t>
            </w:r>
            <w:r>
              <w:rPr>
                <w:rFonts w:hint="eastAsia" w:ascii="仿宋_GB2312" w:hAnsi="仿宋_GB2312" w:eastAsia="仿宋_GB2312" w:cs="仿宋_GB2312"/>
                <w:b w:val="0"/>
                <w:bCs w:val="0"/>
                <w:snapToGrid w:val="0"/>
                <w:color w:val="000000"/>
                <w:kern w:val="0"/>
                <w:sz w:val="21"/>
                <w:szCs w:val="21"/>
                <w:lang w:val="en-US" w:eastAsia="zh-CN"/>
              </w:rPr>
              <w:br w:type="textWrapping"/>
            </w:r>
            <w:r>
              <w:rPr>
                <w:rFonts w:hint="eastAsia" w:ascii="仿宋_GB2312" w:hAnsi="仿宋_GB2312" w:eastAsia="仿宋_GB2312" w:cs="仿宋_GB2312"/>
                <w:b w:val="0"/>
                <w:bCs w:val="0"/>
                <w:snapToGrid w:val="0"/>
                <w:color w:val="000000"/>
                <w:kern w:val="0"/>
                <w:sz w:val="21"/>
                <w:szCs w:val="21"/>
                <w:lang w:val="en-US" w:eastAsia="zh-CN"/>
              </w:rPr>
              <w:t>违法确定或者更换的评标委员会成员作出的评标结论无效。</w:t>
            </w:r>
            <w:r>
              <w:rPr>
                <w:rFonts w:hint="eastAsia" w:ascii="仿宋_GB2312" w:hAnsi="仿宋_GB2312" w:eastAsia="仿宋_GB2312" w:cs="仿宋_GB2312"/>
                <w:b w:val="0"/>
                <w:bCs w:val="0"/>
                <w:snapToGrid w:val="0"/>
                <w:color w:val="000000"/>
                <w:kern w:val="0"/>
                <w:sz w:val="21"/>
                <w:szCs w:val="21"/>
                <w:lang w:val="en-US" w:eastAsia="zh-CN"/>
              </w:rPr>
              <w:br w:type="textWrapping"/>
            </w:r>
            <w:r>
              <w:rPr>
                <w:rFonts w:hint="eastAsia" w:ascii="仿宋_GB2312" w:hAnsi="仿宋_GB2312" w:eastAsia="仿宋_GB2312" w:cs="仿宋_GB2312"/>
                <w:b w:val="0"/>
                <w:bCs w:val="0"/>
                <w:snapToGrid w:val="0"/>
                <w:color w:val="000000"/>
                <w:kern w:val="0"/>
                <w:sz w:val="21"/>
                <w:szCs w:val="21"/>
                <w:lang w:val="en-US" w:eastAsia="zh-CN"/>
              </w:rPr>
              <w:t>3.《湖南省人民政府办公厅《关于建立健全招标投标监管长效机制规范招标投标活动的意见》（湘政办发〔2021〕77号）第(一)条  规定合理划分招标投标活动监管职责。各级发展改革部门负责指导和协调本行政区域内的招标投标工作，按照职责权限对工业项目(含能源)、代建单位招标投标实施监督。对没有行业主管部门或确实难以协调明确监管职责的项目，由发展改革部门实施监督和查处违法违规行为，避免出现管理空白和监督缺位。</w:t>
            </w:r>
          </w:p>
        </w:tc>
        <w:tc>
          <w:tcPr>
            <w:tcW w:w="817" w:type="dxa"/>
            <w:shd w:val="clear" w:color="auto" w:fill="FFFFFF"/>
            <w:noWrap/>
            <w:tcMar>
              <w:left w:w="108" w:type="dxa"/>
              <w:right w:w="108" w:type="dxa"/>
            </w:tcMar>
            <w:vAlign w:val="center"/>
          </w:tcPr>
          <w:p w14:paraId="2AF5DEBE">
            <w:pPr>
              <w:pStyle w:val="7"/>
              <w:keepNext w:val="0"/>
              <w:keepLines w:val="0"/>
              <w:pageBreakBefore w:val="0"/>
              <w:widowControl/>
              <w:kinsoku w:val="0"/>
              <w:wordWrap/>
              <w:overflowPunct/>
              <w:topLinePunct w:val="0"/>
              <w:autoSpaceDE w:val="0"/>
              <w:autoSpaceDN w:val="0"/>
              <w:bidi w:val="0"/>
              <w:adjustRightInd w:val="0"/>
              <w:snapToGrid w:val="0"/>
              <w:spacing w:line="260" w:lineRule="exact"/>
              <w:ind w:left="272"/>
              <w:jc w:val="center"/>
              <w:textAlignment w:val="baseline"/>
              <w:rPr>
                <w:rFonts w:hint="eastAsia" w:ascii="仿宋_GB2312" w:hAnsi="仿宋_GB2312" w:eastAsia="仿宋_GB2312" w:cs="仿宋_GB2312"/>
                <w:b w:val="0"/>
                <w:bCs w:val="0"/>
                <w:snapToGrid w:val="0"/>
                <w:color w:val="000000"/>
                <w:kern w:val="0"/>
                <w:sz w:val="21"/>
                <w:szCs w:val="21"/>
              </w:rPr>
            </w:pPr>
          </w:p>
        </w:tc>
      </w:tr>
      <w:tr w14:paraId="5D4855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002" w:hRule="atLeast"/>
        </w:trPr>
        <w:tc>
          <w:tcPr>
            <w:tcW w:w="745" w:type="dxa"/>
            <w:shd w:val="clear" w:color="auto" w:fill="FFFFFF"/>
            <w:tcMar>
              <w:left w:w="108" w:type="dxa"/>
              <w:right w:w="108" w:type="dxa"/>
            </w:tcMar>
            <w:vAlign w:val="center"/>
          </w:tcPr>
          <w:p w14:paraId="164736DE">
            <w:pPr>
              <w:pStyle w:val="7"/>
              <w:keepNext w:val="0"/>
              <w:keepLines w:val="0"/>
              <w:pageBreakBefore w:val="0"/>
              <w:widowControl/>
              <w:kinsoku w:val="0"/>
              <w:wordWrap/>
              <w:overflowPunct/>
              <w:topLinePunct w:val="0"/>
              <w:autoSpaceDE w:val="0"/>
              <w:autoSpaceDN w:val="0"/>
              <w:bidi w:val="0"/>
              <w:adjustRightInd w:val="0"/>
              <w:snapToGrid w:val="0"/>
              <w:spacing w:line="260" w:lineRule="exact"/>
              <w:ind w:left="272"/>
              <w:jc w:val="center"/>
              <w:textAlignment w:val="baseline"/>
              <w:rPr>
                <w:rFonts w:hint="default" w:ascii="仿宋_GB2312" w:hAnsi="仿宋_GB2312" w:eastAsia="仿宋_GB2312" w:cs="仿宋_GB2312"/>
                <w:b w:val="0"/>
                <w:bCs w:val="0"/>
                <w:snapToGrid w:val="0"/>
                <w:color w:val="000000"/>
                <w:kern w:val="0"/>
                <w:sz w:val="21"/>
                <w:szCs w:val="21"/>
                <w:lang w:val="en-US"/>
              </w:rPr>
            </w:pPr>
            <w:r>
              <w:rPr>
                <w:rFonts w:hint="eastAsia" w:ascii="仿宋_GB2312" w:hAnsi="仿宋_GB2312" w:eastAsia="仿宋_GB2312" w:cs="仿宋_GB2312"/>
                <w:b w:val="0"/>
                <w:bCs w:val="0"/>
                <w:snapToGrid w:val="0"/>
                <w:color w:val="000000"/>
                <w:kern w:val="0"/>
                <w:sz w:val="21"/>
                <w:szCs w:val="21"/>
                <w:lang w:val="en-US" w:eastAsia="zh-CN"/>
              </w:rPr>
              <w:t>13</w:t>
            </w:r>
          </w:p>
        </w:tc>
        <w:tc>
          <w:tcPr>
            <w:tcW w:w="1334" w:type="dxa"/>
            <w:shd w:val="clear" w:color="auto" w:fill="FFFFFF"/>
            <w:tcMar>
              <w:left w:w="108" w:type="dxa"/>
              <w:right w:w="108" w:type="dxa"/>
            </w:tcMar>
            <w:vAlign w:val="center"/>
          </w:tcPr>
          <w:p w14:paraId="58DFF267">
            <w:pPr>
              <w:pStyle w:val="7"/>
              <w:keepNext w:val="0"/>
              <w:keepLines w:val="0"/>
              <w:pageBreakBefore w:val="0"/>
              <w:widowControl/>
              <w:kinsoku w:val="0"/>
              <w:wordWrap/>
              <w:overflowPunct/>
              <w:topLinePunct w:val="0"/>
              <w:autoSpaceDE w:val="0"/>
              <w:autoSpaceDN w:val="0"/>
              <w:bidi w:val="0"/>
              <w:adjustRightInd w:val="0"/>
              <w:snapToGrid w:val="0"/>
              <w:spacing w:line="260" w:lineRule="exact"/>
              <w:ind w:left="272"/>
              <w:jc w:val="center"/>
              <w:textAlignment w:val="baseline"/>
              <w:rPr>
                <w:rFonts w:hint="eastAsia" w:ascii="仿宋_GB2312" w:hAnsi="仿宋_GB2312" w:eastAsia="仿宋_GB2312" w:cs="仿宋_GB2312"/>
                <w:b w:val="0"/>
                <w:bCs w:val="0"/>
                <w:snapToGrid w:val="0"/>
                <w:color w:val="000000"/>
                <w:kern w:val="0"/>
                <w:sz w:val="21"/>
                <w:szCs w:val="21"/>
              </w:rPr>
            </w:pPr>
            <w:r>
              <w:rPr>
                <w:rFonts w:hint="eastAsia" w:ascii="仿宋_GB2312" w:hAnsi="仿宋_GB2312" w:eastAsia="仿宋_GB2312" w:cs="仿宋_GB2312"/>
                <w:b w:val="0"/>
                <w:bCs w:val="0"/>
                <w:snapToGrid w:val="0"/>
                <w:color w:val="000000"/>
                <w:kern w:val="0"/>
                <w:sz w:val="21"/>
                <w:szCs w:val="21"/>
                <w:lang w:val="en-US" w:eastAsia="zh-CN"/>
              </w:rPr>
              <w:t>对依法必须进行招标的工业项目及按规定履行监管职责项目的中标人无正当理由不与招标人订立合同，在签订合同时向招标人提出附加条件，或者不按照招标文件要求提交履约保证金的行政处罚</w:t>
            </w:r>
          </w:p>
        </w:tc>
        <w:tc>
          <w:tcPr>
            <w:tcW w:w="1085" w:type="dxa"/>
            <w:shd w:val="clear" w:color="auto" w:fill="FFFFFF"/>
            <w:noWrap/>
            <w:tcMar>
              <w:left w:w="108" w:type="dxa"/>
              <w:right w:w="108" w:type="dxa"/>
            </w:tcMar>
            <w:vAlign w:val="center"/>
          </w:tcPr>
          <w:p w14:paraId="1B3EC030">
            <w:pPr>
              <w:pStyle w:val="7"/>
              <w:keepNext w:val="0"/>
              <w:keepLines w:val="0"/>
              <w:pageBreakBefore w:val="0"/>
              <w:widowControl/>
              <w:kinsoku w:val="0"/>
              <w:wordWrap/>
              <w:overflowPunct/>
              <w:topLinePunct w:val="0"/>
              <w:autoSpaceDE w:val="0"/>
              <w:autoSpaceDN w:val="0"/>
              <w:bidi w:val="0"/>
              <w:adjustRightInd w:val="0"/>
              <w:snapToGrid w:val="0"/>
              <w:spacing w:line="260" w:lineRule="exact"/>
              <w:ind w:left="272"/>
              <w:jc w:val="center"/>
              <w:textAlignment w:val="baseline"/>
              <w:rPr>
                <w:rFonts w:hint="eastAsia" w:ascii="仿宋_GB2312" w:hAnsi="仿宋_GB2312" w:eastAsia="仿宋_GB2312" w:cs="仿宋_GB2312"/>
                <w:b w:val="0"/>
                <w:bCs w:val="0"/>
                <w:snapToGrid w:val="0"/>
                <w:color w:val="000000"/>
                <w:kern w:val="0"/>
                <w:sz w:val="21"/>
                <w:szCs w:val="21"/>
              </w:rPr>
            </w:pPr>
            <w:r>
              <w:rPr>
                <w:rFonts w:hint="eastAsia" w:ascii="仿宋_GB2312" w:hAnsi="仿宋_GB2312" w:eastAsia="仿宋_GB2312" w:cs="仿宋_GB2312"/>
                <w:b w:val="0"/>
                <w:bCs w:val="0"/>
                <w:snapToGrid w:val="0"/>
                <w:color w:val="000000"/>
                <w:kern w:val="0"/>
                <w:sz w:val="21"/>
                <w:szCs w:val="21"/>
                <w:lang w:val="en-US" w:eastAsia="zh-CN"/>
              </w:rPr>
              <w:t>行政处罚</w:t>
            </w:r>
          </w:p>
        </w:tc>
        <w:tc>
          <w:tcPr>
            <w:tcW w:w="1179" w:type="dxa"/>
            <w:shd w:val="clear" w:color="auto" w:fill="FFFFFF"/>
            <w:tcMar>
              <w:left w:w="108" w:type="dxa"/>
              <w:right w:w="108" w:type="dxa"/>
            </w:tcMar>
            <w:vAlign w:val="center"/>
          </w:tcPr>
          <w:p w14:paraId="39081DDF">
            <w:pPr>
              <w:pStyle w:val="7"/>
              <w:keepNext w:val="0"/>
              <w:keepLines w:val="0"/>
              <w:pageBreakBefore w:val="0"/>
              <w:widowControl/>
              <w:kinsoku w:val="0"/>
              <w:wordWrap/>
              <w:overflowPunct/>
              <w:topLinePunct w:val="0"/>
              <w:autoSpaceDE w:val="0"/>
              <w:autoSpaceDN w:val="0"/>
              <w:bidi w:val="0"/>
              <w:adjustRightInd w:val="0"/>
              <w:snapToGrid w:val="0"/>
              <w:spacing w:line="260" w:lineRule="exact"/>
              <w:ind w:left="272" w:leftChars="0"/>
              <w:jc w:val="center"/>
              <w:textAlignment w:val="baseline"/>
              <w:rPr>
                <w:rFonts w:hint="eastAsia" w:ascii="仿宋_GB2312" w:hAnsi="仿宋_GB2312" w:eastAsia="仿宋_GB2312" w:cs="仿宋_GB2312"/>
                <w:b w:val="0"/>
                <w:bCs w:val="0"/>
                <w:snapToGrid w:val="0"/>
                <w:color w:val="000000"/>
                <w:kern w:val="0"/>
                <w:sz w:val="21"/>
                <w:szCs w:val="21"/>
              </w:rPr>
            </w:pPr>
            <w:r>
              <w:rPr>
                <w:rFonts w:hint="eastAsia" w:ascii="仿宋_GB2312" w:hAnsi="仿宋_GB2312" w:eastAsia="仿宋_GB2312" w:cs="仿宋_GB2312"/>
                <w:b w:val="0"/>
                <w:bCs w:val="0"/>
                <w:snapToGrid w:val="0"/>
                <w:color w:val="000000"/>
                <w:kern w:val="0"/>
                <w:sz w:val="21"/>
                <w:szCs w:val="21"/>
                <w:lang w:val="en-US" w:eastAsia="zh-CN"/>
              </w:rPr>
              <w:t>零陵区发改局</w:t>
            </w:r>
          </w:p>
        </w:tc>
        <w:tc>
          <w:tcPr>
            <w:tcW w:w="1444" w:type="dxa"/>
            <w:shd w:val="clear" w:color="auto" w:fill="FFFFFF"/>
            <w:tcMar>
              <w:left w:w="108" w:type="dxa"/>
              <w:right w:w="108" w:type="dxa"/>
            </w:tcMar>
            <w:vAlign w:val="center"/>
          </w:tcPr>
          <w:p w14:paraId="664BB2A6">
            <w:pPr>
              <w:pStyle w:val="7"/>
              <w:keepNext w:val="0"/>
              <w:keepLines w:val="0"/>
              <w:pageBreakBefore w:val="0"/>
              <w:widowControl/>
              <w:kinsoku w:val="0"/>
              <w:wordWrap/>
              <w:overflowPunct/>
              <w:topLinePunct w:val="0"/>
              <w:autoSpaceDE w:val="0"/>
              <w:autoSpaceDN w:val="0"/>
              <w:bidi w:val="0"/>
              <w:adjustRightInd w:val="0"/>
              <w:snapToGrid w:val="0"/>
              <w:spacing w:line="260" w:lineRule="exact"/>
              <w:ind w:left="272" w:leftChars="0"/>
              <w:jc w:val="center"/>
              <w:textAlignment w:val="baseline"/>
              <w:rPr>
                <w:rFonts w:hint="eastAsia" w:ascii="仿宋_GB2312" w:hAnsi="仿宋_GB2312" w:eastAsia="仿宋_GB2312" w:cs="仿宋_GB2312"/>
                <w:b w:val="0"/>
                <w:bCs w:val="0"/>
                <w:snapToGrid w:val="0"/>
                <w:color w:val="000000"/>
                <w:kern w:val="0"/>
                <w:sz w:val="21"/>
                <w:szCs w:val="21"/>
              </w:rPr>
            </w:pPr>
            <w:r>
              <w:rPr>
                <w:rFonts w:hint="eastAsia" w:ascii="仿宋_GB2312" w:hAnsi="仿宋_GB2312" w:eastAsia="仿宋_GB2312" w:cs="仿宋_GB2312"/>
                <w:b w:val="0"/>
                <w:bCs w:val="0"/>
                <w:snapToGrid w:val="0"/>
                <w:color w:val="000000"/>
                <w:kern w:val="0"/>
                <w:sz w:val="21"/>
                <w:szCs w:val="21"/>
                <w:lang w:val="en-US" w:eastAsia="zh-CN"/>
              </w:rPr>
              <w:t>法规股</w:t>
            </w:r>
          </w:p>
        </w:tc>
        <w:tc>
          <w:tcPr>
            <w:tcW w:w="8616" w:type="dxa"/>
            <w:shd w:val="clear" w:color="auto" w:fill="FFFFFF"/>
            <w:tcMar>
              <w:left w:w="108" w:type="dxa"/>
              <w:right w:w="108" w:type="dxa"/>
            </w:tcMar>
            <w:vAlign w:val="center"/>
          </w:tcPr>
          <w:p w14:paraId="7E5EBF95">
            <w:pPr>
              <w:pStyle w:val="7"/>
              <w:keepNext w:val="0"/>
              <w:keepLines w:val="0"/>
              <w:pageBreakBefore w:val="0"/>
              <w:widowControl/>
              <w:kinsoku w:val="0"/>
              <w:wordWrap/>
              <w:overflowPunct/>
              <w:topLinePunct w:val="0"/>
              <w:autoSpaceDE w:val="0"/>
              <w:autoSpaceDN w:val="0"/>
              <w:bidi w:val="0"/>
              <w:adjustRightInd w:val="0"/>
              <w:snapToGrid w:val="0"/>
              <w:spacing w:line="260" w:lineRule="exact"/>
              <w:ind w:left="272"/>
              <w:jc w:val="left"/>
              <w:textAlignment w:val="baseline"/>
              <w:rPr>
                <w:rFonts w:hint="eastAsia" w:ascii="仿宋_GB2312" w:hAnsi="仿宋_GB2312" w:eastAsia="仿宋_GB2312" w:cs="仿宋_GB2312"/>
                <w:b w:val="0"/>
                <w:bCs w:val="0"/>
                <w:snapToGrid w:val="0"/>
                <w:color w:val="000000"/>
                <w:kern w:val="0"/>
                <w:sz w:val="21"/>
                <w:szCs w:val="21"/>
              </w:rPr>
            </w:pPr>
            <w:r>
              <w:rPr>
                <w:rFonts w:hint="eastAsia" w:ascii="仿宋_GB2312" w:hAnsi="仿宋_GB2312" w:eastAsia="仿宋_GB2312" w:cs="仿宋_GB2312"/>
                <w:b w:val="0"/>
                <w:bCs w:val="0"/>
                <w:snapToGrid w:val="0"/>
                <w:color w:val="000000"/>
                <w:kern w:val="0"/>
                <w:sz w:val="21"/>
                <w:szCs w:val="21"/>
                <w:lang w:val="en-US" w:eastAsia="zh-CN"/>
              </w:rPr>
              <w:t>1.《中华人民共和国招标投标法实施条例》第七十四条  中标人无正当理由不与招标人订立合同，在签订合同时向招标人提出附加条件，或者不按照招标文件要求提交履约保证金的，取消其中标资格，投标保证金不予退还。对依法必须进行招标的项目的中标人，由有关行政监督部门责令改正，可以处中标项目金额10‰以下的罚款。</w:t>
            </w:r>
            <w:r>
              <w:rPr>
                <w:rFonts w:hint="eastAsia" w:ascii="仿宋_GB2312" w:hAnsi="仿宋_GB2312" w:eastAsia="仿宋_GB2312" w:cs="仿宋_GB2312"/>
                <w:b w:val="0"/>
                <w:bCs w:val="0"/>
                <w:snapToGrid w:val="0"/>
                <w:color w:val="000000"/>
                <w:kern w:val="0"/>
                <w:sz w:val="21"/>
                <w:szCs w:val="21"/>
                <w:lang w:val="en-US" w:eastAsia="zh-CN"/>
              </w:rPr>
              <w:br w:type="textWrapping"/>
            </w:r>
            <w:r>
              <w:rPr>
                <w:rFonts w:hint="eastAsia" w:ascii="仿宋_GB2312" w:hAnsi="仿宋_GB2312" w:eastAsia="仿宋_GB2312" w:cs="仿宋_GB2312"/>
                <w:b w:val="0"/>
                <w:bCs w:val="0"/>
                <w:snapToGrid w:val="0"/>
                <w:color w:val="000000"/>
                <w:kern w:val="0"/>
                <w:sz w:val="21"/>
                <w:szCs w:val="21"/>
                <w:lang w:val="en-US" w:eastAsia="zh-CN"/>
              </w:rPr>
              <w:t>2.《湖南省人民政府办公厅《关于建立健全招标投标监管长效机制规范招标投标活动的意见》（湘政办发〔2021〕77号）第(一)条  规定合理划分招标投标活动监管职责。各级发展改革部门负责指导和协调本行政区域内的招标投标工作，按照职责权限对工业项目(含能源)、代建单位招标投标实施监督。对没有行业主管部门或确实难以协调明确监管职责的项目，由发展改革部门实施监督和查处违法违规行为，避免出现管理空白和监督缺位。</w:t>
            </w:r>
          </w:p>
        </w:tc>
        <w:tc>
          <w:tcPr>
            <w:tcW w:w="817" w:type="dxa"/>
            <w:shd w:val="clear" w:color="auto" w:fill="FFFFFF"/>
            <w:noWrap/>
            <w:tcMar>
              <w:left w:w="108" w:type="dxa"/>
              <w:right w:w="108" w:type="dxa"/>
            </w:tcMar>
            <w:vAlign w:val="center"/>
          </w:tcPr>
          <w:p w14:paraId="43437FD3">
            <w:pPr>
              <w:pStyle w:val="7"/>
              <w:keepNext w:val="0"/>
              <w:keepLines w:val="0"/>
              <w:pageBreakBefore w:val="0"/>
              <w:widowControl/>
              <w:kinsoku w:val="0"/>
              <w:wordWrap/>
              <w:overflowPunct/>
              <w:topLinePunct w:val="0"/>
              <w:autoSpaceDE w:val="0"/>
              <w:autoSpaceDN w:val="0"/>
              <w:bidi w:val="0"/>
              <w:adjustRightInd w:val="0"/>
              <w:snapToGrid w:val="0"/>
              <w:spacing w:line="260" w:lineRule="exact"/>
              <w:ind w:left="272"/>
              <w:jc w:val="center"/>
              <w:textAlignment w:val="baseline"/>
              <w:rPr>
                <w:rFonts w:hint="eastAsia" w:ascii="仿宋_GB2312" w:hAnsi="仿宋_GB2312" w:eastAsia="仿宋_GB2312" w:cs="仿宋_GB2312"/>
                <w:b w:val="0"/>
                <w:bCs w:val="0"/>
                <w:snapToGrid w:val="0"/>
                <w:color w:val="000000"/>
                <w:kern w:val="0"/>
                <w:sz w:val="21"/>
                <w:szCs w:val="21"/>
              </w:rPr>
            </w:pPr>
          </w:p>
        </w:tc>
      </w:tr>
      <w:tr w14:paraId="4DDF59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61" w:hRule="atLeast"/>
        </w:trPr>
        <w:tc>
          <w:tcPr>
            <w:tcW w:w="745" w:type="dxa"/>
            <w:shd w:val="clear" w:color="auto" w:fill="FFFFFF"/>
            <w:tcMar>
              <w:left w:w="108" w:type="dxa"/>
              <w:right w:w="108" w:type="dxa"/>
            </w:tcMar>
            <w:vAlign w:val="center"/>
          </w:tcPr>
          <w:p w14:paraId="454649DB">
            <w:pPr>
              <w:pStyle w:val="7"/>
              <w:keepNext w:val="0"/>
              <w:keepLines w:val="0"/>
              <w:pageBreakBefore w:val="0"/>
              <w:widowControl/>
              <w:kinsoku w:val="0"/>
              <w:wordWrap/>
              <w:overflowPunct/>
              <w:topLinePunct w:val="0"/>
              <w:autoSpaceDE w:val="0"/>
              <w:autoSpaceDN w:val="0"/>
              <w:bidi w:val="0"/>
              <w:adjustRightInd w:val="0"/>
              <w:snapToGrid w:val="0"/>
              <w:spacing w:line="260" w:lineRule="exact"/>
              <w:ind w:left="272"/>
              <w:jc w:val="center"/>
              <w:textAlignment w:val="baseline"/>
              <w:rPr>
                <w:rFonts w:hint="default" w:ascii="仿宋_GB2312" w:hAnsi="仿宋_GB2312" w:eastAsia="仿宋_GB2312" w:cs="仿宋_GB2312"/>
                <w:b w:val="0"/>
                <w:bCs w:val="0"/>
                <w:snapToGrid w:val="0"/>
                <w:color w:val="000000"/>
                <w:kern w:val="0"/>
                <w:sz w:val="21"/>
                <w:szCs w:val="21"/>
                <w:lang w:val="en-US"/>
              </w:rPr>
            </w:pPr>
            <w:r>
              <w:rPr>
                <w:rFonts w:hint="eastAsia" w:ascii="仿宋_GB2312" w:hAnsi="仿宋_GB2312" w:eastAsia="仿宋_GB2312" w:cs="仿宋_GB2312"/>
                <w:b w:val="0"/>
                <w:bCs w:val="0"/>
                <w:snapToGrid w:val="0"/>
                <w:color w:val="000000"/>
                <w:kern w:val="0"/>
                <w:sz w:val="21"/>
                <w:szCs w:val="21"/>
                <w:lang w:val="en-US" w:eastAsia="zh-CN"/>
              </w:rPr>
              <w:t>14</w:t>
            </w:r>
          </w:p>
        </w:tc>
        <w:tc>
          <w:tcPr>
            <w:tcW w:w="1334" w:type="dxa"/>
            <w:shd w:val="clear" w:color="auto" w:fill="FFFFFF"/>
            <w:tcMar>
              <w:left w:w="108" w:type="dxa"/>
              <w:right w:w="108" w:type="dxa"/>
            </w:tcMar>
            <w:vAlign w:val="center"/>
          </w:tcPr>
          <w:p w14:paraId="62BF9599">
            <w:pPr>
              <w:pStyle w:val="7"/>
              <w:keepNext w:val="0"/>
              <w:keepLines w:val="0"/>
              <w:pageBreakBefore w:val="0"/>
              <w:widowControl/>
              <w:kinsoku w:val="0"/>
              <w:wordWrap/>
              <w:overflowPunct/>
              <w:topLinePunct w:val="0"/>
              <w:autoSpaceDE w:val="0"/>
              <w:autoSpaceDN w:val="0"/>
              <w:bidi w:val="0"/>
              <w:adjustRightInd w:val="0"/>
              <w:snapToGrid w:val="0"/>
              <w:spacing w:line="260" w:lineRule="exact"/>
              <w:ind w:left="272"/>
              <w:jc w:val="center"/>
              <w:textAlignment w:val="baseline"/>
              <w:rPr>
                <w:rFonts w:hint="eastAsia" w:ascii="仿宋_GB2312" w:hAnsi="仿宋_GB2312" w:eastAsia="仿宋_GB2312" w:cs="仿宋_GB2312"/>
                <w:b w:val="0"/>
                <w:bCs w:val="0"/>
                <w:snapToGrid w:val="0"/>
                <w:color w:val="000000"/>
                <w:kern w:val="0"/>
                <w:sz w:val="21"/>
                <w:szCs w:val="21"/>
              </w:rPr>
            </w:pPr>
            <w:r>
              <w:rPr>
                <w:rFonts w:hint="eastAsia" w:ascii="仿宋_GB2312" w:hAnsi="仿宋_GB2312" w:eastAsia="仿宋_GB2312" w:cs="仿宋_GB2312"/>
                <w:b w:val="0"/>
                <w:bCs w:val="0"/>
                <w:snapToGrid w:val="0"/>
                <w:color w:val="000000"/>
                <w:kern w:val="0"/>
                <w:sz w:val="21"/>
                <w:szCs w:val="21"/>
                <w:lang w:val="en-US" w:eastAsia="zh-CN"/>
              </w:rPr>
              <w:t>对工业项目及按规定履行监管职责项目招标代理机构及其工作人员违反法律、法规和规章从事与招标代理活动有关行为的行政处罚</w:t>
            </w:r>
          </w:p>
        </w:tc>
        <w:tc>
          <w:tcPr>
            <w:tcW w:w="1085" w:type="dxa"/>
            <w:shd w:val="clear" w:color="auto" w:fill="FFFFFF"/>
            <w:noWrap/>
            <w:tcMar>
              <w:left w:w="108" w:type="dxa"/>
              <w:right w:w="108" w:type="dxa"/>
            </w:tcMar>
            <w:vAlign w:val="center"/>
          </w:tcPr>
          <w:p w14:paraId="4C0033AB">
            <w:pPr>
              <w:pStyle w:val="7"/>
              <w:keepNext w:val="0"/>
              <w:keepLines w:val="0"/>
              <w:pageBreakBefore w:val="0"/>
              <w:widowControl/>
              <w:kinsoku w:val="0"/>
              <w:wordWrap/>
              <w:overflowPunct/>
              <w:topLinePunct w:val="0"/>
              <w:autoSpaceDE w:val="0"/>
              <w:autoSpaceDN w:val="0"/>
              <w:bidi w:val="0"/>
              <w:adjustRightInd w:val="0"/>
              <w:snapToGrid w:val="0"/>
              <w:spacing w:line="260" w:lineRule="exact"/>
              <w:ind w:left="272"/>
              <w:jc w:val="center"/>
              <w:textAlignment w:val="baseline"/>
              <w:rPr>
                <w:rFonts w:hint="eastAsia" w:ascii="仿宋_GB2312" w:hAnsi="仿宋_GB2312" w:eastAsia="仿宋_GB2312" w:cs="仿宋_GB2312"/>
                <w:b w:val="0"/>
                <w:bCs w:val="0"/>
                <w:snapToGrid w:val="0"/>
                <w:color w:val="000000"/>
                <w:kern w:val="0"/>
                <w:sz w:val="21"/>
                <w:szCs w:val="21"/>
              </w:rPr>
            </w:pPr>
            <w:r>
              <w:rPr>
                <w:rFonts w:hint="eastAsia" w:ascii="仿宋_GB2312" w:hAnsi="仿宋_GB2312" w:eastAsia="仿宋_GB2312" w:cs="仿宋_GB2312"/>
                <w:b w:val="0"/>
                <w:bCs w:val="0"/>
                <w:snapToGrid w:val="0"/>
                <w:color w:val="000000"/>
                <w:kern w:val="0"/>
                <w:sz w:val="21"/>
                <w:szCs w:val="21"/>
                <w:lang w:val="en-US" w:eastAsia="zh-CN"/>
              </w:rPr>
              <w:t>行政处罚</w:t>
            </w:r>
          </w:p>
        </w:tc>
        <w:tc>
          <w:tcPr>
            <w:tcW w:w="1179" w:type="dxa"/>
            <w:shd w:val="clear" w:color="auto" w:fill="FFFFFF"/>
            <w:tcMar>
              <w:left w:w="108" w:type="dxa"/>
              <w:right w:w="108" w:type="dxa"/>
            </w:tcMar>
            <w:vAlign w:val="center"/>
          </w:tcPr>
          <w:p w14:paraId="7523A83B">
            <w:pPr>
              <w:pStyle w:val="7"/>
              <w:keepNext w:val="0"/>
              <w:keepLines w:val="0"/>
              <w:pageBreakBefore w:val="0"/>
              <w:widowControl/>
              <w:kinsoku w:val="0"/>
              <w:wordWrap/>
              <w:overflowPunct/>
              <w:topLinePunct w:val="0"/>
              <w:autoSpaceDE w:val="0"/>
              <w:autoSpaceDN w:val="0"/>
              <w:bidi w:val="0"/>
              <w:adjustRightInd w:val="0"/>
              <w:snapToGrid w:val="0"/>
              <w:spacing w:line="260" w:lineRule="exact"/>
              <w:ind w:left="272" w:leftChars="0"/>
              <w:jc w:val="center"/>
              <w:textAlignment w:val="baseline"/>
              <w:rPr>
                <w:rFonts w:hint="eastAsia" w:ascii="仿宋_GB2312" w:hAnsi="仿宋_GB2312" w:eastAsia="仿宋_GB2312" w:cs="仿宋_GB2312"/>
                <w:b w:val="0"/>
                <w:bCs w:val="0"/>
                <w:snapToGrid w:val="0"/>
                <w:color w:val="000000"/>
                <w:kern w:val="0"/>
                <w:sz w:val="21"/>
                <w:szCs w:val="21"/>
              </w:rPr>
            </w:pPr>
            <w:r>
              <w:rPr>
                <w:rFonts w:hint="eastAsia" w:ascii="仿宋_GB2312" w:hAnsi="仿宋_GB2312" w:eastAsia="仿宋_GB2312" w:cs="仿宋_GB2312"/>
                <w:b w:val="0"/>
                <w:bCs w:val="0"/>
                <w:snapToGrid w:val="0"/>
                <w:color w:val="000000"/>
                <w:kern w:val="0"/>
                <w:sz w:val="21"/>
                <w:szCs w:val="21"/>
                <w:lang w:val="en-US" w:eastAsia="zh-CN"/>
              </w:rPr>
              <w:t>零陵区发改局</w:t>
            </w:r>
          </w:p>
        </w:tc>
        <w:tc>
          <w:tcPr>
            <w:tcW w:w="1444" w:type="dxa"/>
            <w:shd w:val="clear" w:color="auto" w:fill="FFFFFF"/>
            <w:tcMar>
              <w:left w:w="108" w:type="dxa"/>
              <w:right w:w="108" w:type="dxa"/>
            </w:tcMar>
            <w:vAlign w:val="center"/>
          </w:tcPr>
          <w:p w14:paraId="54CEA6A3">
            <w:pPr>
              <w:pStyle w:val="7"/>
              <w:keepNext w:val="0"/>
              <w:keepLines w:val="0"/>
              <w:pageBreakBefore w:val="0"/>
              <w:widowControl/>
              <w:kinsoku w:val="0"/>
              <w:wordWrap/>
              <w:overflowPunct/>
              <w:topLinePunct w:val="0"/>
              <w:autoSpaceDE w:val="0"/>
              <w:autoSpaceDN w:val="0"/>
              <w:bidi w:val="0"/>
              <w:adjustRightInd w:val="0"/>
              <w:snapToGrid w:val="0"/>
              <w:spacing w:line="260" w:lineRule="exact"/>
              <w:ind w:left="272" w:leftChars="0"/>
              <w:jc w:val="center"/>
              <w:textAlignment w:val="baseline"/>
              <w:rPr>
                <w:rFonts w:hint="eastAsia" w:ascii="仿宋_GB2312" w:hAnsi="仿宋_GB2312" w:eastAsia="仿宋_GB2312" w:cs="仿宋_GB2312"/>
                <w:b w:val="0"/>
                <w:bCs w:val="0"/>
                <w:snapToGrid w:val="0"/>
                <w:color w:val="000000"/>
                <w:kern w:val="0"/>
                <w:sz w:val="21"/>
                <w:szCs w:val="21"/>
              </w:rPr>
            </w:pPr>
            <w:r>
              <w:rPr>
                <w:rFonts w:hint="eastAsia" w:ascii="仿宋_GB2312" w:hAnsi="仿宋_GB2312" w:eastAsia="仿宋_GB2312" w:cs="仿宋_GB2312"/>
                <w:b w:val="0"/>
                <w:bCs w:val="0"/>
                <w:snapToGrid w:val="0"/>
                <w:color w:val="000000"/>
                <w:kern w:val="0"/>
                <w:sz w:val="21"/>
                <w:szCs w:val="21"/>
                <w:lang w:val="en-US" w:eastAsia="zh-CN"/>
              </w:rPr>
              <w:t>法规股</w:t>
            </w:r>
          </w:p>
        </w:tc>
        <w:tc>
          <w:tcPr>
            <w:tcW w:w="8616" w:type="dxa"/>
            <w:shd w:val="clear" w:color="auto" w:fill="FFFFFF"/>
            <w:tcMar>
              <w:left w:w="108" w:type="dxa"/>
              <w:right w:w="108" w:type="dxa"/>
            </w:tcMar>
            <w:vAlign w:val="center"/>
          </w:tcPr>
          <w:p w14:paraId="773F85F2">
            <w:pPr>
              <w:pStyle w:val="7"/>
              <w:keepNext w:val="0"/>
              <w:keepLines w:val="0"/>
              <w:pageBreakBefore w:val="0"/>
              <w:widowControl/>
              <w:kinsoku w:val="0"/>
              <w:wordWrap/>
              <w:overflowPunct/>
              <w:topLinePunct w:val="0"/>
              <w:autoSpaceDE w:val="0"/>
              <w:autoSpaceDN w:val="0"/>
              <w:bidi w:val="0"/>
              <w:adjustRightInd w:val="0"/>
              <w:snapToGrid w:val="0"/>
              <w:spacing w:line="260" w:lineRule="exact"/>
              <w:ind w:left="272"/>
              <w:jc w:val="left"/>
              <w:textAlignment w:val="baseline"/>
              <w:rPr>
                <w:rFonts w:hint="eastAsia" w:ascii="仿宋_GB2312" w:hAnsi="仿宋_GB2312" w:eastAsia="仿宋_GB2312" w:cs="仿宋_GB2312"/>
                <w:b w:val="0"/>
                <w:bCs w:val="0"/>
                <w:snapToGrid w:val="0"/>
                <w:color w:val="000000"/>
                <w:kern w:val="0"/>
                <w:sz w:val="21"/>
                <w:szCs w:val="21"/>
              </w:rPr>
            </w:pPr>
            <w:r>
              <w:rPr>
                <w:rFonts w:hint="eastAsia" w:ascii="仿宋_GB2312" w:hAnsi="仿宋_GB2312" w:eastAsia="仿宋_GB2312" w:cs="仿宋_GB2312"/>
                <w:b w:val="0"/>
                <w:bCs w:val="0"/>
                <w:snapToGrid w:val="0"/>
                <w:color w:val="000000"/>
                <w:kern w:val="0"/>
                <w:sz w:val="21"/>
                <w:szCs w:val="21"/>
                <w:lang w:val="en-US" w:eastAsia="zh-CN"/>
              </w:rPr>
              <w:t>1.《中华人民共和国招标投标法》第五十条  招标代理机构违反本法规定，泄露应当保密的与招标投标活动有关的情况和资料的，或者与招标人、投标人串通损害国家利益、社会公共利益或者他人合法权益的，处五万元以上二十五万元以下的罚款；对单位直接负责的主管人员和其他直接责任人员处单位罚款数额百分之五以上百分之十以下的罚款；有违法所得的，并处没收违法所得；情节严重的，禁止其一年至二年内代理依法必须进行招标的项目并予以公告，直至由工商行政管理机关吊销营业执照；构成犯罪的，依法追究刑事责任。给他人造成损失的，依法承担赔偿责任。</w:t>
            </w:r>
            <w:r>
              <w:rPr>
                <w:rFonts w:hint="eastAsia" w:ascii="仿宋_GB2312" w:hAnsi="仿宋_GB2312" w:eastAsia="仿宋_GB2312" w:cs="仿宋_GB2312"/>
                <w:b w:val="0"/>
                <w:bCs w:val="0"/>
                <w:snapToGrid w:val="0"/>
                <w:color w:val="000000"/>
                <w:kern w:val="0"/>
                <w:sz w:val="21"/>
                <w:szCs w:val="21"/>
                <w:lang w:val="en-US" w:eastAsia="zh-CN"/>
              </w:rPr>
              <w:br w:type="textWrapping"/>
            </w:r>
            <w:r>
              <w:rPr>
                <w:rFonts w:hint="eastAsia" w:ascii="仿宋_GB2312" w:hAnsi="仿宋_GB2312" w:eastAsia="仿宋_GB2312" w:cs="仿宋_GB2312"/>
                <w:b w:val="0"/>
                <w:bCs w:val="0"/>
                <w:snapToGrid w:val="0"/>
                <w:color w:val="000000"/>
                <w:kern w:val="0"/>
                <w:sz w:val="21"/>
                <w:szCs w:val="21"/>
                <w:lang w:val="en-US" w:eastAsia="zh-CN"/>
              </w:rPr>
              <w:t>前款所列行为影响中标结果的，中标无效。</w:t>
            </w:r>
            <w:r>
              <w:rPr>
                <w:rFonts w:hint="eastAsia" w:ascii="仿宋_GB2312" w:hAnsi="仿宋_GB2312" w:eastAsia="仿宋_GB2312" w:cs="仿宋_GB2312"/>
                <w:b w:val="0"/>
                <w:bCs w:val="0"/>
                <w:snapToGrid w:val="0"/>
                <w:color w:val="000000"/>
                <w:kern w:val="0"/>
                <w:sz w:val="21"/>
                <w:szCs w:val="21"/>
                <w:lang w:val="en-US" w:eastAsia="zh-CN"/>
              </w:rPr>
              <w:br w:type="textWrapping"/>
            </w:r>
            <w:r>
              <w:rPr>
                <w:rFonts w:hint="eastAsia" w:ascii="仿宋_GB2312" w:hAnsi="仿宋_GB2312" w:eastAsia="仿宋_GB2312" w:cs="仿宋_GB2312"/>
                <w:b w:val="0"/>
                <w:bCs w:val="0"/>
                <w:snapToGrid w:val="0"/>
                <w:color w:val="000000"/>
                <w:kern w:val="0"/>
                <w:sz w:val="21"/>
                <w:szCs w:val="21"/>
                <w:lang w:val="en-US" w:eastAsia="zh-CN"/>
              </w:rPr>
              <w:t>2.《中华人民共和国招标投标法实施条例》第六十五条  招标代理机构在所代理的招标项目中投标、代理投标或者向该项目投标人提供咨询的，接受委托编制标底的中介机构参加受托编制标底项目的投标或者为该项目的投标人编制投标文件、提供咨询的，依照招标投标法第五十条的规定追究法律责任。</w:t>
            </w:r>
            <w:r>
              <w:rPr>
                <w:rFonts w:hint="eastAsia" w:ascii="仿宋_GB2312" w:hAnsi="仿宋_GB2312" w:eastAsia="仿宋_GB2312" w:cs="仿宋_GB2312"/>
                <w:b w:val="0"/>
                <w:bCs w:val="0"/>
                <w:snapToGrid w:val="0"/>
                <w:color w:val="000000"/>
                <w:kern w:val="0"/>
                <w:sz w:val="21"/>
                <w:szCs w:val="21"/>
                <w:lang w:val="en-US" w:eastAsia="zh-CN"/>
              </w:rPr>
              <w:br w:type="textWrapping"/>
            </w:r>
            <w:r>
              <w:rPr>
                <w:rFonts w:hint="eastAsia" w:ascii="仿宋_GB2312" w:hAnsi="仿宋_GB2312" w:eastAsia="仿宋_GB2312" w:cs="仿宋_GB2312"/>
                <w:b w:val="0"/>
                <w:bCs w:val="0"/>
                <w:snapToGrid w:val="0"/>
                <w:color w:val="000000"/>
                <w:kern w:val="0"/>
                <w:sz w:val="21"/>
                <w:szCs w:val="21"/>
                <w:lang w:val="en-US" w:eastAsia="zh-CN"/>
              </w:rPr>
              <w:t>3.《湖南省人民政府办公厅《关于建立健全招标投标监管长效机制规范招标投标活动的意见》（湘政办发〔2021〕77号）第(一)条  规定合理划分招标投标活动监管职责。各级发展改革部门负责指导和协调本行政区域内的招标投标工作，按照职责权限对工业项目(含能源)、代建单位招标投标实施监督。对没有行业主管部门或确实难以协调明确监管职责的项目，由发展改革部门实施监督和查处违法违规行为，避免出现管理空白和监督缺位。</w:t>
            </w:r>
          </w:p>
        </w:tc>
        <w:tc>
          <w:tcPr>
            <w:tcW w:w="817" w:type="dxa"/>
            <w:shd w:val="clear" w:color="auto" w:fill="FFFFFF"/>
            <w:noWrap/>
            <w:tcMar>
              <w:left w:w="108" w:type="dxa"/>
              <w:right w:w="108" w:type="dxa"/>
            </w:tcMar>
            <w:vAlign w:val="center"/>
          </w:tcPr>
          <w:p w14:paraId="6012C823">
            <w:pPr>
              <w:pStyle w:val="7"/>
              <w:keepNext w:val="0"/>
              <w:keepLines w:val="0"/>
              <w:pageBreakBefore w:val="0"/>
              <w:widowControl/>
              <w:kinsoku w:val="0"/>
              <w:wordWrap/>
              <w:overflowPunct/>
              <w:topLinePunct w:val="0"/>
              <w:autoSpaceDE w:val="0"/>
              <w:autoSpaceDN w:val="0"/>
              <w:bidi w:val="0"/>
              <w:adjustRightInd w:val="0"/>
              <w:snapToGrid w:val="0"/>
              <w:spacing w:line="260" w:lineRule="exact"/>
              <w:ind w:left="272"/>
              <w:jc w:val="center"/>
              <w:textAlignment w:val="baseline"/>
              <w:rPr>
                <w:rFonts w:hint="eastAsia" w:ascii="仿宋_GB2312" w:hAnsi="仿宋_GB2312" w:eastAsia="仿宋_GB2312" w:cs="仿宋_GB2312"/>
                <w:b w:val="0"/>
                <w:bCs w:val="0"/>
                <w:snapToGrid w:val="0"/>
                <w:color w:val="000000"/>
                <w:kern w:val="0"/>
                <w:sz w:val="21"/>
                <w:szCs w:val="21"/>
              </w:rPr>
            </w:pPr>
          </w:p>
        </w:tc>
      </w:tr>
      <w:tr w14:paraId="22213A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745" w:type="dxa"/>
            <w:shd w:val="clear" w:color="auto" w:fill="FFFFFF"/>
            <w:tcMar>
              <w:left w:w="108" w:type="dxa"/>
              <w:right w:w="108" w:type="dxa"/>
            </w:tcMar>
            <w:vAlign w:val="center"/>
          </w:tcPr>
          <w:p w14:paraId="547ACBCD">
            <w:pPr>
              <w:pStyle w:val="7"/>
              <w:keepNext w:val="0"/>
              <w:keepLines w:val="0"/>
              <w:pageBreakBefore w:val="0"/>
              <w:widowControl/>
              <w:kinsoku w:val="0"/>
              <w:wordWrap/>
              <w:overflowPunct/>
              <w:topLinePunct w:val="0"/>
              <w:autoSpaceDE w:val="0"/>
              <w:autoSpaceDN w:val="0"/>
              <w:bidi w:val="0"/>
              <w:adjustRightInd w:val="0"/>
              <w:snapToGrid w:val="0"/>
              <w:spacing w:line="260" w:lineRule="exact"/>
              <w:ind w:left="272"/>
              <w:jc w:val="center"/>
              <w:textAlignment w:val="baseline"/>
              <w:rPr>
                <w:rFonts w:hint="default" w:ascii="仿宋_GB2312" w:hAnsi="仿宋_GB2312" w:eastAsia="仿宋_GB2312" w:cs="仿宋_GB2312"/>
                <w:b w:val="0"/>
                <w:bCs w:val="0"/>
                <w:snapToGrid w:val="0"/>
                <w:color w:val="000000"/>
                <w:kern w:val="0"/>
                <w:sz w:val="21"/>
                <w:szCs w:val="21"/>
                <w:lang w:val="en-US"/>
              </w:rPr>
            </w:pPr>
            <w:bookmarkStart w:id="2" w:name="OLE_LINK3" w:colFirst="3" w:colLast="4"/>
            <w:r>
              <w:rPr>
                <w:rFonts w:hint="eastAsia" w:ascii="仿宋_GB2312" w:hAnsi="仿宋_GB2312" w:eastAsia="仿宋_GB2312" w:cs="仿宋_GB2312"/>
                <w:b w:val="0"/>
                <w:bCs w:val="0"/>
                <w:snapToGrid w:val="0"/>
                <w:color w:val="000000"/>
                <w:kern w:val="0"/>
                <w:sz w:val="21"/>
                <w:szCs w:val="21"/>
                <w:lang w:val="en-US" w:eastAsia="zh-CN"/>
              </w:rPr>
              <w:t>15</w:t>
            </w:r>
          </w:p>
        </w:tc>
        <w:tc>
          <w:tcPr>
            <w:tcW w:w="1334" w:type="dxa"/>
            <w:shd w:val="clear" w:color="auto" w:fill="FFFFFF"/>
            <w:tcMar>
              <w:left w:w="108" w:type="dxa"/>
              <w:right w:w="108" w:type="dxa"/>
            </w:tcMar>
            <w:vAlign w:val="center"/>
          </w:tcPr>
          <w:p w14:paraId="62564667">
            <w:pPr>
              <w:pStyle w:val="7"/>
              <w:keepNext w:val="0"/>
              <w:keepLines w:val="0"/>
              <w:pageBreakBefore w:val="0"/>
              <w:widowControl/>
              <w:kinsoku w:val="0"/>
              <w:wordWrap/>
              <w:overflowPunct/>
              <w:topLinePunct w:val="0"/>
              <w:autoSpaceDE w:val="0"/>
              <w:autoSpaceDN w:val="0"/>
              <w:bidi w:val="0"/>
              <w:adjustRightInd w:val="0"/>
              <w:snapToGrid w:val="0"/>
              <w:spacing w:line="260" w:lineRule="exact"/>
              <w:ind w:left="272"/>
              <w:jc w:val="center"/>
              <w:textAlignment w:val="baseline"/>
              <w:rPr>
                <w:rFonts w:hint="eastAsia" w:ascii="仿宋_GB2312" w:hAnsi="仿宋_GB2312" w:eastAsia="仿宋_GB2312" w:cs="仿宋_GB2312"/>
                <w:b w:val="0"/>
                <w:bCs w:val="0"/>
                <w:snapToGrid w:val="0"/>
                <w:color w:val="000000"/>
                <w:kern w:val="0"/>
                <w:sz w:val="21"/>
                <w:szCs w:val="21"/>
              </w:rPr>
            </w:pPr>
            <w:r>
              <w:rPr>
                <w:rFonts w:hint="eastAsia" w:ascii="仿宋_GB2312" w:hAnsi="仿宋_GB2312" w:eastAsia="仿宋_GB2312" w:cs="仿宋_GB2312"/>
                <w:b w:val="0"/>
                <w:bCs w:val="0"/>
                <w:snapToGrid w:val="0"/>
                <w:color w:val="000000"/>
                <w:kern w:val="0"/>
                <w:sz w:val="21"/>
                <w:szCs w:val="21"/>
                <w:lang w:val="en-US" w:eastAsia="zh-CN"/>
              </w:rPr>
              <w:t>对固定资产投资项目建设单位未按照规定进行节能审查、节能审查未通过、未经节能验收、节能验收不合格或者不符合强制性节能标准的行政处罚</w:t>
            </w:r>
          </w:p>
        </w:tc>
        <w:tc>
          <w:tcPr>
            <w:tcW w:w="1085" w:type="dxa"/>
            <w:shd w:val="clear" w:color="auto" w:fill="FFFFFF"/>
            <w:noWrap/>
            <w:tcMar>
              <w:left w:w="108" w:type="dxa"/>
              <w:right w:w="108" w:type="dxa"/>
            </w:tcMar>
            <w:vAlign w:val="center"/>
          </w:tcPr>
          <w:p w14:paraId="6696CD00">
            <w:pPr>
              <w:pStyle w:val="7"/>
              <w:keepNext w:val="0"/>
              <w:keepLines w:val="0"/>
              <w:pageBreakBefore w:val="0"/>
              <w:widowControl/>
              <w:kinsoku w:val="0"/>
              <w:wordWrap/>
              <w:overflowPunct/>
              <w:topLinePunct w:val="0"/>
              <w:autoSpaceDE w:val="0"/>
              <w:autoSpaceDN w:val="0"/>
              <w:bidi w:val="0"/>
              <w:adjustRightInd w:val="0"/>
              <w:snapToGrid w:val="0"/>
              <w:spacing w:line="260" w:lineRule="exact"/>
              <w:ind w:left="272"/>
              <w:jc w:val="center"/>
              <w:textAlignment w:val="baseline"/>
              <w:rPr>
                <w:rFonts w:hint="eastAsia" w:ascii="仿宋_GB2312" w:hAnsi="仿宋_GB2312" w:eastAsia="仿宋_GB2312" w:cs="仿宋_GB2312"/>
                <w:b w:val="0"/>
                <w:bCs w:val="0"/>
                <w:snapToGrid w:val="0"/>
                <w:color w:val="000000"/>
                <w:kern w:val="0"/>
                <w:sz w:val="21"/>
                <w:szCs w:val="21"/>
              </w:rPr>
            </w:pPr>
            <w:r>
              <w:rPr>
                <w:rFonts w:hint="eastAsia" w:ascii="仿宋_GB2312" w:hAnsi="仿宋_GB2312" w:eastAsia="仿宋_GB2312" w:cs="仿宋_GB2312"/>
                <w:b w:val="0"/>
                <w:bCs w:val="0"/>
                <w:snapToGrid w:val="0"/>
                <w:color w:val="000000"/>
                <w:kern w:val="0"/>
                <w:sz w:val="21"/>
                <w:szCs w:val="21"/>
                <w:lang w:val="en-US" w:eastAsia="zh-CN"/>
              </w:rPr>
              <w:t>行政处罚</w:t>
            </w:r>
          </w:p>
        </w:tc>
        <w:tc>
          <w:tcPr>
            <w:tcW w:w="1179" w:type="dxa"/>
            <w:shd w:val="clear" w:color="auto" w:fill="FFFFFF"/>
            <w:tcMar>
              <w:left w:w="108" w:type="dxa"/>
              <w:right w:w="108" w:type="dxa"/>
            </w:tcMar>
            <w:vAlign w:val="center"/>
          </w:tcPr>
          <w:p w14:paraId="0B06C8F8">
            <w:pPr>
              <w:pStyle w:val="7"/>
              <w:keepNext w:val="0"/>
              <w:keepLines w:val="0"/>
              <w:pageBreakBefore w:val="0"/>
              <w:widowControl/>
              <w:kinsoku w:val="0"/>
              <w:wordWrap/>
              <w:overflowPunct/>
              <w:topLinePunct w:val="0"/>
              <w:autoSpaceDE w:val="0"/>
              <w:autoSpaceDN w:val="0"/>
              <w:bidi w:val="0"/>
              <w:adjustRightInd w:val="0"/>
              <w:snapToGrid w:val="0"/>
              <w:spacing w:line="260" w:lineRule="exact"/>
              <w:ind w:left="272" w:leftChars="0"/>
              <w:jc w:val="center"/>
              <w:textAlignment w:val="baseline"/>
              <w:rPr>
                <w:rFonts w:hint="eastAsia" w:ascii="仿宋_GB2312" w:hAnsi="仿宋_GB2312" w:eastAsia="仿宋_GB2312" w:cs="仿宋_GB2312"/>
                <w:b w:val="0"/>
                <w:bCs w:val="0"/>
                <w:snapToGrid w:val="0"/>
                <w:color w:val="000000"/>
                <w:kern w:val="0"/>
                <w:sz w:val="21"/>
                <w:szCs w:val="21"/>
              </w:rPr>
            </w:pPr>
            <w:r>
              <w:rPr>
                <w:rFonts w:hint="eastAsia" w:ascii="仿宋_GB2312" w:hAnsi="仿宋_GB2312" w:eastAsia="仿宋_GB2312" w:cs="仿宋_GB2312"/>
                <w:b w:val="0"/>
                <w:bCs w:val="0"/>
                <w:snapToGrid w:val="0"/>
                <w:color w:val="000000"/>
                <w:kern w:val="0"/>
                <w:sz w:val="21"/>
                <w:szCs w:val="21"/>
                <w:lang w:val="en-US" w:eastAsia="zh-CN"/>
              </w:rPr>
              <w:t>零陵区发改局</w:t>
            </w:r>
          </w:p>
        </w:tc>
        <w:tc>
          <w:tcPr>
            <w:tcW w:w="1444" w:type="dxa"/>
            <w:shd w:val="clear" w:color="auto" w:fill="FFFFFF"/>
            <w:tcMar>
              <w:left w:w="108" w:type="dxa"/>
              <w:right w:w="108" w:type="dxa"/>
            </w:tcMar>
            <w:vAlign w:val="center"/>
          </w:tcPr>
          <w:p w14:paraId="2E9B1B4E">
            <w:pPr>
              <w:pStyle w:val="7"/>
              <w:keepNext w:val="0"/>
              <w:keepLines w:val="0"/>
              <w:pageBreakBefore w:val="0"/>
              <w:widowControl/>
              <w:kinsoku w:val="0"/>
              <w:wordWrap/>
              <w:overflowPunct/>
              <w:topLinePunct w:val="0"/>
              <w:autoSpaceDE w:val="0"/>
              <w:autoSpaceDN w:val="0"/>
              <w:bidi w:val="0"/>
              <w:adjustRightInd w:val="0"/>
              <w:snapToGrid w:val="0"/>
              <w:spacing w:line="260" w:lineRule="exact"/>
              <w:ind w:left="272" w:leftChars="0"/>
              <w:jc w:val="center"/>
              <w:textAlignment w:val="baseline"/>
              <w:rPr>
                <w:rFonts w:hint="eastAsia" w:ascii="仿宋_GB2312" w:hAnsi="仿宋_GB2312" w:eastAsia="仿宋_GB2312" w:cs="仿宋_GB2312"/>
                <w:b w:val="0"/>
                <w:bCs w:val="0"/>
                <w:snapToGrid w:val="0"/>
                <w:color w:val="000000"/>
                <w:kern w:val="0"/>
                <w:sz w:val="21"/>
                <w:szCs w:val="21"/>
              </w:rPr>
            </w:pPr>
            <w:r>
              <w:rPr>
                <w:rFonts w:hint="eastAsia" w:ascii="仿宋_GB2312" w:hAnsi="仿宋_GB2312" w:eastAsia="仿宋_GB2312" w:cs="仿宋_GB2312"/>
                <w:b w:val="0"/>
                <w:bCs w:val="0"/>
                <w:snapToGrid w:val="0"/>
                <w:color w:val="000000"/>
                <w:kern w:val="0"/>
                <w:sz w:val="21"/>
                <w:szCs w:val="21"/>
                <w:lang w:val="en-US" w:eastAsia="zh-CN"/>
              </w:rPr>
              <w:t>环资股</w:t>
            </w:r>
          </w:p>
        </w:tc>
        <w:tc>
          <w:tcPr>
            <w:tcW w:w="8616" w:type="dxa"/>
            <w:shd w:val="clear" w:color="auto" w:fill="FFFFFF"/>
            <w:tcMar>
              <w:left w:w="108" w:type="dxa"/>
              <w:right w:w="108" w:type="dxa"/>
            </w:tcMar>
            <w:vAlign w:val="center"/>
          </w:tcPr>
          <w:p w14:paraId="7A43BF24">
            <w:pPr>
              <w:pStyle w:val="7"/>
              <w:keepNext w:val="0"/>
              <w:keepLines w:val="0"/>
              <w:pageBreakBefore w:val="0"/>
              <w:widowControl/>
              <w:kinsoku w:val="0"/>
              <w:wordWrap/>
              <w:overflowPunct/>
              <w:topLinePunct w:val="0"/>
              <w:autoSpaceDE w:val="0"/>
              <w:autoSpaceDN w:val="0"/>
              <w:bidi w:val="0"/>
              <w:adjustRightInd w:val="0"/>
              <w:snapToGrid w:val="0"/>
              <w:spacing w:line="260" w:lineRule="exact"/>
              <w:ind w:left="272"/>
              <w:jc w:val="left"/>
              <w:textAlignment w:val="baseline"/>
              <w:rPr>
                <w:rFonts w:hint="eastAsia" w:ascii="仿宋_GB2312" w:hAnsi="仿宋_GB2312" w:eastAsia="仿宋_GB2312" w:cs="仿宋_GB2312"/>
                <w:b w:val="0"/>
                <w:bCs w:val="0"/>
                <w:snapToGrid w:val="0"/>
                <w:color w:val="000000"/>
                <w:kern w:val="0"/>
                <w:sz w:val="21"/>
                <w:szCs w:val="21"/>
              </w:rPr>
            </w:pPr>
            <w:r>
              <w:rPr>
                <w:rFonts w:hint="eastAsia" w:ascii="仿宋_GB2312" w:hAnsi="仿宋_GB2312" w:eastAsia="仿宋_GB2312" w:cs="仿宋_GB2312"/>
                <w:b w:val="0"/>
                <w:bCs w:val="0"/>
                <w:snapToGrid w:val="0"/>
                <w:color w:val="000000"/>
                <w:kern w:val="0"/>
                <w:sz w:val="21"/>
                <w:szCs w:val="21"/>
                <w:lang w:val="en-US" w:eastAsia="zh-CN"/>
              </w:rPr>
              <w:t>1.《中华人民共和国节约能源法》第六十八条  负责审批政府投资项目的机关违反本法规定，对不符合强制性节能标准的项目予以批准建设的，对直接负责的主管人员和其他直接责任人员依法给予处分。</w:t>
            </w:r>
            <w:r>
              <w:rPr>
                <w:rFonts w:hint="eastAsia" w:ascii="仿宋_GB2312" w:hAnsi="仿宋_GB2312" w:eastAsia="仿宋_GB2312" w:cs="仿宋_GB2312"/>
                <w:b w:val="0"/>
                <w:bCs w:val="0"/>
                <w:snapToGrid w:val="0"/>
                <w:color w:val="000000"/>
                <w:kern w:val="0"/>
                <w:sz w:val="21"/>
                <w:szCs w:val="21"/>
                <w:lang w:val="en-US" w:eastAsia="zh-CN"/>
              </w:rPr>
              <w:br w:type="textWrapping"/>
            </w:r>
            <w:r>
              <w:rPr>
                <w:rFonts w:hint="eastAsia" w:ascii="仿宋_GB2312" w:hAnsi="仿宋_GB2312" w:eastAsia="仿宋_GB2312" w:cs="仿宋_GB2312"/>
                <w:b w:val="0"/>
                <w:bCs w:val="0"/>
                <w:snapToGrid w:val="0"/>
                <w:color w:val="000000"/>
                <w:kern w:val="0"/>
                <w:sz w:val="21"/>
                <w:szCs w:val="21"/>
                <w:lang w:val="en-US" w:eastAsia="zh-CN"/>
              </w:rPr>
              <w:t>固定资产投资项目建设单位开工建设不符合强制性节能标准的项目或者将该项目投入生产、使用的，由管理节能工作的部门责令停止建设或者停止生产、使用，限期改造；不能改造或者逾期不改造的生产性项目，由管理节能工作的部门报请本级人民政府按照国务院规定的权限责令关闭。</w:t>
            </w:r>
            <w:r>
              <w:rPr>
                <w:rFonts w:hint="eastAsia" w:ascii="仿宋_GB2312" w:hAnsi="仿宋_GB2312" w:eastAsia="仿宋_GB2312" w:cs="仿宋_GB2312"/>
                <w:b w:val="0"/>
                <w:bCs w:val="0"/>
                <w:snapToGrid w:val="0"/>
                <w:color w:val="000000"/>
                <w:kern w:val="0"/>
                <w:sz w:val="21"/>
                <w:szCs w:val="21"/>
                <w:lang w:val="en-US" w:eastAsia="zh-CN"/>
              </w:rPr>
              <w:br w:type="textWrapping"/>
            </w:r>
            <w:r>
              <w:rPr>
                <w:rFonts w:hint="eastAsia" w:ascii="仿宋_GB2312" w:hAnsi="仿宋_GB2312" w:eastAsia="仿宋_GB2312" w:cs="仿宋_GB2312"/>
                <w:b w:val="0"/>
                <w:bCs w:val="0"/>
                <w:snapToGrid w:val="0"/>
                <w:color w:val="000000"/>
                <w:kern w:val="0"/>
                <w:sz w:val="21"/>
                <w:szCs w:val="21"/>
                <w:lang w:val="en-US" w:eastAsia="zh-CN"/>
              </w:rPr>
              <w:t>2.《湖南省节能监察办法》第二十八条　负责节能工作的部门在节能监察中发现被监察单位违反《中华人民共和国节约能源法》等有关节能法律、法规、规章，应当给予行政处罚的，依法予以处罚，或者移送其他有关行政主管部门依法予以处罚。</w:t>
            </w:r>
          </w:p>
        </w:tc>
        <w:tc>
          <w:tcPr>
            <w:tcW w:w="817" w:type="dxa"/>
            <w:shd w:val="clear" w:color="auto" w:fill="FFFFFF"/>
            <w:noWrap/>
            <w:tcMar>
              <w:left w:w="108" w:type="dxa"/>
              <w:right w:w="108" w:type="dxa"/>
            </w:tcMar>
            <w:vAlign w:val="center"/>
          </w:tcPr>
          <w:p w14:paraId="171EC5F5">
            <w:pPr>
              <w:pStyle w:val="7"/>
              <w:keepNext w:val="0"/>
              <w:keepLines w:val="0"/>
              <w:pageBreakBefore w:val="0"/>
              <w:widowControl/>
              <w:kinsoku w:val="0"/>
              <w:wordWrap/>
              <w:overflowPunct/>
              <w:topLinePunct w:val="0"/>
              <w:autoSpaceDE w:val="0"/>
              <w:autoSpaceDN w:val="0"/>
              <w:bidi w:val="0"/>
              <w:adjustRightInd w:val="0"/>
              <w:snapToGrid w:val="0"/>
              <w:spacing w:line="260" w:lineRule="exact"/>
              <w:ind w:left="272"/>
              <w:jc w:val="center"/>
              <w:textAlignment w:val="baseline"/>
              <w:rPr>
                <w:rFonts w:hint="eastAsia" w:ascii="仿宋_GB2312" w:hAnsi="仿宋_GB2312" w:eastAsia="仿宋_GB2312" w:cs="仿宋_GB2312"/>
                <w:b w:val="0"/>
                <w:bCs w:val="0"/>
                <w:snapToGrid w:val="0"/>
                <w:color w:val="000000"/>
                <w:kern w:val="0"/>
                <w:sz w:val="21"/>
                <w:szCs w:val="21"/>
              </w:rPr>
            </w:pPr>
          </w:p>
        </w:tc>
      </w:tr>
      <w:bookmarkEnd w:id="2"/>
      <w:tr w14:paraId="735B3F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85" w:hRule="atLeast"/>
        </w:trPr>
        <w:tc>
          <w:tcPr>
            <w:tcW w:w="745" w:type="dxa"/>
            <w:shd w:val="clear" w:color="auto" w:fill="FFFFFF"/>
            <w:tcMar>
              <w:left w:w="108" w:type="dxa"/>
              <w:right w:w="108" w:type="dxa"/>
            </w:tcMar>
            <w:vAlign w:val="center"/>
          </w:tcPr>
          <w:p w14:paraId="4AA15F27">
            <w:pPr>
              <w:pStyle w:val="7"/>
              <w:keepNext w:val="0"/>
              <w:keepLines w:val="0"/>
              <w:pageBreakBefore w:val="0"/>
              <w:widowControl/>
              <w:kinsoku w:val="0"/>
              <w:wordWrap/>
              <w:overflowPunct/>
              <w:topLinePunct w:val="0"/>
              <w:autoSpaceDE w:val="0"/>
              <w:autoSpaceDN w:val="0"/>
              <w:bidi w:val="0"/>
              <w:adjustRightInd w:val="0"/>
              <w:snapToGrid w:val="0"/>
              <w:spacing w:line="260" w:lineRule="exact"/>
              <w:ind w:left="272"/>
              <w:jc w:val="center"/>
              <w:textAlignment w:val="baseline"/>
              <w:rPr>
                <w:rFonts w:hint="default" w:ascii="仿宋_GB2312" w:hAnsi="仿宋_GB2312" w:eastAsia="仿宋_GB2312" w:cs="仿宋_GB2312"/>
                <w:b w:val="0"/>
                <w:bCs w:val="0"/>
                <w:snapToGrid w:val="0"/>
                <w:color w:val="000000"/>
                <w:kern w:val="0"/>
                <w:sz w:val="21"/>
                <w:szCs w:val="21"/>
                <w:lang w:val="en-US"/>
              </w:rPr>
            </w:pPr>
            <w:r>
              <w:rPr>
                <w:rFonts w:hint="eastAsia" w:ascii="仿宋_GB2312" w:hAnsi="仿宋_GB2312" w:eastAsia="仿宋_GB2312" w:cs="仿宋_GB2312"/>
                <w:b w:val="0"/>
                <w:bCs w:val="0"/>
                <w:snapToGrid w:val="0"/>
                <w:color w:val="000000"/>
                <w:kern w:val="0"/>
                <w:sz w:val="21"/>
                <w:szCs w:val="21"/>
                <w:lang w:val="en-US" w:eastAsia="zh-CN"/>
              </w:rPr>
              <w:t>16</w:t>
            </w:r>
          </w:p>
        </w:tc>
        <w:tc>
          <w:tcPr>
            <w:tcW w:w="1334" w:type="dxa"/>
            <w:shd w:val="clear" w:color="auto" w:fill="FFFFFF"/>
            <w:tcMar>
              <w:left w:w="108" w:type="dxa"/>
              <w:right w:w="108" w:type="dxa"/>
            </w:tcMar>
            <w:vAlign w:val="center"/>
          </w:tcPr>
          <w:p w14:paraId="1259DF96">
            <w:pPr>
              <w:pStyle w:val="7"/>
              <w:keepNext w:val="0"/>
              <w:keepLines w:val="0"/>
              <w:pageBreakBefore w:val="0"/>
              <w:widowControl/>
              <w:kinsoku w:val="0"/>
              <w:wordWrap/>
              <w:overflowPunct/>
              <w:topLinePunct w:val="0"/>
              <w:autoSpaceDE w:val="0"/>
              <w:autoSpaceDN w:val="0"/>
              <w:bidi w:val="0"/>
              <w:adjustRightInd w:val="0"/>
              <w:snapToGrid w:val="0"/>
              <w:spacing w:line="260" w:lineRule="exact"/>
              <w:ind w:left="272"/>
              <w:jc w:val="center"/>
              <w:textAlignment w:val="baseline"/>
              <w:rPr>
                <w:rFonts w:hint="eastAsia" w:ascii="仿宋_GB2312" w:hAnsi="仿宋_GB2312" w:eastAsia="仿宋_GB2312" w:cs="仿宋_GB2312"/>
                <w:b w:val="0"/>
                <w:bCs w:val="0"/>
                <w:snapToGrid w:val="0"/>
                <w:color w:val="000000"/>
                <w:kern w:val="0"/>
                <w:sz w:val="21"/>
                <w:szCs w:val="21"/>
              </w:rPr>
            </w:pPr>
            <w:r>
              <w:rPr>
                <w:rFonts w:hint="eastAsia" w:ascii="仿宋_GB2312" w:hAnsi="仿宋_GB2312" w:eastAsia="仿宋_GB2312" w:cs="仿宋_GB2312"/>
                <w:b w:val="0"/>
                <w:bCs w:val="0"/>
                <w:snapToGrid w:val="0"/>
                <w:color w:val="000000"/>
                <w:kern w:val="0"/>
                <w:sz w:val="21"/>
                <w:szCs w:val="21"/>
                <w:lang w:val="en-US" w:eastAsia="zh-CN"/>
              </w:rPr>
              <w:t>对使用国家明令淘汰的用能设备或者生产工艺的行政处罚</w:t>
            </w:r>
          </w:p>
        </w:tc>
        <w:tc>
          <w:tcPr>
            <w:tcW w:w="1085" w:type="dxa"/>
            <w:shd w:val="clear" w:color="auto" w:fill="FFFFFF"/>
            <w:noWrap/>
            <w:tcMar>
              <w:left w:w="108" w:type="dxa"/>
              <w:right w:w="108" w:type="dxa"/>
            </w:tcMar>
            <w:vAlign w:val="center"/>
          </w:tcPr>
          <w:p w14:paraId="0D525EA2">
            <w:pPr>
              <w:pStyle w:val="7"/>
              <w:keepNext w:val="0"/>
              <w:keepLines w:val="0"/>
              <w:pageBreakBefore w:val="0"/>
              <w:widowControl/>
              <w:kinsoku w:val="0"/>
              <w:wordWrap/>
              <w:overflowPunct/>
              <w:topLinePunct w:val="0"/>
              <w:autoSpaceDE w:val="0"/>
              <w:autoSpaceDN w:val="0"/>
              <w:bidi w:val="0"/>
              <w:adjustRightInd w:val="0"/>
              <w:snapToGrid w:val="0"/>
              <w:spacing w:line="260" w:lineRule="exact"/>
              <w:ind w:left="272"/>
              <w:jc w:val="center"/>
              <w:textAlignment w:val="baseline"/>
              <w:rPr>
                <w:rFonts w:hint="eastAsia" w:ascii="仿宋_GB2312" w:hAnsi="仿宋_GB2312" w:eastAsia="仿宋_GB2312" w:cs="仿宋_GB2312"/>
                <w:b w:val="0"/>
                <w:bCs w:val="0"/>
                <w:snapToGrid w:val="0"/>
                <w:color w:val="000000"/>
                <w:kern w:val="0"/>
                <w:sz w:val="21"/>
                <w:szCs w:val="21"/>
              </w:rPr>
            </w:pPr>
            <w:r>
              <w:rPr>
                <w:rFonts w:hint="eastAsia" w:ascii="仿宋_GB2312" w:hAnsi="仿宋_GB2312" w:eastAsia="仿宋_GB2312" w:cs="仿宋_GB2312"/>
                <w:b w:val="0"/>
                <w:bCs w:val="0"/>
                <w:snapToGrid w:val="0"/>
                <w:color w:val="000000"/>
                <w:kern w:val="0"/>
                <w:sz w:val="21"/>
                <w:szCs w:val="21"/>
                <w:lang w:val="en-US" w:eastAsia="zh-CN"/>
              </w:rPr>
              <w:t>行政处罚</w:t>
            </w:r>
          </w:p>
        </w:tc>
        <w:tc>
          <w:tcPr>
            <w:tcW w:w="1179" w:type="dxa"/>
            <w:shd w:val="clear" w:color="auto" w:fill="FFFFFF"/>
            <w:tcMar>
              <w:left w:w="108" w:type="dxa"/>
              <w:right w:w="108" w:type="dxa"/>
            </w:tcMar>
            <w:vAlign w:val="center"/>
          </w:tcPr>
          <w:p w14:paraId="1A2A2163">
            <w:pPr>
              <w:pStyle w:val="7"/>
              <w:keepNext w:val="0"/>
              <w:keepLines w:val="0"/>
              <w:pageBreakBefore w:val="0"/>
              <w:widowControl/>
              <w:kinsoku w:val="0"/>
              <w:wordWrap/>
              <w:overflowPunct/>
              <w:topLinePunct w:val="0"/>
              <w:autoSpaceDE w:val="0"/>
              <w:autoSpaceDN w:val="0"/>
              <w:bidi w:val="0"/>
              <w:adjustRightInd w:val="0"/>
              <w:snapToGrid w:val="0"/>
              <w:spacing w:line="260" w:lineRule="exact"/>
              <w:ind w:left="272" w:leftChars="0"/>
              <w:jc w:val="center"/>
              <w:textAlignment w:val="baseline"/>
              <w:rPr>
                <w:rFonts w:hint="eastAsia" w:ascii="仿宋_GB2312" w:hAnsi="仿宋_GB2312" w:eastAsia="仿宋_GB2312" w:cs="仿宋_GB2312"/>
                <w:b w:val="0"/>
                <w:bCs w:val="0"/>
                <w:snapToGrid w:val="0"/>
                <w:color w:val="000000"/>
                <w:kern w:val="0"/>
                <w:sz w:val="21"/>
                <w:szCs w:val="21"/>
              </w:rPr>
            </w:pPr>
            <w:r>
              <w:rPr>
                <w:rFonts w:hint="eastAsia" w:ascii="仿宋_GB2312" w:hAnsi="仿宋_GB2312" w:eastAsia="仿宋_GB2312" w:cs="仿宋_GB2312"/>
                <w:b w:val="0"/>
                <w:bCs w:val="0"/>
                <w:snapToGrid w:val="0"/>
                <w:color w:val="000000"/>
                <w:kern w:val="0"/>
                <w:sz w:val="21"/>
                <w:szCs w:val="21"/>
                <w:lang w:val="en-US" w:eastAsia="zh-CN"/>
              </w:rPr>
              <w:t>零陵区发改局</w:t>
            </w:r>
          </w:p>
        </w:tc>
        <w:tc>
          <w:tcPr>
            <w:tcW w:w="1444" w:type="dxa"/>
            <w:shd w:val="clear" w:color="auto" w:fill="FFFFFF"/>
            <w:tcMar>
              <w:left w:w="108" w:type="dxa"/>
              <w:right w:w="108" w:type="dxa"/>
            </w:tcMar>
            <w:vAlign w:val="center"/>
          </w:tcPr>
          <w:p w14:paraId="4C6C213C">
            <w:pPr>
              <w:pStyle w:val="7"/>
              <w:keepNext w:val="0"/>
              <w:keepLines w:val="0"/>
              <w:pageBreakBefore w:val="0"/>
              <w:widowControl/>
              <w:kinsoku w:val="0"/>
              <w:wordWrap/>
              <w:overflowPunct/>
              <w:topLinePunct w:val="0"/>
              <w:autoSpaceDE w:val="0"/>
              <w:autoSpaceDN w:val="0"/>
              <w:bidi w:val="0"/>
              <w:adjustRightInd w:val="0"/>
              <w:snapToGrid w:val="0"/>
              <w:spacing w:line="260" w:lineRule="exact"/>
              <w:ind w:left="272" w:leftChars="0"/>
              <w:jc w:val="center"/>
              <w:textAlignment w:val="baseline"/>
              <w:rPr>
                <w:rFonts w:hint="eastAsia" w:ascii="仿宋_GB2312" w:hAnsi="仿宋_GB2312" w:eastAsia="仿宋_GB2312" w:cs="仿宋_GB2312"/>
                <w:b w:val="0"/>
                <w:bCs w:val="0"/>
                <w:snapToGrid w:val="0"/>
                <w:color w:val="000000"/>
                <w:kern w:val="0"/>
                <w:sz w:val="21"/>
                <w:szCs w:val="21"/>
              </w:rPr>
            </w:pPr>
            <w:r>
              <w:rPr>
                <w:rFonts w:hint="eastAsia" w:ascii="仿宋_GB2312" w:hAnsi="仿宋_GB2312" w:eastAsia="仿宋_GB2312" w:cs="仿宋_GB2312"/>
                <w:b w:val="0"/>
                <w:bCs w:val="0"/>
                <w:snapToGrid w:val="0"/>
                <w:color w:val="000000"/>
                <w:kern w:val="0"/>
                <w:sz w:val="21"/>
                <w:szCs w:val="21"/>
                <w:lang w:val="en-US" w:eastAsia="zh-CN"/>
              </w:rPr>
              <w:t>环资股</w:t>
            </w:r>
          </w:p>
        </w:tc>
        <w:tc>
          <w:tcPr>
            <w:tcW w:w="8616" w:type="dxa"/>
            <w:shd w:val="clear" w:color="auto" w:fill="FFFFFF"/>
            <w:tcMar>
              <w:left w:w="108" w:type="dxa"/>
              <w:right w:w="108" w:type="dxa"/>
            </w:tcMar>
            <w:vAlign w:val="center"/>
          </w:tcPr>
          <w:p w14:paraId="51D60429">
            <w:pPr>
              <w:pStyle w:val="7"/>
              <w:keepNext w:val="0"/>
              <w:keepLines w:val="0"/>
              <w:pageBreakBefore w:val="0"/>
              <w:widowControl/>
              <w:kinsoku w:val="0"/>
              <w:wordWrap/>
              <w:overflowPunct/>
              <w:topLinePunct w:val="0"/>
              <w:autoSpaceDE w:val="0"/>
              <w:autoSpaceDN w:val="0"/>
              <w:bidi w:val="0"/>
              <w:adjustRightInd w:val="0"/>
              <w:snapToGrid w:val="0"/>
              <w:spacing w:line="260" w:lineRule="exact"/>
              <w:ind w:left="272"/>
              <w:jc w:val="left"/>
              <w:textAlignment w:val="baseline"/>
              <w:rPr>
                <w:rFonts w:hint="eastAsia" w:ascii="仿宋_GB2312" w:hAnsi="仿宋_GB2312" w:eastAsia="仿宋_GB2312" w:cs="仿宋_GB2312"/>
                <w:b w:val="0"/>
                <w:bCs w:val="0"/>
                <w:snapToGrid w:val="0"/>
                <w:color w:val="000000"/>
                <w:kern w:val="0"/>
                <w:sz w:val="21"/>
                <w:szCs w:val="21"/>
              </w:rPr>
            </w:pPr>
            <w:r>
              <w:rPr>
                <w:rFonts w:hint="eastAsia" w:ascii="仿宋_GB2312" w:hAnsi="仿宋_GB2312" w:eastAsia="仿宋_GB2312" w:cs="仿宋_GB2312"/>
                <w:b w:val="0"/>
                <w:bCs w:val="0"/>
                <w:snapToGrid w:val="0"/>
                <w:color w:val="000000"/>
                <w:kern w:val="0"/>
                <w:sz w:val="21"/>
                <w:szCs w:val="21"/>
                <w:lang w:val="en-US" w:eastAsia="zh-CN"/>
              </w:rPr>
              <w:t>1.《中华人民共和国节约能源法》第七十一条  使用国家明令淘汰的用能设备或者生产工艺的，由管理节能工作的部门责令停止使用，没收国家明令淘汰的用能设备；情节严重的，可以由管理节能工作的部门提出意见，报请本级人民政府按照国务院规定的权限责令停业整顿或者关闭。</w:t>
            </w:r>
            <w:r>
              <w:rPr>
                <w:rFonts w:hint="eastAsia" w:ascii="仿宋_GB2312" w:hAnsi="仿宋_GB2312" w:eastAsia="仿宋_GB2312" w:cs="仿宋_GB2312"/>
                <w:b w:val="0"/>
                <w:bCs w:val="0"/>
                <w:snapToGrid w:val="0"/>
                <w:color w:val="000000"/>
                <w:kern w:val="0"/>
                <w:sz w:val="21"/>
                <w:szCs w:val="21"/>
                <w:lang w:val="en-US" w:eastAsia="zh-CN"/>
              </w:rPr>
              <w:br w:type="textWrapping"/>
            </w:r>
            <w:r>
              <w:rPr>
                <w:rFonts w:hint="eastAsia" w:ascii="仿宋_GB2312" w:hAnsi="仿宋_GB2312" w:eastAsia="仿宋_GB2312" w:cs="仿宋_GB2312"/>
                <w:b w:val="0"/>
                <w:bCs w:val="0"/>
                <w:snapToGrid w:val="0"/>
                <w:color w:val="000000"/>
                <w:kern w:val="0"/>
                <w:sz w:val="21"/>
                <w:szCs w:val="21"/>
                <w:lang w:val="en-US" w:eastAsia="zh-CN"/>
              </w:rPr>
              <w:t>2.《湖南省节能监察办法》第二十八条　负责节能工作的部门在节能监察中发现被监察单位违反《中华人民共和国节约能源法》等有关节能法律、法规、规章，应当给予行政处罚的，依法予以处罚，或者移送其他有关行政主管部门依法予以处罚。</w:t>
            </w:r>
          </w:p>
        </w:tc>
        <w:tc>
          <w:tcPr>
            <w:tcW w:w="817" w:type="dxa"/>
            <w:shd w:val="clear" w:color="auto" w:fill="FFFFFF"/>
            <w:noWrap/>
            <w:tcMar>
              <w:left w:w="108" w:type="dxa"/>
              <w:right w:w="108" w:type="dxa"/>
            </w:tcMar>
            <w:vAlign w:val="center"/>
          </w:tcPr>
          <w:p w14:paraId="73DED9DF">
            <w:pPr>
              <w:pStyle w:val="7"/>
              <w:keepNext w:val="0"/>
              <w:keepLines w:val="0"/>
              <w:pageBreakBefore w:val="0"/>
              <w:widowControl/>
              <w:kinsoku w:val="0"/>
              <w:wordWrap/>
              <w:overflowPunct/>
              <w:topLinePunct w:val="0"/>
              <w:autoSpaceDE w:val="0"/>
              <w:autoSpaceDN w:val="0"/>
              <w:bidi w:val="0"/>
              <w:adjustRightInd w:val="0"/>
              <w:snapToGrid w:val="0"/>
              <w:spacing w:line="260" w:lineRule="exact"/>
              <w:ind w:left="272"/>
              <w:jc w:val="center"/>
              <w:textAlignment w:val="baseline"/>
              <w:rPr>
                <w:rFonts w:hint="eastAsia" w:ascii="仿宋_GB2312" w:hAnsi="仿宋_GB2312" w:eastAsia="仿宋_GB2312" w:cs="仿宋_GB2312"/>
                <w:b w:val="0"/>
                <w:bCs w:val="0"/>
                <w:snapToGrid w:val="0"/>
                <w:color w:val="000000"/>
                <w:kern w:val="0"/>
                <w:sz w:val="21"/>
                <w:szCs w:val="21"/>
              </w:rPr>
            </w:pPr>
          </w:p>
        </w:tc>
      </w:tr>
      <w:tr w14:paraId="4241A5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75" w:hRule="atLeast"/>
        </w:trPr>
        <w:tc>
          <w:tcPr>
            <w:tcW w:w="745" w:type="dxa"/>
            <w:shd w:val="clear" w:color="auto" w:fill="FFFFFF"/>
            <w:tcMar>
              <w:left w:w="108" w:type="dxa"/>
              <w:right w:w="108" w:type="dxa"/>
            </w:tcMar>
            <w:vAlign w:val="center"/>
          </w:tcPr>
          <w:p w14:paraId="656EF3E9">
            <w:pPr>
              <w:pStyle w:val="7"/>
              <w:keepNext w:val="0"/>
              <w:keepLines w:val="0"/>
              <w:pageBreakBefore w:val="0"/>
              <w:widowControl/>
              <w:kinsoku w:val="0"/>
              <w:wordWrap/>
              <w:overflowPunct/>
              <w:topLinePunct w:val="0"/>
              <w:autoSpaceDE w:val="0"/>
              <w:autoSpaceDN w:val="0"/>
              <w:bidi w:val="0"/>
              <w:adjustRightInd w:val="0"/>
              <w:snapToGrid w:val="0"/>
              <w:spacing w:line="260" w:lineRule="exact"/>
              <w:ind w:left="272"/>
              <w:jc w:val="center"/>
              <w:textAlignment w:val="baseline"/>
              <w:rPr>
                <w:rFonts w:hint="default" w:ascii="仿宋_GB2312" w:hAnsi="仿宋_GB2312" w:eastAsia="仿宋_GB2312" w:cs="仿宋_GB2312"/>
                <w:b w:val="0"/>
                <w:bCs w:val="0"/>
                <w:snapToGrid w:val="0"/>
                <w:color w:val="000000"/>
                <w:kern w:val="0"/>
                <w:sz w:val="21"/>
                <w:szCs w:val="21"/>
                <w:lang w:val="en-US"/>
              </w:rPr>
            </w:pPr>
            <w:r>
              <w:rPr>
                <w:rFonts w:hint="eastAsia" w:ascii="仿宋_GB2312" w:hAnsi="仿宋_GB2312" w:eastAsia="仿宋_GB2312" w:cs="仿宋_GB2312"/>
                <w:b w:val="0"/>
                <w:bCs w:val="0"/>
                <w:snapToGrid w:val="0"/>
                <w:color w:val="000000"/>
                <w:kern w:val="0"/>
                <w:sz w:val="21"/>
                <w:szCs w:val="21"/>
                <w:lang w:val="en-US" w:eastAsia="zh-CN"/>
              </w:rPr>
              <w:t>17</w:t>
            </w:r>
          </w:p>
        </w:tc>
        <w:tc>
          <w:tcPr>
            <w:tcW w:w="1334" w:type="dxa"/>
            <w:shd w:val="clear" w:color="auto" w:fill="FFFFFF"/>
            <w:tcMar>
              <w:left w:w="108" w:type="dxa"/>
              <w:right w:w="108" w:type="dxa"/>
            </w:tcMar>
            <w:vAlign w:val="center"/>
          </w:tcPr>
          <w:p w14:paraId="249373E8">
            <w:pPr>
              <w:pStyle w:val="7"/>
              <w:keepNext w:val="0"/>
              <w:keepLines w:val="0"/>
              <w:pageBreakBefore w:val="0"/>
              <w:widowControl/>
              <w:kinsoku w:val="0"/>
              <w:wordWrap/>
              <w:overflowPunct/>
              <w:topLinePunct w:val="0"/>
              <w:autoSpaceDE w:val="0"/>
              <w:autoSpaceDN w:val="0"/>
              <w:bidi w:val="0"/>
              <w:adjustRightInd w:val="0"/>
              <w:snapToGrid w:val="0"/>
              <w:spacing w:line="260" w:lineRule="exact"/>
              <w:ind w:left="272"/>
              <w:jc w:val="center"/>
              <w:textAlignment w:val="baseline"/>
              <w:rPr>
                <w:rFonts w:hint="eastAsia" w:ascii="仿宋_GB2312" w:hAnsi="仿宋_GB2312" w:eastAsia="仿宋_GB2312" w:cs="仿宋_GB2312"/>
                <w:b w:val="0"/>
                <w:bCs w:val="0"/>
                <w:snapToGrid w:val="0"/>
                <w:color w:val="000000"/>
                <w:kern w:val="0"/>
                <w:sz w:val="21"/>
                <w:szCs w:val="21"/>
              </w:rPr>
            </w:pPr>
            <w:r>
              <w:rPr>
                <w:rFonts w:hint="eastAsia" w:ascii="仿宋_GB2312" w:hAnsi="仿宋_GB2312" w:eastAsia="仿宋_GB2312" w:cs="仿宋_GB2312"/>
                <w:b w:val="0"/>
                <w:bCs w:val="0"/>
                <w:snapToGrid w:val="0"/>
                <w:color w:val="000000"/>
                <w:kern w:val="0"/>
                <w:sz w:val="21"/>
                <w:szCs w:val="21"/>
                <w:lang w:val="en-US" w:eastAsia="zh-CN"/>
              </w:rPr>
              <w:t>对生产单位超过单位产品能耗限额标准用能的行政处罚</w:t>
            </w:r>
          </w:p>
        </w:tc>
        <w:tc>
          <w:tcPr>
            <w:tcW w:w="1085" w:type="dxa"/>
            <w:shd w:val="clear" w:color="auto" w:fill="FFFFFF"/>
            <w:noWrap/>
            <w:tcMar>
              <w:left w:w="108" w:type="dxa"/>
              <w:right w:w="108" w:type="dxa"/>
            </w:tcMar>
            <w:vAlign w:val="center"/>
          </w:tcPr>
          <w:p w14:paraId="16D2E76E">
            <w:pPr>
              <w:pStyle w:val="7"/>
              <w:keepNext w:val="0"/>
              <w:keepLines w:val="0"/>
              <w:pageBreakBefore w:val="0"/>
              <w:widowControl/>
              <w:kinsoku w:val="0"/>
              <w:wordWrap/>
              <w:overflowPunct/>
              <w:topLinePunct w:val="0"/>
              <w:autoSpaceDE w:val="0"/>
              <w:autoSpaceDN w:val="0"/>
              <w:bidi w:val="0"/>
              <w:adjustRightInd w:val="0"/>
              <w:snapToGrid w:val="0"/>
              <w:spacing w:line="260" w:lineRule="exact"/>
              <w:ind w:left="272"/>
              <w:jc w:val="center"/>
              <w:textAlignment w:val="baseline"/>
              <w:rPr>
                <w:rFonts w:hint="eastAsia" w:ascii="仿宋_GB2312" w:hAnsi="仿宋_GB2312" w:eastAsia="仿宋_GB2312" w:cs="仿宋_GB2312"/>
                <w:b w:val="0"/>
                <w:bCs w:val="0"/>
                <w:snapToGrid w:val="0"/>
                <w:color w:val="000000"/>
                <w:kern w:val="0"/>
                <w:sz w:val="21"/>
                <w:szCs w:val="21"/>
              </w:rPr>
            </w:pPr>
            <w:r>
              <w:rPr>
                <w:rFonts w:hint="eastAsia" w:ascii="仿宋_GB2312" w:hAnsi="仿宋_GB2312" w:eastAsia="仿宋_GB2312" w:cs="仿宋_GB2312"/>
                <w:b w:val="0"/>
                <w:bCs w:val="0"/>
                <w:snapToGrid w:val="0"/>
                <w:color w:val="000000"/>
                <w:kern w:val="0"/>
                <w:sz w:val="21"/>
                <w:szCs w:val="21"/>
                <w:lang w:val="en-US" w:eastAsia="zh-CN"/>
              </w:rPr>
              <w:t>行政处罚</w:t>
            </w:r>
          </w:p>
        </w:tc>
        <w:tc>
          <w:tcPr>
            <w:tcW w:w="1179" w:type="dxa"/>
            <w:shd w:val="clear" w:color="auto" w:fill="FFFFFF"/>
            <w:tcMar>
              <w:left w:w="108" w:type="dxa"/>
              <w:right w:w="108" w:type="dxa"/>
            </w:tcMar>
            <w:vAlign w:val="center"/>
          </w:tcPr>
          <w:p w14:paraId="0BED1B99">
            <w:pPr>
              <w:pStyle w:val="7"/>
              <w:keepNext w:val="0"/>
              <w:keepLines w:val="0"/>
              <w:pageBreakBefore w:val="0"/>
              <w:widowControl/>
              <w:kinsoku w:val="0"/>
              <w:wordWrap/>
              <w:overflowPunct/>
              <w:topLinePunct w:val="0"/>
              <w:autoSpaceDE w:val="0"/>
              <w:autoSpaceDN w:val="0"/>
              <w:bidi w:val="0"/>
              <w:adjustRightInd w:val="0"/>
              <w:snapToGrid w:val="0"/>
              <w:spacing w:line="260" w:lineRule="exact"/>
              <w:ind w:left="272" w:leftChars="0"/>
              <w:jc w:val="center"/>
              <w:textAlignment w:val="baseline"/>
              <w:rPr>
                <w:rFonts w:hint="eastAsia" w:ascii="仿宋_GB2312" w:hAnsi="仿宋_GB2312" w:eastAsia="仿宋_GB2312" w:cs="仿宋_GB2312"/>
                <w:b w:val="0"/>
                <w:bCs w:val="0"/>
                <w:snapToGrid w:val="0"/>
                <w:color w:val="000000"/>
                <w:kern w:val="0"/>
                <w:sz w:val="21"/>
                <w:szCs w:val="21"/>
              </w:rPr>
            </w:pPr>
            <w:r>
              <w:rPr>
                <w:rFonts w:hint="eastAsia" w:ascii="仿宋_GB2312" w:hAnsi="仿宋_GB2312" w:eastAsia="仿宋_GB2312" w:cs="仿宋_GB2312"/>
                <w:b w:val="0"/>
                <w:bCs w:val="0"/>
                <w:snapToGrid w:val="0"/>
                <w:color w:val="000000"/>
                <w:kern w:val="0"/>
                <w:sz w:val="21"/>
                <w:szCs w:val="21"/>
                <w:lang w:val="en-US" w:eastAsia="zh-CN"/>
              </w:rPr>
              <w:t>零陵区发改局</w:t>
            </w:r>
          </w:p>
        </w:tc>
        <w:tc>
          <w:tcPr>
            <w:tcW w:w="1444" w:type="dxa"/>
            <w:shd w:val="clear" w:color="auto" w:fill="FFFFFF"/>
            <w:tcMar>
              <w:left w:w="108" w:type="dxa"/>
              <w:right w:w="108" w:type="dxa"/>
            </w:tcMar>
            <w:vAlign w:val="center"/>
          </w:tcPr>
          <w:p w14:paraId="6B73A676">
            <w:pPr>
              <w:pStyle w:val="7"/>
              <w:keepNext w:val="0"/>
              <w:keepLines w:val="0"/>
              <w:pageBreakBefore w:val="0"/>
              <w:widowControl/>
              <w:kinsoku w:val="0"/>
              <w:wordWrap/>
              <w:overflowPunct/>
              <w:topLinePunct w:val="0"/>
              <w:autoSpaceDE w:val="0"/>
              <w:autoSpaceDN w:val="0"/>
              <w:bidi w:val="0"/>
              <w:adjustRightInd w:val="0"/>
              <w:snapToGrid w:val="0"/>
              <w:spacing w:line="260" w:lineRule="exact"/>
              <w:ind w:left="272" w:leftChars="0"/>
              <w:jc w:val="center"/>
              <w:textAlignment w:val="baseline"/>
              <w:rPr>
                <w:rFonts w:hint="eastAsia" w:ascii="仿宋_GB2312" w:hAnsi="仿宋_GB2312" w:eastAsia="仿宋_GB2312" w:cs="仿宋_GB2312"/>
                <w:b w:val="0"/>
                <w:bCs w:val="0"/>
                <w:snapToGrid w:val="0"/>
                <w:color w:val="000000"/>
                <w:kern w:val="0"/>
                <w:sz w:val="21"/>
                <w:szCs w:val="21"/>
              </w:rPr>
            </w:pPr>
            <w:r>
              <w:rPr>
                <w:rFonts w:hint="eastAsia" w:ascii="仿宋_GB2312" w:hAnsi="仿宋_GB2312" w:eastAsia="仿宋_GB2312" w:cs="仿宋_GB2312"/>
                <w:b w:val="0"/>
                <w:bCs w:val="0"/>
                <w:snapToGrid w:val="0"/>
                <w:color w:val="000000"/>
                <w:kern w:val="0"/>
                <w:sz w:val="21"/>
                <w:szCs w:val="21"/>
                <w:lang w:val="en-US" w:eastAsia="zh-CN"/>
              </w:rPr>
              <w:t>环资股</w:t>
            </w:r>
          </w:p>
        </w:tc>
        <w:tc>
          <w:tcPr>
            <w:tcW w:w="8616" w:type="dxa"/>
            <w:shd w:val="clear" w:color="auto" w:fill="FFFFFF"/>
            <w:tcMar>
              <w:left w:w="108" w:type="dxa"/>
              <w:right w:w="108" w:type="dxa"/>
            </w:tcMar>
            <w:vAlign w:val="center"/>
          </w:tcPr>
          <w:p w14:paraId="19E335CC">
            <w:pPr>
              <w:pStyle w:val="7"/>
              <w:keepNext w:val="0"/>
              <w:keepLines w:val="0"/>
              <w:pageBreakBefore w:val="0"/>
              <w:widowControl/>
              <w:kinsoku w:val="0"/>
              <w:wordWrap/>
              <w:overflowPunct/>
              <w:topLinePunct w:val="0"/>
              <w:autoSpaceDE w:val="0"/>
              <w:autoSpaceDN w:val="0"/>
              <w:bidi w:val="0"/>
              <w:adjustRightInd w:val="0"/>
              <w:snapToGrid w:val="0"/>
              <w:spacing w:line="260" w:lineRule="exact"/>
              <w:ind w:left="272"/>
              <w:jc w:val="left"/>
              <w:textAlignment w:val="baseline"/>
              <w:rPr>
                <w:rFonts w:hint="eastAsia" w:ascii="仿宋_GB2312" w:hAnsi="仿宋_GB2312" w:eastAsia="仿宋_GB2312" w:cs="仿宋_GB2312"/>
                <w:b w:val="0"/>
                <w:bCs w:val="0"/>
                <w:snapToGrid w:val="0"/>
                <w:color w:val="000000"/>
                <w:kern w:val="0"/>
                <w:sz w:val="21"/>
                <w:szCs w:val="21"/>
              </w:rPr>
            </w:pPr>
            <w:r>
              <w:rPr>
                <w:rFonts w:hint="eastAsia" w:ascii="仿宋_GB2312" w:hAnsi="仿宋_GB2312" w:eastAsia="仿宋_GB2312" w:cs="仿宋_GB2312"/>
                <w:b w:val="0"/>
                <w:bCs w:val="0"/>
                <w:snapToGrid w:val="0"/>
                <w:color w:val="000000"/>
                <w:kern w:val="0"/>
                <w:sz w:val="21"/>
                <w:szCs w:val="21"/>
                <w:lang w:val="en-US" w:eastAsia="zh-CN"/>
              </w:rPr>
              <w:t>1. 《中华人民共和国节约能源法》第七十二条  生产单位超过单位产品能耗限额标准用能，情节严重，经限期治理逾期不治理或者没有达到治理要求的，可以由管理节能工作的部门提出意见，报请本级人民政府按照国务院规定的权限责令停业整顿或者关闭。</w:t>
            </w:r>
          </w:p>
          <w:p w14:paraId="778E1D95">
            <w:pPr>
              <w:pStyle w:val="7"/>
              <w:keepNext w:val="0"/>
              <w:keepLines w:val="0"/>
              <w:pageBreakBefore w:val="0"/>
              <w:widowControl/>
              <w:kinsoku w:val="0"/>
              <w:wordWrap/>
              <w:overflowPunct/>
              <w:topLinePunct w:val="0"/>
              <w:autoSpaceDE w:val="0"/>
              <w:autoSpaceDN w:val="0"/>
              <w:bidi w:val="0"/>
              <w:adjustRightInd w:val="0"/>
              <w:snapToGrid w:val="0"/>
              <w:spacing w:line="260" w:lineRule="exact"/>
              <w:ind w:left="272"/>
              <w:jc w:val="left"/>
              <w:textAlignment w:val="baseline"/>
              <w:rPr>
                <w:rFonts w:hint="eastAsia" w:ascii="仿宋_GB2312" w:hAnsi="仿宋_GB2312" w:eastAsia="仿宋_GB2312" w:cs="仿宋_GB2312"/>
                <w:b w:val="0"/>
                <w:bCs w:val="0"/>
                <w:snapToGrid w:val="0"/>
                <w:color w:val="000000"/>
                <w:kern w:val="0"/>
                <w:sz w:val="21"/>
                <w:szCs w:val="21"/>
              </w:rPr>
            </w:pPr>
            <w:r>
              <w:rPr>
                <w:rFonts w:hint="eastAsia" w:ascii="仿宋_GB2312" w:hAnsi="仿宋_GB2312" w:eastAsia="仿宋_GB2312" w:cs="仿宋_GB2312"/>
                <w:b w:val="0"/>
                <w:bCs w:val="0"/>
                <w:snapToGrid w:val="0"/>
                <w:color w:val="000000"/>
                <w:kern w:val="0"/>
                <w:sz w:val="21"/>
                <w:szCs w:val="21"/>
                <w:lang w:val="en-US" w:eastAsia="zh-CN"/>
              </w:rPr>
              <w:t>2.《湖南省节能监察办法》第二十八条　负责节能工作的部门在节能监察中发现被监察单位违反《中华人民共和国节约能源法》等有关节能法律、法规、规章，应当给予行政处罚的，依法予以处罚，或者移送其他有关行政主管部门依法予以处罚。</w:t>
            </w:r>
          </w:p>
        </w:tc>
        <w:tc>
          <w:tcPr>
            <w:tcW w:w="817" w:type="dxa"/>
            <w:shd w:val="clear" w:color="auto" w:fill="FFFFFF"/>
            <w:noWrap/>
            <w:tcMar>
              <w:left w:w="108" w:type="dxa"/>
              <w:right w:w="108" w:type="dxa"/>
            </w:tcMar>
            <w:vAlign w:val="center"/>
          </w:tcPr>
          <w:p w14:paraId="4E48A575">
            <w:pPr>
              <w:pStyle w:val="7"/>
              <w:keepNext w:val="0"/>
              <w:keepLines w:val="0"/>
              <w:pageBreakBefore w:val="0"/>
              <w:widowControl/>
              <w:kinsoku w:val="0"/>
              <w:wordWrap/>
              <w:overflowPunct/>
              <w:topLinePunct w:val="0"/>
              <w:autoSpaceDE w:val="0"/>
              <w:autoSpaceDN w:val="0"/>
              <w:bidi w:val="0"/>
              <w:adjustRightInd w:val="0"/>
              <w:snapToGrid w:val="0"/>
              <w:spacing w:line="260" w:lineRule="exact"/>
              <w:ind w:left="272"/>
              <w:jc w:val="center"/>
              <w:textAlignment w:val="baseline"/>
              <w:rPr>
                <w:rFonts w:hint="eastAsia" w:ascii="仿宋_GB2312" w:hAnsi="仿宋_GB2312" w:eastAsia="仿宋_GB2312" w:cs="仿宋_GB2312"/>
                <w:b w:val="0"/>
                <w:bCs w:val="0"/>
                <w:snapToGrid w:val="0"/>
                <w:color w:val="000000"/>
                <w:kern w:val="0"/>
                <w:sz w:val="21"/>
                <w:szCs w:val="21"/>
              </w:rPr>
            </w:pPr>
          </w:p>
        </w:tc>
      </w:tr>
      <w:tr w14:paraId="0967FC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616" w:hRule="atLeast"/>
        </w:trPr>
        <w:tc>
          <w:tcPr>
            <w:tcW w:w="745" w:type="dxa"/>
            <w:shd w:val="clear" w:color="auto" w:fill="FFFFFF"/>
            <w:tcMar>
              <w:left w:w="108" w:type="dxa"/>
              <w:right w:w="108" w:type="dxa"/>
            </w:tcMar>
            <w:vAlign w:val="center"/>
          </w:tcPr>
          <w:p w14:paraId="5FE1046A">
            <w:pPr>
              <w:pStyle w:val="7"/>
              <w:keepNext w:val="0"/>
              <w:keepLines w:val="0"/>
              <w:pageBreakBefore w:val="0"/>
              <w:widowControl/>
              <w:kinsoku w:val="0"/>
              <w:wordWrap/>
              <w:overflowPunct/>
              <w:topLinePunct w:val="0"/>
              <w:autoSpaceDE w:val="0"/>
              <w:autoSpaceDN w:val="0"/>
              <w:bidi w:val="0"/>
              <w:adjustRightInd w:val="0"/>
              <w:snapToGrid w:val="0"/>
              <w:spacing w:line="260" w:lineRule="exact"/>
              <w:ind w:left="272"/>
              <w:jc w:val="center"/>
              <w:textAlignment w:val="baseline"/>
              <w:rPr>
                <w:rFonts w:hint="default" w:ascii="仿宋_GB2312" w:hAnsi="仿宋_GB2312" w:eastAsia="仿宋_GB2312" w:cs="仿宋_GB2312"/>
                <w:b w:val="0"/>
                <w:bCs w:val="0"/>
                <w:snapToGrid w:val="0"/>
                <w:color w:val="000000"/>
                <w:kern w:val="0"/>
                <w:sz w:val="21"/>
                <w:szCs w:val="21"/>
                <w:lang w:val="en-US"/>
              </w:rPr>
            </w:pPr>
            <w:r>
              <w:rPr>
                <w:rFonts w:hint="eastAsia" w:ascii="仿宋_GB2312" w:hAnsi="仿宋_GB2312" w:eastAsia="仿宋_GB2312" w:cs="仿宋_GB2312"/>
                <w:b w:val="0"/>
                <w:bCs w:val="0"/>
                <w:snapToGrid w:val="0"/>
                <w:color w:val="000000"/>
                <w:kern w:val="0"/>
                <w:sz w:val="21"/>
                <w:szCs w:val="21"/>
                <w:lang w:val="en-US" w:eastAsia="zh-CN"/>
              </w:rPr>
              <w:t>18</w:t>
            </w:r>
          </w:p>
        </w:tc>
        <w:tc>
          <w:tcPr>
            <w:tcW w:w="1334" w:type="dxa"/>
            <w:shd w:val="clear" w:color="auto" w:fill="FFFFFF"/>
            <w:tcMar>
              <w:left w:w="108" w:type="dxa"/>
              <w:right w:w="108" w:type="dxa"/>
            </w:tcMar>
            <w:vAlign w:val="center"/>
          </w:tcPr>
          <w:p w14:paraId="2ED0D4BF">
            <w:pPr>
              <w:pStyle w:val="7"/>
              <w:keepNext w:val="0"/>
              <w:keepLines w:val="0"/>
              <w:pageBreakBefore w:val="0"/>
              <w:widowControl/>
              <w:kinsoku w:val="0"/>
              <w:wordWrap/>
              <w:overflowPunct/>
              <w:topLinePunct w:val="0"/>
              <w:autoSpaceDE w:val="0"/>
              <w:autoSpaceDN w:val="0"/>
              <w:bidi w:val="0"/>
              <w:adjustRightInd w:val="0"/>
              <w:snapToGrid w:val="0"/>
              <w:spacing w:line="260" w:lineRule="exact"/>
              <w:ind w:left="272"/>
              <w:jc w:val="center"/>
              <w:textAlignment w:val="baseline"/>
              <w:rPr>
                <w:rFonts w:hint="eastAsia" w:ascii="仿宋_GB2312" w:hAnsi="仿宋_GB2312" w:eastAsia="仿宋_GB2312" w:cs="仿宋_GB2312"/>
                <w:b w:val="0"/>
                <w:bCs w:val="0"/>
                <w:snapToGrid w:val="0"/>
                <w:color w:val="000000"/>
                <w:kern w:val="0"/>
                <w:sz w:val="21"/>
                <w:szCs w:val="21"/>
              </w:rPr>
            </w:pPr>
            <w:r>
              <w:rPr>
                <w:rFonts w:hint="eastAsia" w:ascii="仿宋_GB2312" w:hAnsi="仿宋_GB2312" w:eastAsia="仿宋_GB2312" w:cs="仿宋_GB2312"/>
                <w:b w:val="0"/>
                <w:bCs w:val="0"/>
                <w:snapToGrid w:val="0"/>
                <w:color w:val="000000"/>
                <w:kern w:val="0"/>
                <w:sz w:val="21"/>
                <w:szCs w:val="21"/>
                <w:lang w:val="en-US" w:eastAsia="zh-CN"/>
              </w:rPr>
              <w:t>对从事节能咨询、设计、评估、检测、审计、认证等服务的机构提供虚假信息的行政处罚</w:t>
            </w:r>
          </w:p>
        </w:tc>
        <w:tc>
          <w:tcPr>
            <w:tcW w:w="1085" w:type="dxa"/>
            <w:shd w:val="clear" w:color="auto" w:fill="FFFFFF"/>
            <w:noWrap/>
            <w:tcMar>
              <w:left w:w="108" w:type="dxa"/>
              <w:right w:w="108" w:type="dxa"/>
            </w:tcMar>
            <w:vAlign w:val="center"/>
          </w:tcPr>
          <w:p w14:paraId="61DD18E9">
            <w:pPr>
              <w:pStyle w:val="7"/>
              <w:keepNext w:val="0"/>
              <w:keepLines w:val="0"/>
              <w:pageBreakBefore w:val="0"/>
              <w:widowControl/>
              <w:kinsoku w:val="0"/>
              <w:wordWrap/>
              <w:overflowPunct/>
              <w:topLinePunct w:val="0"/>
              <w:autoSpaceDE w:val="0"/>
              <w:autoSpaceDN w:val="0"/>
              <w:bidi w:val="0"/>
              <w:adjustRightInd w:val="0"/>
              <w:snapToGrid w:val="0"/>
              <w:spacing w:line="260" w:lineRule="exact"/>
              <w:ind w:left="272"/>
              <w:jc w:val="center"/>
              <w:textAlignment w:val="baseline"/>
              <w:rPr>
                <w:rFonts w:hint="eastAsia" w:ascii="仿宋_GB2312" w:hAnsi="仿宋_GB2312" w:eastAsia="仿宋_GB2312" w:cs="仿宋_GB2312"/>
                <w:b w:val="0"/>
                <w:bCs w:val="0"/>
                <w:snapToGrid w:val="0"/>
                <w:color w:val="000000"/>
                <w:kern w:val="0"/>
                <w:sz w:val="21"/>
                <w:szCs w:val="21"/>
              </w:rPr>
            </w:pPr>
            <w:r>
              <w:rPr>
                <w:rFonts w:hint="eastAsia" w:ascii="仿宋_GB2312" w:hAnsi="仿宋_GB2312" w:eastAsia="仿宋_GB2312" w:cs="仿宋_GB2312"/>
                <w:b w:val="0"/>
                <w:bCs w:val="0"/>
                <w:snapToGrid w:val="0"/>
                <w:color w:val="000000"/>
                <w:kern w:val="0"/>
                <w:sz w:val="21"/>
                <w:szCs w:val="21"/>
                <w:lang w:val="en-US" w:eastAsia="zh-CN"/>
              </w:rPr>
              <w:t>行政处罚</w:t>
            </w:r>
          </w:p>
        </w:tc>
        <w:tc>
          <w:tcPr>
            <w:tcW w:w="1179" w:type="dxa"/>
            <w:shd w:val="clear" w:color="auto" w:fill="FFFFFF"/>
            <w:tcMar>
              <w:left w:w="108" w:type="dxa"/>
              <w:right w:w="108" w:type="dxa"/>
            </w:tcMar>
            <w:vAlign w:val="center"/>
          </w:tcPr>
          <w:p w14:paraId="588DD18B">
            <w:pPr>
              <w:pStyle w:val="7"/>
              <w:keepNext w:val="0"/>
              <w:keepLines w:val="0"/>
              <w:pageBreakBefore w:val="0"/>
              <w:widowControl/>
              <w:kinsoku w:val="0"/>
              <w:wordWrap/>
              <w:overflowPunct/>
              <w:topLinePunct w:val="0"/>
              <w:autoSpaceDE w:val="0"/>
              <w:autoSpaceDN w:val="0"/>
              <w:bidi w:val="0"/>
              <w:adjustRightInd w:val="0"/>
              <w:snapToGrid w:val="0"/>
              <w:spacing w:line="260" w:lineRule="exact"/>
              <w:ind w:left="272" w:leftChars="0"/>
              <w:jc w:val="center"/>
              <w:textAlignment w:val="baseline"/>
              <w:rPr>
                <w:rFonts w:hint="eastAsia" w:ascii="仿宋_GB2312" w:hAnsi="仿宋_GB2312" w:eastAsia="仿宋_GB2312" w:cs="仿宋_GB2312"/>
                <w:b w:val="0"/>
                <w:bCs w:val="0"/>
                <w:snapToGrid w:val="0"/>
                <w:color w:val="000000"/>
                <w:kern w:val="0"/>
                <w:sz w:val="21"/>
                <w:szCs w:val="21"/>
              </w:rPr>
            </w:pPr>
            <w:r>
              <w:rPr>
                <w:rFonts w:hint="eastAsia" w:ascii="仿宋_GB2312" w:hAnsi="仿宋_GB2312" w:eastAsia="仿宋_GB2312" w:cs="仿宋_GB2312"/>
                <w:b w:val="0"/>
                <w:bCs w:val="0"/>
                <w:snapToGrid w:val="0"/>
                <w:color w:val="000000"/>
                <w:kern w:val="0"/>
                <w:sz w:val="21"/>
                <w:szCs w:val="21"/>
                <w:lang w:val="en-US" w:eastAsia="zh-CN"/>
              </w:rPr>
              <w:t>零陵区发改局</w:t>
            </w:r>
          </w:p>
        </w:tc>
        <w:tc>
          <w:tcPr>
            <w:tcW w:w="1444" w:type="dxa"/>
            <w:shd w:val="clear" w:color="auto" w:fill="FFFFFF"/>
            <w:tcMar>
              <w:left w:w="108" w:type="dxa"/>
              <w:right w:w="108" w:type="dxa"/>
            </w:tcMar>
            <w:vAlign w:val="center"/>
          </w:tcPr>
          <w:p w14:paraId="0939096A">
            <w:pPr>
              <w:pStyle w:val="7"/>
              <w:keepNext w:val="0"/>
              <w:keepLines w:val="0"/>
              <w:pageBreakBefore w:val="0"/>
              <w:widowControl/>
              <w:kinsoku w:val="0"/>
              <w:wordWrap/>
              <w:overflowPunct/>
              <w:topLinePunct w:val="0"/>
              <w:autoSpaceDE w:val="0"/>
              <w:autoSpaceDN w:val="0"/>
              <w:bidi w:val="0"/>
              <w:adjustRightInd w:val="0"/>
              <w:snapToGrid w:val="0"/>
              <w:spacing w:line="260" w:lineRule="exact"/>
              <w:ind w:left="272" w:leftChars="0"/>
              <w:jc w:val="center"/>
              <w:textAlignment w:val="baseline"/>
              <w:rPr>
                <w:rFonts w:hint="eastAsia" w:ascii="仿宋_GB2312" w:hAnsi="仿宋_GB2312" w:eastAsia="仿宋_GB2312" w:cs="仿宋_GB2312"/>
                <w:b w:val="0"/>
                <w:bCs w:val="0"/>
                <w:snapToGrid w:val="0"/>
                <w:color w:val="000000"/>
                <w:kern w:val="0"/>
                <w:sz w:val="21"/>
                <w:szCs w:val="21"/>
              </w:rPr>
            </w:pPr>
            <w:r>
              <w:rPr>
                <w:rFonts w:hint="eastAsia" w:ascii="仿宋_GB2312" w:hAnsi="仿宋_GB2312" w:eastAsia="仿宋_GB2312" w:cs="仿宋_GB2312"/>
                <w:b w:val="0"/>
                <w:bCs w:val="0"/>
                <w:snapToGrid w:val="0"/>
                <w:color w:val="000000"/>
                <w:kern w:val="0"/>
                <w:sz w:val="21"/>
                <w:szCs w:val="21"/>
                <w:lang w:val="en-US" w:eastAsia="zh-CN"/>
              </w:rPr>
              <w:t>环资股</w:t>
            </w:r>
          </w:p>
        </w:tc>
        <w:tc>
          <w:tcPr>
            <w:tcW w:w="8616" w:type="dxa"/>
            <w:shd w:val="clear" w:color="auto" w:fill="FFFFFF"/>
            <w:tcMar>
              <w:left w:w="108" w:type="dxa"/>
              <w:right w:w="108" w:type="dxa"/>
            </w:tcMar>
            <w:vAlign w:val="center"/>
          </w:tcPr>
          <w:p w14:paraId="639C24B3">
            <w:pPr>
              <w:pStyle w:val="7"/>
              <w:keepNext w:val="0"/>
              <w:keepLines w:val="0"/>
              <w:pageBreakBefore w:val="0"/>
              <w:widowControl/>
              <w:kinsoku w:val="0"/>
              <w:wordWrap/>
              <w:overflowPunct/>
              <w:topLinePunct w:val="0"/>
              <w:autoSpaceDE w:val="0"/>
              <w:autoSpaceDN w:val="0"/>
              <w:bidi w:val="0"/>
              <w:adjustRightInd w:val="0"/>
              <w:snapToGrid w:val="0"/>
              <w:spacing w:line="260" w:lineRule="exact"/>
              <w:ind w:left="272"/>
              <w:jc w:val="left"/>
              <w:textAlignment w:val="baseline"/>
              <w:rPr>
                <w:rFonts w:hint="eastAsia" w:ascii="仿宋_GB2312" w:hAnsi="仿宋_GB2312" w:eastAsia="仿宋_GB2312" w:cs="仿宋_GB2312"/>
                <w:b w:val="0"/>
                <w:bCs w:val="0"/>
                <w:snapToGrid w:val="0"/>
                <w:color w:val="000000"/>
                <w:kern w:val="0"/>
                <w:sz w:val="21"/>
                <w:szCs w:val="21"/>
              </w:rPr>
            </w:pPr>
            <w:r>
              <w:rPr>
                <w:rFonts w:hint="eastAsia" w:ascii="仿宋_GB2312" w:hAnsi="仿宋_GB2312" w:eastAsia="仿宋_GB2312" w:cs="仿宋_GB2312"/>
                <w:b w:val="0"/>
                <w:bCs w:val="0"/>
                <w:snapToGrid w:val="0"/>
                <w:color w:val="000000"/>
                <w:kern w:val="0"/>
                <w:sz w:val="21"/>
                <w:szCs w:val="21"/>
                <w:lang w:val="en-US" w:eastAsia="zh-CN"/>
              </w:rPr>
              <w:t>《中华人民共和国节约能源法》第七十六条  从事节能咨询、设计、评估、检测、审计、认证等服务的机构提供虚假信息的，由管理节能工作的部门责令改正，没收违法所得，并处五万元以上十万元以下罚款。</w:t>
            </w:r>
          </w:p>
        </w:tc>
        <w:tc>
          <w:tcPr>
            <w:tcW w:w="817" w:type="dxa"/>
            <w:shd w:val="clear" w:color="auto" w:fill="FFFFFF"/>
            <w:noWrap/>
            <w:tcMar>
              <w:left w:w="108" w:type="dxa"/>
              <w:right w:w="108" w:type="dxa"/>
            </w:tcMar>
            <w:vAlign w:val="center"/>
          </w:tcPr>
          <w:p w14:paraId="6407DF9F">
            <w:pPr>
              <w:pStyle w:val="7"/>
              <w:keepNext w:val="0"/>
              <w:keepLines w:val="0"/>
              <w:pageBreakBefore w:val="0"/>
              <w:widowControl/>
              <w:kinsoku w:val="0"/>
              <w:wordWrap/>
              <w:overflowPunct/>
              <w:topLinePunct w:val="0"/>
              <w:autoSpaceDE w:val="0"/>
              <w:autoSpaceDN w:val="0"/>
              <w:bidi w:val="0"/>
              <w:adjustRightInd w:val="0"/>
              <w:snapToGrid w:val="0"/>
              <w:spacing w:line="260" w:lineRule="exact"/>
              <w:ind w:left="272"/>
              <w:jc w:val="center"/>
              <w:textAlignment w:val="baseline"/>
              <w:rPr>
                <w:rFonts w:hint="eastAsia" w:ascii="仿宋_GB2312" w:hAnsi="仿宋_GB2312" w:eastAsia="仿宋_GB2312" w:cs="仿宋_GB2312"/>
                <w:b w:val="0"/>
                <w:bCs w:val="0"/>
                <w:snapToGrid w:val="0"/>
                <w:color w:val="000000"/>
                <w:kern w:val="0"/>
                <w:sz w:val="21"/>
                <w:szCs w:val="21"/>
              </w:rPr>
            </w:pPr>
          </w:p>
        </w:tc>
      </w:tr>
      <w:tr w14:paraId="477AC8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972" w:hRule="atLeast"/>
        </w:trPr>
        <w:tc>
          <w:tcPr>
            <w:tcW w:w="745" w:type="dxa"/>
            <w:shd w:val="clear" w:color="auto" w:fill="FFFFFF"/>
            <w:tcMar>
              <w:left w:w="108" w:type="dxa"/>
              <w:right w:w="108" w:type="dxa"/>
            </w:tcMar>
            <w:vAlign w:val="center"/>
          </w:tcPr>
          <w:p w14:paraId="194648F3">
            <w:pPr>
              <w:pStyle w:val="7"/>
              <w:keepNext w:val="0"/>
              <w:keepLines w:val="0"/>
              <w:pageBreakBefore w:val="0"/>
              <w:widowControl/>
              <w:kinsoku w:val="0"/>
              <w:wordWrap/>
              <w:overflowPunct/>
              <w:topLinePunct w:val="0"/>
              <w:autoSpaceDE w:val="0"/>
              <w:autoSpaceDN w:val="0"/>
              <w:bidi w:val="0"/>
              <w:adjustRightInd w:val="0"/>
              <w:snapToGrid w:val="0"/>
              <w:spacing w:line="260" w:lineRule="exact"/>
              <w:ind w:left="272"/>
              <w:jc w:val="center"/>
              <w:textAlignment w:val="baseline"/>
              <w:rPr>
                <w:rFonts w:hint="default" w:ascii="仿宋_GB2312" w:hAnsi="仿宋_GB2312" w:eastAsia="仿宋_GB2312" w:cs="仿宋_GB2312"/>
                <w:b w:val="0"/>
                <w:bCs w:val="0"/>
                <w:snapToGrid w:val="0"/>
                <w:color w:val="000000"/>
                <w:kern w:val="0"/>
                <w:sz w:val="21"/>
                <w:szCs w:val="21"/>
                <w:lang w:val="en-US"/>
              </w:rPr>
            </w:pPr>
            <w:r>
              <w:rPr>
                <w:rFonts w:hint="eastAsia" w:ascii="仿宋_GB2312" w:hAnsi="仿宋_GB2312" w:eastAsia="仿宋_GB2312" w:cs="仿宋_GB2312"/>
                <w:b w:val="0"/>
                <w:bCs w:val="0"/>
                <w:snapToGrid w:val="0"/>
                <w:color w:val="000000"/>
                <w:kern w:val="0"/>
                <w:sz w:val="21"/>
                <w:szCs w:val="21"/>
                <w:lang w:val="en-US" w:eastAsia="zh-CN"/>
              </w:rPr>
              <w:t>19</w:t>
            </w:r>
          </w:p>
        </w:tc>
        <w:tc>
          <w:tcPr>
            <w:tcW w:w="1334" w:type="dxa"/>
            <w:shd w:val="clear" w:color="auto" w:fill="FFFFFF"/>
            <w:tcMar>
              <w:left w:w="108" w:type="dxa"/>
              <w:right w:w="108" w:type="dxa"/>
            </w:tcMar>
            <w:vAlign w:val="center"/>
          </w:tcPr>
          <w:p w14:paraId="19DCDD04">
            <w:pPr>
              <w:pStyle w:val="7"/>
              <w:keepNext w:val="0"/>
              <w:keepLines w:val="0"/>
              <w:pageBreakBefore w:val="0"/>
              <w:widowControl/>
              <w:kinsoku w:val="0"/>
              <w:wordWrap/>
              <w:overflowPunct/>
              <w:topLinePunct w:val="0"/>
              <w:autoSpaceDE w:val="0"/>
              <w:autoSpaceDN w:val="0"/>
              <w:bidi w:val="0"/>
              <w:adjustRightInd w:val="0"/>
              <w:snapToGrid w:val="0"/>
              <w:spacing w:line="260" w:lineRule="exact"/>
              <w:ind w:left="272"/>
              <w:jc w:val="center"/>
              <w:textAlignment w:val="baseline"/>
              <w:rPr>
                <w:rFonts w:hint="eastAsia" w:ascii="仿宋_GB2312" w:hAnsi="仿宋_GB2312" w:eastAsia="仿宋_GB2312" w:cs="仿宋_GB2312"/>
                <w:b w:val="0"/>
                <w:bCs w:val="0"/>
                <w:snapToGrid w:val="0"/>
                <w:color w:val="000000"/>
                <w:kern w:val="0"/>
                <w:sz w:val="21"/>
                <w:szCs w:val="21"/>
              </w:rPr>
            </w:pPr>
            <w:r>
              <w:rPr>
                <w:rFonts w:hint="eastAsia" w:ascii="仿宋_GB2312" w:hAnsi="仿宋_GB2312" w:eastAsia="仿宋_GB2312" w:cs="仿宋_GB2312"/>
                <w:b w:val="0"/>
                <w:bCs w:val="0"/>
                <w:snapToGrid w:val="0"/>
                <w:color w:val="000000"/>
                <w:kern w:val="0"/>
                <w:sz w:val="21"/>
                <w:szCs w:val="21"/>
                <w:lang w:val="en-US" w:eastAsia="zh-CN"/>
              </w:rPr>
              <w:t>对无偿向本单位职工提供能源或者对能源消费实行包费制的行政处罚</w:t>
            </w:r>
          </w:p>
        </w:tc>
        <w:tc>
          <w:tcPr>
            <w:tcW w:w="1085" w:type="dxa"/>
            <w:shd w:val="clear" w:color="auto" w:fill="FFFFFF"/>
            <w:tcMar>
              <w:left w:w="108" w:type="dxa"/>
              <w:right w:w="108" w:type="dxa"/>
            </w:tcMar>
            <w:vAlign w:val="center"/>
          </w:tcPr>
          <w:p w14:paraId="42556B7A">
            <w:pPr>
              <w:pStyle w:val="7"/>
              <w:keepNext w:val="0"/>
              <w:keepLines w:val="0"/>
              <w:pageBreakBefore w:val="0"/>
              <w:widowControl/>
              <w:kinsoku w:val="0"/>
              <w:wordWrap/>
              <w:overflowPunct/>
              <w:topLinePunct w:val="0"/>
              <w:autoSpaceDE w:val="0"/>
              <w:autoSpaceDN w:val="0"/>
              <w:bidi w:val="0"/>
              <w:adjustRightInd w:val="0"/>
              <w:snapToGrid w:val="0"/>
              <w:spacing w:line="260" w:lineRule="exact"/>
              <w:ind w:left="272"/>
              <w:jc w:val="center"/>
              <w:textAlignment w:val="baseline"/>
              <w:rPr>
                <w:rFonts w:hint="eastAsia" w:ascii="仿宋_GB2312" w:hAnsi="仿宋_GB2312" w:eastAsia="仿宋_GB2312" w:cs="仿宋_GB2312"/>
                <w:b w:val="0"/>
                <w:bCs w:val="0"/>
                <w:snapToGrid w:val="0"/>
                <w:color w:val="000000"/>
                <w:kern w:val="0"/>
                <w:sz w:val="21"/>
                <w:szCs w:val="21"/>
              </w:rPr>
            </w:pPr>
            <w:r>
              <w:rPr>
                <w:rFonts w:hint="eastAsia" w:ascii="仿宋_GB2312" w:hAnsi="仿宋_GB2312" w:eastAsia="仿宋_GB2312" w:cs="仿宋_GB2312"/>
                <w:b w:val="0"/>
                <w:bCs w:val="0"/>
                <w:snapToGrid w:val="0"/>
                <w:color w:val="000000"/>
                <w:kern w:val="0"/>
                <w:sz w:val="21"/>
                <w:szCs w:val="21"/>
                <w:lang w:val="en-US" w:eastAsia="zh-CN"/>
              </w:rPr>
              <w:t>行政处罚</w:t>
            </w:r>
          </w:p>
        </w:tc>
        <w:tc>
          <w:tcPr>
            <w:tcW w:w="1179" w:type="dxa"/>
            <w:shd w:val="clear" w:color="auto" w:fill="FFFFFF"/>
            <w:tcMar>
              <w:left w:w="108" w:type="dxa"/>
              <w:right w:w="108" w:type="dxa"/>
            </w:tcMar>
            <w:vAlign w:val="center"/>
          </w:tcPr>
          <w:p w14:paraId="36ECA47D">
            <w:pPr>
              <w:pStyle w:val="7"/>
              <w:keepNext w:val="0"/>
              <w:keepLines w:val="0"/>
              <w:pageBreakBefore w:val="0"/>
              <w:widowControl/>
              <w:kinsoku w:val="0"/>
              <w:wordWrap/>
              <w:overflowPunct/>
              <w:topLinePunct w:val="0"/>
              <w:autoSpaceDE w:val="0"/>
              <w:autoSpaceDN w:val="0"/>
              <w:bidi w:val="0"/>
              <w:adjustRightInd w:val="0"/>
              <w:snapToGrid w:val="0"/>
              <w:spacing w:line="260" w:lineRule="exact"/>
              <w:ind w:left="272" w:leftChars="0"/>
              <w:jc w:val="center"/>
              <w:textAlignment w:val="baseline"/>
              <w:rPr>
                <w:rFonts w:hint="eastAsia" w:ascii="仿宋_GB2312" w:hAnsi="仿宋_GB2312" w:eastAsia="仿宋_GB2312" w:cs="仿宋_GB2312"/>
                <w:b w:val="0"/>
                <w:bCs w:val="0"/>
                <w:snapToGrid w:val="0"/>
                <w:color w:val="000000"/>
                <w:kern w:val="0"/>
                <w:sz w:val="21"/>
                <w:szCs w:val="21"/>
              </w:rPr>
            </w:pPr>
            <w:r>
              <w:rPr>
                <w:rFonts w:hint="eastAsia" w:ascii="仿宋_GB2312" w:hAnsi="仿宋_GB2312" w:eastAsia="仿宋_GB2312" w:cs="仿宋_GB2312"/>
                <w:b w:val="0"/>
                <w:bCs w:val="0"/>
                <w:snapToGrid w:val="0"/>
                <w:color w:val="000000"/>
                <w:kern w:val="0"/>
                <w:sz w:val="21"/>
                <w:szCs w:val="21"/>
                <w:lang w:val="en-US" w:eastAsia="zh-CN"/>
              </w:rPr>
              <w:t>零陵区发改局</w:t>
            </w:r>
          </w:p>
        </w:tc>
        <w:tc>
          <w:tcPr>
            <w:tcW w:w="1444" w:type="dxa"/>
            <w:shd w:val="clear" w:color="auto" w:fill="FFFFFF"/>
            <w:tcMar>
              <w:left w:w="108" w:type="dxa"/>
              <w:right w:w="108" w:type="dxa"/>
            </w:tcMar>
            <w:vAlign w:val="center"/>
          </w:tcPr>
          <w:p w14:paraId="5FD13466">
            <w:pPr>
              <w:pStyle w:val="7"/>
              <w:keepNext w:val="0"/>
              <w:keepLines w:val="0"/>
              <w:pageBreakBefore w:val="0"/>
              <w:widowControl/>
              <w:kinsoku w:val="0"/>
              <w:wordWrap/>
              <w:overflowPunct/>
              <w:topLinePunct w:val="0"/>
              <w:autoSpaceDE w:val="0"/>
              <w:autoSpaceDN w:val="0"/>
              <w:bidi w:val="0"/>
              <w:adjustRightInd w:val="0"/>
              <w:snapToGrid w:val="0"/>
              <w:spacing w:line="260" w:lineRule="exact"/>
              <w:ind w:left="272" w:leftChars="0"/>
              <w:jc w:val="center"/>
              <w:textAlignment w:val="baseline"/>
              <w:rPr>
                <w:rFonts w:hint="eastAsia" w:ascii="仿宋_GB2312" w:hAnsi="仿宋_GB2312" w:eastAsia="仿宋_GB2312" w:cs="仿宋_GB2312"/>
                <w:b w:val="0"/>
                <w:bCs w:val="0"/>
                <w:snapToGrid w:val="0"/>
                <w:color w:val="000000"/>
                <w:kern w:val="0"/>
                <w:sz w:val="21"/>
                <w:szCs w:val="21"/>
              </w:rPr>
            </w:pPr>
            <w:r>
              <w:rPr>
                <w:rFonts w:hint="eastAsia" w:ascii="仿宋_GB2312" w:hAnsi="仿宋_GB2312" w:eastAsia="仿宋_GB2312" w:cs="仿宋_GB2312"/>
                <w:b w:val="0"/>
                <w:bCs w:val="0"/>
                <w:snapToGrid w:val="0"/>
                <w:color w:val="000000"/>
                <w:kern w:val="0"/>
                <w:sz w:val="21"/>
                <w:szCs w:val="21"/>
                <w:lang w:val="en-US" w:eastAsia="zh-CN"/>
              </w:rPr>
              <w:t>环资股</w:t>
            </w:r>
          </w:p>
        </w:tc>
        <w:tc>
          <w:tcPr>
            <w:tcW w:w="8616" w:type="dxa"/>
            <w:shd w:val="clear" w:color="auto" w:fill="FFFFFF"/>
            <w:tcMar>
              <w:left w:w="108" w:type="dxa"/>
              <w:right w:w="108" w:type="dxa"/>
            </w:tcMar>
            <w:vAlign w:val="center"/>
          </w:tcPr>
          <w:p w14:paraId="2AF78B55">
            <w:pPr>
              <w:pStyle w:val="7"/>
              <w:keepNext w:val="0"/>
              <w:keepLines w:val="0"/>
              <w:pageBreakBefore w:val="0"/>
              <w:widowControl/>
              <w:kinsoku w:val="0"/>
              <w:wordWrap/>
              <w:overflowPunct/>
              <w:topLinePunct w:val="0"/>
              <w:autoSpaceDE w:val="0"/>
              <w:autoSpaceDN w:val="0"/>
              <w:bidi w:val="0"/>
              <w:adjustRightInd w:val="0"/>
              <w:snapToGrid w:val="0"/>
              <w:spacing w:line="260" w:lineRule="exact"/>
              <w:ind w:left="272"/>
              <w:jc w:val="left"/>
              <w:textAlignment w:val="baseline"/>
              <w:rPr>
                <w:rFonts w:hint="eastAsia" w:ascii="仿宋_GB2312" w:hAnsi="仿宋_GB2312" w:eastAsia="仿宋_GB2312" w:cs="仿宋_GB2312"/>
                <w:b w:val="0"/>
                <w:bCs w:val="0"/>
                <w:snapToGrid w:val="0"/>
                <w:color w:val="000000"/>
                <w:kern w:val="0"/>
                <w:sz w:val="21"/>
                <w:szCs w:val="21"/>
              </w:rPr>
            </w:pPr>
            <w:r>
              <w:rPr>
                <w:rFonts w:hint="eastAsia" w:ascii="仿宋_GB2312" w:hAnsi="仿宋_GB2312" w:eastAsia="仿宋_GB2312" w:cs="仿宋_GB2312"/>
                <w:b w:val="0"/>
                <w:bCs w:val="0"/>
                <w:snapToGrid w:val="0"/>
                <w:color w:val="000000"/>
                <w:kern w:val="0"/>
                <w:sz w:val="21"/>
                <w:szCs w:val="21"/>
                <w:lang w:val="en-US" w:eastAsia="zh-CN"/>
              </w:rPr>
              <w:t>1.《中华人民共和国节约能源法》第七十七条  违反本法规定，无偿向本单位职工提供能源或者对能源消费实行包费制的，由管理节能工作的部门责令限期改正；逾期不改正的，处五万元以上二十万元以下罚款。</w:t>
            </w:r>
            <w:r>
              <w:rPr>
                <w:rFonts w:hint="eastAsia" w:ascii="仿宋_GB2312" w:hAnsi="仿宋_GB2312" w:eastAsia="仿宋_GB2312" w:cs="仿宋_GB2312"/>
                <w:b w:val="0"/>
                <w:bCs w:val="0"/>
                <w:snapToGrid w:val="0"/>
                <w:color w:val="000000"/>
                <w:kern w:val="0"/>
                <w:sz w:val="21"/>
                <w:szCs w:val="21"/>
                <w:lang w:val="en-US" w:eastAsia="zh-CN"/>
              </w:rPr>
              <w:br w:type="textWrapping"/>
            </w:r>
            <w:r>
              <w:rPr>
                <w:rFonts w:hint="eastAsia" w:ascii="仿宋_GB2312" w:hAnsi="仿宋_GB2312" w:eastAsia="仿宋_GB2312" w:cs="仿宋_GB2312"/>
                <w:b w:val="0"/>
                <w:bCs w:val="0"/>
                <w:snapToGrid w:val="0"/>
                <w:color w:val="000000"/>
                <w:kern w:val="0"/>
                <w:sz w:val="21"/>
                <w:szCs w:val="21"/>
                <w:lang w:val="en-US" w:eastAsia="zh-CN"/>
              </w:rPr>
              <w:t>2.《湖南省节能监察办法》第二十八条  负责节能工作的部门在节能监察中发现被监察单位违反《中华人民共和国节约能源法》等有关节能法律、法规、规章，应当给予行政处罚的，依法予以处罚，或者移送其他有关行政主管部门依法予以处罚。</w:t>
            </w:r>
          </w:p>
        </w:tc>
        <w:tc>
          <w:tcPr>
            <w:tcW w:w="817" w:type="dxa"/>
            <w:shd w:val="clear" w:color="auto" w:fill="FFFFFF"/>
            <w:noWrap/>
            <w:tcMar>
              <w:left w:w="108" w:type="dxa"/>
              <w:right w:w="108" w:type="dxa"/>
            </w:tcMar>
            <w:vAlign w:val="center"/>
          </w:tcPr>
          <w:p w14:paraId="038D32FE">
            <w:pPr>
              <w:pStyle w:val="7"/>
              <w:keepNext w:val="0"/>
              <w:keepLines w:val="0"/>
              <w:pageBreakBefore w:val="0"/>
              <w:widowControl/>
              <w:kinsoku w:val="0"/>
              <w:wordWrap/>
              <w:overflowPunct/>
              <w:topLinePunct w:val="0"/>
              <w:autoSpaceDE w:val="0"/>
              <w:autoSpaceDN w:val="0"/>
              <w:bidi w:val="0"/>
              <w:adjustRightInd w:val="0"/>
              <w:snapToGrid w:val="0"/>
              <w:spacing w:line="260" w:lineRule="exact"/>
              <w:ind w:left="272"/>
              <w:jc w:val="center"/>
              <w:textAlignment w:val="baseline"/>
              <w:rPr>
                <w:rFonts w:hint="eastAsia" w:ascii="仿宋_GB2312" w:hAnsi="仿宋_GB2312" w:eastAsia="仿宋_GB2312" w:cs="仿宋_GB2312"/>
                <w:b w:val="0"/>
                <w:bCs w:val="0"/>
                <w:snapToGrid w:val="0"/>
                <w:color w:val="000000"/>
                <w:kern w:val="0"/>
                <w:sz w:val="21"/>
                <w:szCs w:val="21"/>
              </w:rPr>
            </w:pPr>
          </w:p>
        </w:tc>
      </w:tr>
      <w:tr w14:paraId="218110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88" w:hRule="atLeast"/>
        </w:trPr>
        <w:tc>
          <w:tcPr>
            <w:tcW w:w="745" w:type="dxa"/>
            <w:shd w:val="clear" w:color="auto" w:fill="FFFFFF"/>
            <w:tcMar>
              <w:left w:w="108" w:type="dxa"/>
              <w:right w:w="108" w:type="dxa"/>
            </w:tcMar>
            <w:vAlign w:val="center"/>
          </w:tcPr>
          <w:p w14:paraId="599D749D">
            <w:pPr>
              <w:pStyle w:val="7"/>
              <w:keepNext w:val="0"/>
              <w:keepLines w:val="0"/>
              <w:pageBreakBefore w:val="0"/>
              <w:widowControl/>
              <w:kinsoku w:val="0"/>
              <w:wordWrap/>
              <w:overflowPunct/>
              <w:topLinePunct w:val="0"/>
              <w:autoSpaceDE w:val="0"/>
              <w:autoSpaceDN w:val="0"/>
              <w:bidi w:val="0"/>
              <w:adjustRightInd w:val="0"/>
              <w:snapToGrid w:val="0"/>
              <w:spacing w:line="260" w:lineRule="exact"/>
              <w:ind w:left="272"/>
              <w:jc w:val="center"/>
              <w:textAlignment w:val="baseline"/>
              <w:rPr>
                <w:rFonts w:hint="default" w:ascii="仿宋_GB2312" w:hAnsi="仿宋_GB2312" w:eastAsia="仿宋_GB2312" w:cs="仿宋_GB2312"/>
                <w:b w:val="0"/>
                <w:bCs w:val="0"/>
                <w:snapToGrid w:val="0"/>
                <w:color w:val="000000"/>
                <w:kern w:val="0"/>
                <w:sz w:val="21"/>
                <w:szCs w:val="21"/>
                <w:lang w:val="en-US"/>
              </w:rPr>
            </w:pPr>
            <w:r>
              <w:rPr>
                <w:rFonts w:hint="eastAsia" w:ascii="仿宋_GB2312" w:hAnsi="仿宋_GB2312" w:eastAsia="仿宋_GB2312" w:cs="仿宋_GB2312"/>
                <w:b w:val="0"/>
                <w:bCs w:val="0"/>
                <w:snapToGrid w:val="0"/>
                <w:color w:val="000000"/>
                <w:kern w:val="0"/>
                <w:sz w:val="21"/>
                <w:szCs w:val="21"/>
                <w:lang w:val="en-US" w:eastAsia="zh-CN"/>
              </w:rPr>
              <w:t>20</w:t>
            </w:r>
          </w:p>
        </w:tc>
        <w:tc>
          <w:tcPr>
            <w:tcW w:w="1334" w:type="dxa"/>
            <w:shd w:val="clear" w:color="auto" w:fill="FFFFFF"/>
            <w:tcMar>
              <w:left w:w="108" w:type="dxa"/>
              <w:right w:w="108" w:type="dxa"/>
            </w:tcMar>
            <w:vAlign w:val="center"/>
          </w:tcPr>
          <w:p w14:paraId="010FA6B2">
            <w:pPr>
              <w:pStyle w:val="7"/>
              <w:keepNext w:val="0"/>
              <w:keepLines w:val="0"/>
              <w:pageBreakBefore w:val="0"/>
              <w:widowControl/>
              <w:kinsoku w:val="0"/>
              <w:wordWrap/>
              <w:overflowPunct/>
              <w:topLinePunct w:val="0"/>
              <w:autoSpaceDE w:val="0"/>
              <w:autoSpaceDN w:val="0"/>
              <w:bidi w:val="0"/>
              <w:adjustRightInd w:val="0"/>
              <w:snapToGrid w:val="0"/>
              <w:spacing w:line="260" w:lineRule="exact"/>
              <w:ind w:left="272"/>
              <w:jc w:val="center"/>
              <w:textAlignment w:val="baseline"/>
              <w:rPr>
                <w:rFonts w:hint="eastAsia" w:ascii="仿宋_GB2312" w:hAnsi="仿宋_GB2312" w:eastAsia="仿宋_GB2312" w:cs="仿宋_GB2312"/>
                <w:b w:val="0"/>
                <w:bCs w:val="0"/>
                <w:snapToGrid w:val="0"/>
                <w:color w:val="000000"/>
                <w:kern w:val="0"/>
                <w:sz w:val="21"/>
                <w:szCs w:val="21"/>
              </w:rPr>
            </w:pPr>
            <w:r>
              <w:rPr>
                <w:rFonts w:hint="eastAsia" w:ascii="仿宋_GB2312" w:hAnsi="仿宋_GB2312" w:eastAsia="仿宋_GB2312" w:cs="仿宋_GB2312"/>
                <w:b w:val="0"/>
                <w:bCs w:val="0"/>
                <w:snapToGrid w:val="0"/>
                <w:color w:val="000000"/>
                <w:kern w:val="0"/>
                <w:sz w:val="21"/>
                <w:szCs w:val="21"/>
                <w:lang w:val="en-US" w:eastAsia="zh-CN"/>
              </w:rPr>
              <w:t>对重点用能单位未履行节能管理义务的行政处罚</w:t>
            </w:r>
          </w:p>
        </w:tc>
        <w:tc>
          <w:tcPr>
            <w:tcW w:w="1085" w:type="dxa"/>
            <w:shd w:val="clear" w:color="auto" w:fill="FFFFFF"/>
            <w:tcMar>
              <w:left w:w="108" w:type="dxa"/>
              <w:right w:w="108" w:type="dxa"/>
            </w:tcMar>
            <w:vAlign w:val="center"/>
          </w:tcPr>
          <w:p w14:paraId="09C4021D">
            <w:pPr>
              <w:pStyle w:val="7"/>
              <w:keepNext w:val="0"/>
              <w:keepLines w:val="0"/>
              <w:pageBreakBefore w:val="0"/>
              <w:widowControl/>
              <w:kinsoku w:val="0"/>
              <w:wordWrap/>
              <w:overflowPunct/>
              <w:topLinePunct w:val="0"/>
              <w:autoSpaceDE w:val="0"/>
              <w:autoSpaceDN w:val="0"/>
              <w:bidi w:val="0"/>
              <w:adjustRightInd w:val="0"/>
              <w:snapToGrid w:val="0"/>
              <w:spacing w:line="260" w:lineRule="exact"/>
              <w:ind w:left="272"/>
              <w:jc w:val="center"/>
              <w:textAlignment w:val="baseline"/>
              <w:rPr>
                <w:rFonts w:hint="eastAsia" w:ascii="仿宋_GB2312" w:hAnsi="仿宋_GB2312" w:eastAsia="仿宋_GB2312" w:cs="仿宋_GB2312"/>
                <w:b w:val="0"/>
                <w:bCs w:val="0"/>
                <w:snapToGrid w:val="0"/>
                <w:color w:val="000000"/>
                <w:kern w:val="0"/>
                <w:sz w:val="21"/>
                <w:szCs w:val="21"/>
              </w:rPr>
            </w:pPr>
            <w:r>
              <w:rPr>
                <w:rFonts w:hint="eastAsia" w:ascii="仿宋_GB2312" w:hAnsi="仿宋_GB2312" w:eastAsia="仿宋_GB2312" w:cs="仿宋_GB2312"/>
                <w:b w:val="0"/>
                <w:bCs w:val="0"/>
                <w:snapToGrid w:val="0"/>
                <w:color w:val="000000"/>
                <w:kern w:val="0"/>
                <w:sz w:val="21"/>
                <w:szCs w:val="21"/>
                <w:lang w:val="en-US" w:eastAsia="zh-CN"/>
              </w:rPr>
              <w:t>行政处罚</w:t>
            </w:r>
          </w:p>
        </w:tc>
        <w:tc>
          <w:tcPr>
            <w:tcW w:w="1179" w:type="dxa"/>
            <w:shd w:val="clear" w:color="auto" w:fill="FFFFFF"/>
            <w:tcMar>
              <w:left w:w="108" w:type="dxa"/>
              <w:right w:w="108" w:type="dxa"/>
            </w:tcMar>
            <w:vAlign w:val="center"/>
          </w:tcPr>
          <w:p w14:paraId="1F5E01F1">
            <w:pPr>
              <w:pStyle w:val="7"/>
              <w:keepNext w:val="0"/>
              <w:keepLines w:val="0"/>
              <w:pageBreakBefore w:val="0"/>
              <w:widowControl/>
              <w:kinsoku w:val="0"/>
              <w:wordWrap/>
              <w:overflowPunct/>
              <w:topLinePunct w:val="0"/>
              <w:autoSpaceDE w:val="0"/>
              <w:autoSpaceDN w:val="0"/>
              <w:bidi w:val="0"/>
              <w:adjustRightInd w:val="0"/>
              <w:snapToGrid w:val="0"/>
              <w:spacing w:line="260" w:lineRule="exact"/>
              <w:ind w:left="272" w:leftChars="0"/>
              <w:jc w:val="center"/>
              <w:textAlignment w:val="baseline"/>
              <w:rPr>
                <w:rFonts w:hint="eastAsia" w:ascii="仿宋_GB2312" w:hAnsi="仿宋_GB2312" w:eastAsia="仿宋_GB2312" w:cs="仿宋_GB2312"/>
                <w:b w:val="0"/>
                <w:bCs w:val="0"/>
                <w:snapToGrid w:val="0"/>
                <w:color w:val="000000"/>
                <w:kern w:val="0"/>
                <w:sz w:val="21"/>
                <w:szCs w:val="21"/>
              </w:rPr>
            </w:pPr>
            <w:r>
              <w:rPr>
                <w:rFonts w:hint="eastAsia" w:ascii="仿宋_GB2312" w:hAnsi="仿宋_GB2312" w:eastAsia="仿宋_GB2312" w:cs="仿宋_GB2312"/>
                <w:b w:val="0"/>
                <w:bCs w:val="0"/>
                <w:snapToGrid w:val="0"/>
                <w:color w:val="000000"/>
                <w:kern w:val="0"/>
                <w:sz w:val="21"/>
                <w:szCs w:val="21"/>
                <w:lang w:val="en-US" w:eastAsia="zh-CN"/>
              </w:rPr>
              <w:t>零陵区发改局</w:t>
            </w:r>
          </w:p>
        </w:tc>
        <w:tc>
          <w:tcPr>
            <w:tcW w:w="1444" w:type="dxa"/>
            <w:shd w:val="clear" w:color="auto" w:fill="FFFFFF"/>
            <w:tcMar>
              <w:left w:w="108" w:type="dxa"/>
              <w:right w:w="108" w:type="dxa"/>
            </w:tcMar>
            <w:vAlign w:val="center"/>
          </w:tcPr>
          <w:p w14:paraId="352D1B0D">
            <w:pPr>
              <w:pStyle w:val="7"/>
              <w:keepNext w:val="0"/>
              <w:keepLines w:val="0"/>
              <w:pageBreakBefore w:val="0"/>
              <w:widowControl/>
              <w:kinsoku w:val="0"/>
              <w:wordWrap/>
              <w:overflowPunct/>
              <w:topLinePunct w:val="0"/>
              <w:autoSpaceDE w:val="0"/>
              <w:autoSpaceDN w:val="0"/>
              <w:bidi w:val="0"/>
              <w:adjustRightInd w:val="0"/>
              <w:snapToGrid w:val="0"/>
              <w:spacing w:line="260" w:lineRule="exact"/>
              <w:ind w:left="272" w:leftChars="0"/>
              <w:jc w:val="center"/>
              <w:textAlignment w:val="baseline"/>
              <w:rPr>
                <w:rFonts w:hint="eastAsia" w:ascii="仿宋_GB2312" w:hAnsi="仿宋_GB2312" w:eastAsia="仿宋_GB2312" w:cs="仿宋_GB2312"/>
                <w:b w:val="0"/>
                <w:bCs w:val="0"/>
                <w:snapToGrid w:val="0"/>
                <w:color w:val="000000"/>
                <w:kern w:val="0"/>
                <w:sz w:val="21"/>
                <w:szCs w:val="21"/>
              </w:rPr>
            </w:pPr>
            <w:r>
              <w:rPr>
                <w:rFonts w:hint="eastAsia" w:ascii="仿宋_GB2312" w:hAnsi="仿宋_GB2312" w:eastAsia="仿宋_GB2312" w:cs="仿宋_GB2312"/>
                <w:b w:val="0"/>
                <w:bCs w:val="0"/>
                <w:snapToGrid w:val="0"/>
                <w:color w:val="000000"/>
                <w:kern w:val="0"/>
                <w:sz w:val="21"/>
                <w:szCs w:val="21"/>
                <w:lang w:val="en-US" w:eastAsia="zh-CN"/>
              </w:rPr>
              <w:t>环资股</w:t>
            </w:r>
          </w:p>
        </w:tc>
        <w:tc>
          <w:tcPr>
            <w:tcW w:w="8616" w:type="dxa"/>
            <w:shd w:val="clear" w:color="auto" w:fill="FFFFFF"/>
            <w:tcMar>
              <w:left w:w="108" w:type="dxa"/>
              <w:right w:w="108" w:type="dxa"/>
            </w:tcMar>
            <w:vAlign w:val="center"/>
          </w:tcPr>
          <w:p w14:paraId="05A17250">
            <w:pPr>
              <w:pStyle w:val="7"/>
              <w:keepNext w:val="0"/>
              <w:keepLines w:val="0"/>
              <w:pageBreakBefore w:val="0"/>
              <w:widowControl/>
              <w:kinsoku w:val="0"/>
              <w:wordWrap/>
              <w:overflowPunct/>
              <w:topLinePunct w:val="0"/>
              <w:autoSpaceDE w:val="0"/>
              <w:autoSpaceDN w:val="0"/>
              <w:bidi w:val="0"/>
              <w:adjustRightInd w:val="0"/>
              <w:snapToGrid w:val="0"/>
              <w:spacing w:line="260" w:lineRule="exact"/>
              <w:ind w:left="272"/>
              <w:jc w:val="left"/>
              <w:textAlignment w:val="baseline"/>
              <w:rPr>
                <w:rFonts w:hint="eastAsia" w:ascii="仿宋_GB2312" w:hAnsi="仿宋_GB2312" w:eastAsia="仿宋_GB2312" w:cs="仿宋_GB2312"/>
                <w:b w:val="0"/>
                <w:bCs w:val="0"/>
                <w:snapToGrid w:val="0"/>
                <w:color w:val="000000"/>
                <w:kern w:val="0"/>
                <w:sz w:val="21"/>
                <w:szCs w:val="21"/>
              </w:rPr>
            </w:pPr>
            <w:r>
              <w:rPr>
                <w:rFonts w:hint="eastAsia" w:ascii="仿宋_GB2312" w:hAnsi="仿宋_GB2312" w:eastAsia="仿宋_GB2312" w:cs="仿宋_GB2312"/>
                <w:b w:val="0"/>
                <w:bCs w:val="0"/>
                <w:snapToGrid w:val="0"/>
                <w:color w:val="000000"/>
                <w:kern w:val="0"/>
                <w:sz w:val="21"/>
                <w:szCs w:val="21"/>
                <w:lang w:val="en-US" w:eastAsia="zh-CN"/>
              </w:rPr>
              <w:t>1.《中华人民共和国节约能源法》第八十二条  重点用能单位未按照本法规定报送能源利用状况报告或者报告内容不实的，由管理节能工作的部门责令限期改正；逾期不改正的，处一万元以上五万元以下罚款。</w:t>
            </w:r>
            <w:r>
              <w:rPr>
                <w:rFonts w:hint="eastAsia" w:ascii="仿宋_GB2312" w:hAnsi="仿宋_GB2312" w:eastAsia="仿宋_GB2312" w:cs="仿宋_GB2312"/>
                <w:b w:val="0"/>
                <w:bCs w:val="0"/>
                <w:snapToGrid w:val="0"/>
                <w:color w:val="000000"/>
                <w:kern w:val="0"/>
                <w:sz w:val="21"/>
                <w:szCs w:val="21"/>
                <w:lang w:val="en-US" w:eastAsia="zh-CN"/>
              </w:rPr>
              <w:br w:type="textWrapping"/>
            </w:r>
            <w:r>
              <w:rPr>
                <w:rFonts w:hint="eastAsia" w:ascii="仿宋_GB2312" w:hAnsi="仿宋_GB2312" w:eastAsia="仿宋_GB2312" w:cs="仿宋_GB2312"/>
                <w:b w:val="0"/>
                <w:bCs w:val="0"/>
                <w:snapToGrid w:val="0"/>
                <w:color w:val="000000"/>
                <w:kern w:val="0"/>
                <w:sz w:val="21"/>
                <w:szCs w:val="21"/>
                <w:lang w:val="en-US" w:eastAsia="zh-CN"/>
              </w:rPr>
              <w:t>第八十三条　重点用能单位无正当理由拒不落实本法第五十四条规定的整改要求或者整改没有达到要求的，由管理节能工作的部门处十万元以上三十万元以下罚款。</w:t>
            </w:r>
            <w:r>
              <w:rPr>
                <w:rFonts w:hint="eastAsia" w:ascii="仿宋_GB2312" w:hAnsi="仿宋_GB2312" w:eastAsia="仿宋_GB2312" w:cs="仿宋_GB2312"/>
                <w:b w:val="0"/>
                <w:bCs w:val="0"/>
                <w:snapToGrid w:val="0"/>
                <w:color w:val="000000"/>
                <w:kern w:val="0"/>
                <w:sz w:val="21"/>
                <w:szCs w:val="21"/>
                <w:lang w:val="en-US" w:eastAsia="zh-CN"/>
              </w:rPr>
              <w:br w:type="textWrapping"/>
            </w:r>
            <w:r>
              <w:rPr>
                <w:rFonts w:hint="eastAsia" w:ascii="仿宋_GB2312" w:hAnsi="仿宋_GB2312" w:eastAsia="仿宋_GB2312" w:cs="仿宋_GB2312"/>
                <w:b w:val="0"/>
                <w:bCs w:val="0"/>
                <w:snapToGrid w:val="0"/>
                <w:color w:val="000000"/>
                <w:kern w:val="0"/>
                <w:sz w:val="21"/>
                <w:szCs w:val="21"/>
                <w:lang w:val="en-US" w:eastAsia="zh-CN"/>
              </w:rPr>
              <w:t>第八十四条　重点用能单位未按照本法规定设立能源管理岗位，聘任能源管理负责人，并报管理节能工作的部门和有关部门备案的，由管理节能工作的部门责令改正；拒不改正的，处一万元以上三万元以下罚款。</w:t>
            </w:r>
            <w:r>
              <w:rPr>
                <w:rFonts w:hint="eastAsia" w:ascii="仿宋_GB2312" w:hAnsi="仿宋_GB2312" w:eastAsia="仿宋_GB2312" w:cs="仿宋_GB2312"/>
                <w:b w:val="0"/>
                <w:bCs w:val="0"/>
                <w:snapToGrid w:val="0"/>
                <w:color w:val="000000"/>
                <w:kern w:val="0"/>
                <w:sz w:val="21"/>
                <w:szCs w:val="21"/>
                <w:lang w:val="en-US" w:eastAsia="zh-CN"/>
              </w:rPr>
              <w:br w:type="textWrapping"/>
            </w:r>
            <w:r>
              <w:rPr>
                <w:rFonts w:hint="eastAsia" w:ascii="仿宋_GB2312" w:hAnsi="仿宋_GB2312" w:eastAsia="仿宋_GB2312" w:cs="仿宋_GB2312"/>
                <w:b w:val="0"/>
                <w:bCs w:val="0"/>
                <w:snapToGrid w:val="0"/>
                <w:color w:val="000000"/>
                <w:kern w:val="0"/>
                <w:sz w:val="21"/>
                <w:szCs w:val="21"/>
                <w:lang w:val="en-US" w:eastAsia="zh-CN"/>
              </w:rPr>
              <w:t>2.《湖南省节能监察办法》第二十八条　负责节能工作的部门在节能监察中发现被监察单位违反《中华人民共和国节约能源法》等有关节能法律、法规、规章，应当给予行政处罚的，依法予以处罚，或者移送其他有关行政主管部门依法予以处罚。</w:t>
            </w:r>
          </w:p>
        </w:tc>
        <w:tc>
          <w:tcPr>
            <w:tcW w:w="817" w:type="dxa"/>
            <w:shd w:val="clear" w:color="auto" w:fill="FFFFFF"/>
            <w:noWrap/>
            <w:tcMar>
              <w:left w:w="108" w:type="dxa"/>
              <w:right w:w="108" w:type="dxa"/>
            </w:tcMar>
            <w:vAlign w:val="center"/>
          </w:tcPr>
          <w:p w14:paraId="633EE063">
            <w:pPr>
              <w:pStyle w:val="7"/>
              <w:keepNext w:val="0"/>
              <w:keepLines w:val="0"/>
              <w:pageBreakBefore w:val="0"/>
              <w:widowControl/>
              <w:kinsoku w:val="0"/>
              <w:wordWrap/>
              <w:overflowPunct/>
              <w:topLinePunct w:val="0"/>
              <w:autoSpaceDE w:val="0"/>
              <w:autoSpaceDN w:val="0"/>
              <w:bidi w:val="0"/>
              <w:adjustRightInd w:val="0"/>
              <w:snapToGrid w:val="0"/>
              <w:spacing w:line="260" w:lineRule="exact"/>
              <w:ind w:left="272"/>
              <w:jc w:val="center"/>
              <w:textAlignment w:val="baseline"/>
              <w:rPr>
                <w:rFonts w:hint="eastAsia" w:ascii="仿宋_GB2312" w:hAnsi="仿宋_GB2312" w:eastAsia="仿宋_GB2312" w:cs="仿宋_GB2312"/>
                <w:b w:val="0"/>
                <w:bCs w:val="0"/>
                <w:snapToGrid w:val="0"/>
                <w:color w:val="000000"/>
                <w:kern w:val="0"/>
                <w:sz w:val="21"/>
                <w:szCs w:val="21"/>
              </w:rPr>
            </w:pPr>
          </w:p>
        </w:tc>
      </w:tr>
      <w:tr w14:paraId="756931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07" w:hRule="atLeast"/>
        </w:trPr>
        <w:tc>
          <w:tcPr>
            <w:tcW w:w="745" w:type="dxa"/>
            <w:shd w:val="clear" w:color="auto" w:fill="FFFFFF"/>
            <w:tcMar>
              <w:left w:w="108" w:type="dxa"/>
              <w:right w:w="108" w:type="dxa"/>
            </w:tcMar>
            <w:vAlign w:val="center"/>
          </w:tcPr>
          <w:p w14:paraId="1D1232F9">
            <w:pPr>
              <w:pStyle w:val="7"/>
              <w:keepNext w:val="0"/>
              <w:keepLines w:val="0"/>
              <w:pageBreakBefore w:val="0"/>
              <w:widowControl/>
              <w:kinsoku w:val="0"/>
              <w:wordWrap/>
              <w:overflowPunct/>
              <w:topLinePunct w:val="0"/>
              <w:autoSpaceDE w:val="0"/>
              <w:autoSpaceDN w:val="0"/>
              <w:bidi w:val="0"/>
              <w:adjustRightInd w:val="0"/>
              <w:snapToGrid w:val="0"/>
              <w:spacing w:line="260" w:lineRule="exact"/>
              <w:ind w:left="272"/>
              <w:jc w:val="center"/>
              <w:textAlignment w:val="baseline"/>
              <w:rPr>
                <w:rFonts w:hint="default" w:ascii="仿宋_GB2312" w:hAnsi="仿宋_GB2312" w:eastAsia="仿宋_GB2312" w:cs="仿宋_GB2312"/>
                <w:b w:val="0"/>
                <w:bCs w:val="0"/>
                <w:snapToGrid w:val="0"/>
                <w:color w:val="000000"/>
                <w:kern w:val="0"/>
                <w:sz w:val="21"/>
                <w:szCs w:val="21"/>
                <w:lang w:val="en-US"/>
              </w:rPr>
            </w:pPr>
            <w:r>
              <w:rPr>
                <w:rFonts w:hint="eastAsia" w:ascii="仿宋_GB2312" w:hAnsi="仿宋_GB2312" w:eastAsia="仿宋_GB2312" w:cs="仿宋_GB2312"/>
                <w:b w:val="0"/>
                <w:bCs w:val="0"/>
                <w:snapToGrid w:val="0"/>
                <w:color w:val="000000"/>
                <w:kern w:val="0"/>
                <w:sz w:val="21"/>
                <w:szCs w:val="21"/>
                <w:lang w:val="en-US" w:eastAsia="zh-CN"/>
              </w:rPr>
              <w:t>21</w:t>
            </w:r>
          </w:p>
        </w:tc>
        <w:tc>
          <w:tcPr>
            <w:tcW w:w="1334" w:type="dxa"/>
            <w:shd w:val="clear" w:color="auto" w:fill="FFFFFF"/>
            <w:tcMar>
              <w:left w:w="108" w:type="dxa"/>
              <w:right w:w="108" w:type="dxa"/>
            </w:tcMar>
            <w:vAlign w:val="center"/>
          </w:tcPr>
          <w:p w14:paraId="4972DDF1">
            <w:pPr>
              <w:pStyle w:val="7"/>
              <w:keepNext w:val="0"/>
              <w:keepLines w:val="0"/>
              <w:pageBreakBefore w:val="0"/>
              <w:widowControl/>
              <w:kinsoku w:val="0"/>
              <w:wordWrap/>
              <w:overflowPunct/>
              <w:topLinePunct w:val="0"/>
              <w:autoSpaceDE w:val="0"/>
              <w:autoSpaceDN w:val="0"/>
              <w:bidi w:val="0"/>
              <w:adjustRightInd w:val="0"/>
              <w:snapToGrid w:val="0"/>
              <w:spacing w:line="260" w:lineRule="exact"/>
              <w:ind w:left="272"/>
              <w:jc w:val="center"/>
              <w:textAlignment w:val="baseline"/>
              <w:rPr>
                <w:rFonts w:hint="eastAsia" w:ascii="仿宋_GB2312" w:hAnsi="仿宋_GB2312" w:eastAsia="仿宋_GB2312" w:cs="仿宋_GB2312"/>
                <w:b w:val="0"/>
                <w:bCs w:val="0"/>
                <w:snapToGrid w:val="0"/>
                <w:color w:val="000000"/>
                <w:kern w:val="0"/>
                <w:sz w:val="21"/>
                <w:szCs w:val="21"/>
              </w:rPr>
            </w:pPr>
            <w:r>
              <w:rPr>
                <w:rFonts w:hint="eastAsia" w:ascii="仿宋_GB2312" w:hAnsi="仿宋_GB2312" w:eastAsia="仿宋_GB2312" w:cs="仿宋_GB2312"/>
                <w:b w:val="0"/>
                <w:bCs w:val="0"/>
                <w:snapToGrid w:val="0"/>
                <w:color w:val="000000"/>
                <w:kern w:val="0"/>
                <w:sz w:val="21"/>
                <w:szCs w:val="21"/>
                <w:lang w:val="en-US" w:eastAsia="zh-CN"/>
              </w:rPr>
              <w:t>对电力、石油加工、化工、钢铁、有色金属和建材等企业未在规定的范围或者期限内停止使用不符合国家规定的燃油发电机组或者燃油锅炉的行政处罚</w:t>
            </w:r>
          </w:p>
        </w:tc>
        <w:tc>
          <w:tcPr>
            <w:tcW w:w="1085" w:type="dxa"/>
            <w:shd w:val="clear" w:color="auto" w:fill="FFFFFF"/>
            <w:tcMar>
              <w:left w:w="108" w:type="dxa"/>
              <w:right w:w="108" w:type="dxa"/>
            </w:tcMar>
            <w:vAlign w:val="center"/>
          </w:tcPr>
          <w:p w14:paraId="1BBBFE95">
            <w:pPr>
              <w:pStyle w:val="7"/>
              <w:keepNext w:val="0"/>
              <w:keepLines w:val="0"/>
              <w:pageBreakBefore w:val="0"/>
              <w:widowControl/>
              <w:kinsoku w:val="0"/>
              <w:wordWrap/>
              <w:overflowPunct/>
              <w:topLinePunct w:val="0"/>
              <w:autoSpaceDE w:val="0"/>
              <w:autoSpaceDN w:val="0"/>
              <w:bidi w:val="0"/>
              <w:adjustRightInd w:val="0"/>
              <w:snapToGrid w:val="0"/>
              <w:spacing w:line="260" w:lineRule="exact"/>
              <w:ind w:left="272"/>
              <w:jc w:val="center"/>
              <w:textAlignment w:val="baseline"/>
              <w:rPr>
                <w:rFonts w:hint="eastAsia" w:ascii="仿宋_GB2312" w:hAnsi="仿宋_GB2312" w:eastAsia="仿宋_GB2312" w:cs="仿宋_GB2312"/>
                <w:b w:val="0"/>
                <w:bCs w:val="0"/>
                <w:snapToGrid w:val="0"/>
                <w:color w:val="000000"/>
                <w:kern w:val="0"/>
                <w:sz w:val="21"/>
                <w:szCs w:val="21"/>
              </w:rPr>
            </w:pPr>
            <w:r>
              <w:rPr>
                <w:rFonts w:hint="eastAsia" w:ascii="仿宋_GB2312" w:hAnsi="仿宋_GB2312" w:eastAsia="仿宋_GB2312" w:cs="仿宋_GB2312"/>
                <w:b w:val="0"/>
                <w:bCs w:val="0"/>
                <w:snapToGrid w:val="0"/>
                <w:color w:val="000000"/>
                <w:kern w:val="0"/>
                <w:sz w:val="21"/>
                <w:szCs w:val="21"/>
                <w:lang w:val="en-US" w:eastAsia="zh-CN"/>
              </w:rPr>
              <w:t>行政处罚</w:t>
            </w:r>
          </w:p>
        </w:tc>
        <w:tc>
          <w:tcPr>
            <w:tcW w:w="1179" w:type="dxa"/>
            <w:shd w:val="clear" w:color="auto" w:fill="FFFFFF"/>
            <w:tcMar>
              <w:left w:w="108" w:type="dxa"/>
              <w:right w:w="108" w:type="dxa"/>
            </w:tcMar>
            <w:vAlign w:val="center"/>
          </w:tcPr>
          <w:p w14:paraId="32560D49">
            <w:pPr>
              <w:pStyle w:val="7"/>
              <w:keepNext w:val="0"/>
              <w:keepLines w:val="0"/>
              <w:pageBreakBefore w:val="0"/>
              <w:widowControl/>
              <w:kinsoku w:val="0"/>
              <w:wordWrap/>
              <w:overflowPunct/>
              <w:topLinePunct w:val="0"/>
              <w:autoSpaceDE w:val="0"/>
              <w:autoSpaceDN w:val="0"/>
              <w:bidi w:val="0"/>
              <w:adjustRightInd w:val="0"/>
              <w:snapToGrid w:val="0"/>
              <w:spacing w:line="260" w:lineRule="exact"/>
              <w:ind w:left="272" w:leftChars="0"/>
              <w:jc w:val="center"/>
              <w:textAlignment w:val="baseline"/>
              <w:rPr>
                <w:rFonts w:hint="eastAsia" w:ascii="仿宋_GB2312" w:hAnsi="仿宋_GB2312" w:eastAsia="仿宋_GB2312" w:cs="仿宋_GB2312"/>
                <w:b w:val="0"/>
                <w:bCs w:val="0"/>
                <w:snapToGrid w:val="0"/>
                <w:color w:val="000000"/>
                <w:kern w:val="0"/>
                <w:sz w:val="21"/>
                <w:szCs w:val="21"/>
              </w:rPr>
            </w:pPr>
            <w:r>
              <w:rPr>
                <w:rFonts w:hint="eastAsia" w:ascii="仿宋_GB2312" w:hAnsi="仿宋_GB2312" w:eastAsia="仿宋_GB2312" w:cs="仿宋_GB2312"/>
                <w:b w:val="0"/>
                <w:bCs w:val="0"/>
                <w:snapToGrid w:val="0"/>
                <w:color w:val="000000"/>
                <w:kern w:val="0"/>
                <w:sz w:val="21"/>
                <w:szCs w:val="21"/>
                <w:lang w:val="en-US" w:eastAsia="zh-CN"/>
              </w:rPr>
              <w:t>零陵区发改局</w:t>
            </w:r>
          </w:p>
        </w:tc>
        <w:tc>
          <w:tcPr>
            <w:tcW w:w="1444" w:type="dxa"/>
            <w:shd w:val="clear" w:color="auto" w:fill="FFFFFF"/>
            <w:tcMar>
              <w:left w:w="108" w:type="dxa"/>
              <w:right w:w="108" w:type="dxa"/>
            </w:tcMar>
            <w:vAlign w:val="center"/>
          </w:tcPr>
          <w:p w14:paraId="3A4B7305">
            <w:pPr>
              <w:pStyle w:val="7"/>
              <w:keepNext w:val="0"/>
              <w:keepLines w:val="0"/>
              <w:pageBreakBefore w:val="0"/>
              <w:widowControl/>
              <w:kinsoku w:val="0"/>
              <w:wordWrap/>
              <w:overflowPunct/>
              <w:topLinePunct w:val="0"/>
              <w:autoSpaceDE w:val="0"/>
              <w:autoSpaceDN w:val="0"/>
              <w:bidi w:val="0"/>
              <w:adjustRightInd w:val="0"/>
              <w:snapToGrid w:val="0"/>
              <w:spacing w:line="260" w:lineRule="exact"/>
              <w:ind w:left="272" w:leftChars="0"/>
              <w:jc w:val="center"/>
              <w:textAlignment w:val="baseline"/>
              <w:rPr>
                <w:rFonts w:hint="eastAsia" w:ascii="仿宋_GB2312" w:hAnsi="仿宋_GB2312" w:eastAsia="仿宋_GB2312" w:cs="仿宋_GB2312"/>
                <w:b w:val="0"/>
                <w:bCs w:val="0"/>
                <w:snapToGrid w:val="0"/>
                <w:color w:val="000000"/>
                <w:kern w:val="0"/>
                <w:sz w:val="21"/>
                <w:szCs w:val="21"/>
              </w:rPr>
            </w:pPr>
            <w:r>
              <w:rPr>
                <w:rFonts w:hint="eastAsia" w:ascii="仿宋_GB2312" w:hAnsi="仿宋_GB2312" w:eastAsia="仿宋_GB2312" w:cs="仿宋_GB2312"/>
                <w:b w:val="0"/>
                <w:bCs w:val="0"/>
                <w:snapToGrid w:val="0"/>
                <w:color w:val="000000"/>
                <w:kern w:val="0"/>
                <w:sz w:val="21"/>
                <w:szCs w:val="21"/>
                <w:lang w:val="en-US" w:eastAsia="zh-CN"/>
              </w:rPr>
              <w:t>环资股</w:t>
            </w:r>
          </w:p>
        </w:tc>
        <w:tc>
          <w:tcPr>
            <w:tcW w:w="8616" w:type="dxa"/>
            <w:shd w:val="clear" w:color="auto" w:fill="FFFFFF"/>
            <w:tcMar>
              <w:left w:w="108" w:type="dxa"/>
              <w:right w:w="108" w:type="dxa"/>
            </w:tcMar>
            <w:vAlign w:val="center"/>
          </w:tcPr>
          <w:p w14:paraId="260664D6">
            <w:pPr>
              <w:pStyle w:val="7"/>
              <w:keepNext w:val="0"/>
              <w:keepLines w:val="0"/>
              <w:pageBreakBefore w:val="0"/>
              <w:widowControl/>
              <w:kinsoku w:val="0"/>
              <w:wordWrap/>
              <w:overflowPunct/>
              <w:topLinePunct w:val="0"/>
              <w:autoSpaceDE w:val="0"/>
              <w:autoSpaceDN w:val="0"/>
              <w:bidi w:val="0"/>
              <w:adjustRightInd w:val="0"/>
              <w:snapToGrid w:val="0"/>
              <w:spacing w:line="260" w:lineRule="exact"/>
              <w:ind w:left="272"/>
              <w:jc w:val="left"/>
              <w:textAlignment w:val="baseline"/>
              <w:rPr>
                <w:rFonts w:hint="eastAsia" w:ascii="仿宋_GB2312" w:hAnsi="仿宋_GB2312" w:eastAsia="仿宋_GB2312" w:cs="仿宋_GB2312"/>
                <w:b w:val="0"/>
                <w:bCs w:val="0"/>
                <w:snapToGrid w:val="0"/>
                <w:color w:val="000000"/>
                <w:kern w:val="0"/>
                <w:sz w:val="21"/>
                <w:szCs w:val="21"/>
              </w:rPr>
            </w:pPr>
            <w:r>
              <w:rPr>
                <w:rFonts w:hint="eastAsia" w:ascii="仿宋_GB2312" w:hAnsi="仿宋_GB2312" w:eastAsia="仿宋_GB2312" w:cs="仿宋_GB2312"/>
                <w:b w:val="0"/>
                <w:bCs w:val="0"/>
                <w:snapToGrid w:val="0"/>
                <w:color w:val="000000"/>
                <w:kern w:val="0"/>
                <w:sz w:val="21"/>
                <w:szCs w:val="21"/>
                <w:lang w:val="en-US" w:eastAsia="zh-CN"/>
              </w:rPr>
              <w:t>《中华人民共和国循环经济促进法》第五十二条  违反本法规定，电力、石油加工、化工、钢铁、有色金属和建材等企业未在规定的范围或者期限内停止使用不符合国家规定的燃油发电机组或者燃油锅炉的，由县级以上地方人民政府循环经济发展综合管理部门责令限期改正；逾期不改正的，责令拆除该燃油发电机组或者燃油锅炉，并处五万元以上五十万元以下的罚款。</w:t>
            </w:r>
          </w:p>
        </w:tc>
        <w:tc>
          <w:tcPr>
            <w:tcW w:w="817" w:type="dxa"/>
            <w:shd w:val="clear" w:color="auto" w:fill="FFFFFF"/>
            <w:noWrap/>
            <w:tcMar>
              <w:left w:w="108" w:type="dxa"/>
              <w:right w:w="108" w:type="dxa"/>
            </w:tcMar>
            <w:vAlign w:val="center"/>
          </w:tcPr>
          <w:p w14:paraId="5375A317">
            <w:pPr>
              <w:pStyle w:val="7"/>
              <w:keepNext w:val="0"/>
              <w:keepLines w:val="0"/>
              <w:pageBreakBefore w:val="0"/>
              <w:widowControl/>
              <w:kinsoku w:val="0"/>
              <w:wordWrap/>
              <w:overflowPunct/>
              <w:topLinePunct w:val="0"/>
              <w:autoSpaceDE w:val="0"/>
              <w:autoSpaceDN w:val="0"/>
              <w:bidi w:val="0"/>
              <w:adjustRightInd w:val="0"/>
              <w:snapToGrid w:val="0"/>
              <w:spacing w:line="260" w:lineRule="exact"/>
              <w:ind w:left="272"/>
              <w:jc w:val="center"/>
              <w:textAlignment w:val="baseline"/>
              <w:rPr>
                <w:rFonts w:hint="eastAsia" w:ascii="仿宋_GB2312" w:hAnsi="仿宋_GB2312" w:eastAsia="仿宋_GB2312" w:cs="仿宋_GB2312"/>
                <w:b w:val="0"/>
                <w:bCs w:val="0"/>
                <w:snapToGrid w:val="0"/>
                <w:color w:val="000000"/>
                <w:kern w:val="0"/>
                <w:sz w:val="21"/>
                <w:szCs w:val="21"/>
              </w:rPr>
            </w:pPr>
          </w:p>
        </w:tc>
      </w:tr>
      <w:tr w14:paraId="3E0E62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34" w:hRule="atLeast"/>
        </w:trPr>
        <w:tc>
          <w:tcPr>
            <w:tcW w:w="745" w:type="dxa"/>
            <w:shd w:val="clear" w:color="auto" w:fill="FFFFFF"/>
            <w:tcMar>
              <w:left w:w="108" w:type="dxa"/>
              <w:right w:w="108" w:type="dxa"/>
            </w:tcMar>
            <w:vAlign w:val="center"/>
          </w:tcPr>
          <w:p w14:paraId="4CFDE873">
            <w:pPr>
              <w:pStyle w:val="7"/>
              <w:keepNext w:val="0"/>
              <w:keepLines w:val="0"/>
              <w:pageBreakBefore w:val="0"/>
              <w:widowControl/>
              <w:kinsoku w:val="0"/>
              <w:wordWrap/>
              <w:overflowPunct/>
              <w:topLinePunct w:val="0"/>
              <w:autoSpaceDE w:val="0"/>
              <w:autoSpaceDN w:val="0"/>
              <w:bidi w:val="0"/>
              <w:adjustRightInd w:val="0"/>
              <w:snapToGrid w:val="0"/>
              <w:spacing w:line="260" w:lineRule="exact"/>
              <w:ind w:left="272"/>
              <w:jc w:val="center"/>
              <w:textAlignment w:val="baseline"/>
              <w:rPr>
                <w:rFonts w:hint="default" w:ascii="仿宋_GB2312" w:hAnsi="仿宋_GB2312" w:eastAsia="仿宋_GB2312" w:cs="仿宋_GB2312"/>
                <w:b w:val="0"/>
                <w:bCs w:val="0"/>
                <w:snapToGrid w:val="0"/>
                <w:color w:val="000000"/>
                <w:kern w:val="0"/>
                <w:sz w:val="21"/>
                <w:szCs w:val="21"/>
                <w:lang w:val="en-US"/>
              </w:rPr>
            </w:pPr>
            <w:bookmarkStart w:id="3" w:name="OLE_LINK4" w:colFirst="3" w:colLast="4"/>
            <w:r>
              <w:rPr>
                <w:rFonts w:hint="eastAsia" w:ascii="仿宋_GB2312" w:hAnsi="仿宋_GB2312" w:eastAsia="仿宋_GB2312" w:cs="仿宋_GB2312"/>
                <w:b w:val="0"/>
                <w:bCs w:val="0"/>
                <w:snapToGrid w:val="0"/>
                <w:color w:val="000000"/>
                <w:kern w:val="0"/>
                <w:sz w:val="21"/>
                <w:szCs w:val="21"/>
                <w:lang w:val="en-US" w:eastAsia="zh-CN"/>
              </w:rPr>
              <w:t>22</w:t>
            </w:r>
          </w:p>
        </w:tc>
        <w:tc>
          <w:tcPr>
            <w:tcW w:w="1334" w:type="dxa"/>
            <w:shd w:val="clear" w:color="auto" w:fill="FFFFFF"/>
            <w:tcMar>
              <w:left w:w="108" w:type="dxa"/>
              <w:right w:w="108" w:type="dxa"/>
            </w:tcMar>
            <w:vAlign w:val="center"/>
          </w:tcPr>
          <w:p w14:paraId="7CCD329A">
            <w:pPr>
              <w:pStyle w:val="7"/>
              <w:keepNext w:val="0"/>
              <w:keepLines w:val="0"/>
              <w:pageBreakBefore w:val="0"/>
              <w:widowControl/>
              <w:kinsoku w:val="0"/>
              <w:wordWrap/>
              <w:overflowPunct/>
              <w:topLinePunct w:val="0"/>
              <w:autoSpaceDE w:val="0"/>
              <w:autoSpaceDN w:val="0"/>
              <w:bidi w:val="0"/>
              <w:adjustRightInd w:val="0"/>
              <w:snapToGrid w:val="0"/>
              <w:spacing w:line="260" w:lineRule="exact"/>
              <w:ind w:left="272"/>
              <w:jc w:val="center"/>
              <w:textAlignment w:val="baseline"/>
              <w:rPr>
                <w:rFonts w:hint="eastAsia" w:ascii="仿宋_GB2312" w:hAnsi="仿宋_GB2312" w:eastAsia="仿宋_GB2312" w:cs="仿宋_GB2312"/>
                <w:b w:val="0"/>
                <w:bCs w:val="0"/>
                <w:snapToGrid w:val="0"/>
                <w:color w:val="000000"/>
                <w:kern w:val="0"/>
                <w:sz w:val="21"/>
                <w:szCs w:val="21"/>
              </w:rPr>
            </w:pPr>
            <w:r>
              <w:rPr>
                <w:rFonts w:hint="eastAsia" w:ascii="仿宋_GB2312" w:hAnsi="仿宋_GB2312" w:eastAsia="仿宋_GB2312" w:cs="仿宋_GB2312"/>
                <w:b w:val="0"/>
                <w:bCs w:val="0"/>
                <w:snapToGrid w:val="0"/>
                <w:color w:val="000000"/>
                <w:kern w:val="0"/>
                <w:sz w:val="21"/>
                <w:szCs w:val="21"/>
                <w:lang w:val="en-US" w:eastAsia="zh-CN"/>
              </w:rPr>
              <w:t>对企业分拆项目、隐瞒有关情况或者提供虚假申报材料等不正当手段申请项目核准、备案的行政处罚</w:t>
            </w:r>
          </w:p>
        </w:tc>
        <w:tc>
          <w:tcPr>
            <w:tcW w:w="1085" w:type="dxa"/>
            <w:shd w:val="clear" w:color="auto" w:fill="FFFFFF"/>
            <w:tcMar>
              <w:left w:w="108" w:type="dxa"/>
              <w:right w:w="108" w:type="dxa"/>
            </w:tcMar>
            <w:vAlign w:val="center"/>
          </w:tcPr>
          <w:p w14:paraId="0BD9DFBC">
            <w:pPr>
              <w:pStyle w:val="7"/>
              <w:keepNext w:val="0"/>
              <w:keepLines w:val="0"/>
              <w:pageBreakBefore w:val="0"/>
              <w:widowControl/>
              <w:kinsoku w:val="0"/>
              <w:wordWrap/>
              <w:overflowPunct/>
              <w:topLinePunct w:val="0"/>
              <w:autoSpaceDE w:val="0"/>
              <w:autoSpaceDN w:val="0"/>
              <w:bidi w:val="0"/>
              <w:adjustRightInd w:val="0"/>
              <w:snapToGrid w:val="0"/>
              <w:spacing w:line="260" w:lineRule="exact"/>
              <w:ind w:left="272"/>
              <w:jc w:val="center"/>
              <w:textAlignment w:val="baseline"/>
              <w:rPr>
                <w:rFonts w:hint="eastAsia" w:ascii="仿宋_GB2312" w:hAnsi="仿宋_GB2312" w:eastAsia="仿宋_GB2312" w:cs="仿宋_GB2312"/>
                <w:b w:val="0"/>
                <w:bCs w:val="0"/>
                <w:snapToGrid w:val="0"/>
                <w:color w:val="000000"/>
                <w:kern w:val="0"/>
                <w:sz w:val="21"/>
                <w:szCs w:val="21"/>
              </w:rPr>
            </w:pPr>
            <w:r>
              <w:rPr>
                <w:rFonts w:hint="eastAsia" w:ascii="仿宋_GB2312" w:hAnsi="仿宋_GB2312" w:eastAsia="仿宋_GB2312" w:cs="仿宋_GB2312"/>
                <w:b w:val="0"/>
                <w:bCs w:val="0"/>
                <w:snapToGrid w:val="0"/>
                <w:color w:val="000000"/>
                <w:kern w:val="0"/>
                <w:sz w:val="21"/>
                <w:szCs w:val="21"/>
                <w:lang w:val="en-US" w:eastAsia="zh-CN"/>
              </w:rPr>
              <w:t>行政处罚</w:t>
            </w:r>
          </w:p>
        </w:tc>
        <w:tc>
          <w:tcPr>
            <w:tcW w:w="1179" w:type="dxa"/>
            <w:shd w:val="clear" w:color="auto" w:fill="FFFFFF"/>
            <w:tcMar>
              <w:left w:w="108" w:type="dxa"/>
              <w:right w:w="108" w:type="dxa"/>
            </w:tcMar>
            <w:vAlign w:val="center"/>
          </w:tcPr>
          <w:p w14:paraId="0FD9D163">
            <w:pPr>
              <w:pStyle w:val="7"/>
              <w:keepNext w:val="0"/>
              <w:keepLines w:val="0"/>
              <w:pageBreakBefore w:val="0"/>
              <w:widowControl/>
              <w:kinsoku w:val="0"/>
              <w:wordWrap/>
              <w:overflowPunct/>
              <w:topLinePunct w:val="0"/>
              <w:autoSpaceDE w:val="0"/>
              <w:autoSpaceDN w:val="0"/>
              <w:bidi w:val="0"/>
              <w:adjustRightInd w:val="0"/>
              <w:snapToGrid w:val="0"/>
              <w:spacing w:line="260" w:lineRule="exact"/>
              <w:ind w:left="272"/>
              <w:jc w:val="center"/>
              <w:textAlignment w:val="baseline"/>
              <w:rPr>
                <w:rFonts w:hint="default" w:ascii="仿宋_GB2312" w:hAnsi="仿宋_GB2312" w:eastAsia="仿宋_GB2312" w:cs="仿宋_GB2312"/>
                <w:b w:val="0"/>
                <w:bCs w:val="0"/>
                <w:snapToGrid w:val="0"/>
                <w:color w:val="000000"/>
                <w:kern w:val="0"/>
                <w:sz w:val="21"/>
                <w:szCs w:val="21"/>
                <w:lang w:val="en-US"/>
              </w:rPr>
            </w:pPr>
            <w:r>
              <w:rPr>
                <w:rFonts w:hint="eastAsia" w:ascii="仿宋_GB2312" w:hAnsi="仿宋_GB2312" w:eastAsia="仿宋_GB2312" w:cs="仿宋_GB2312"/>
                <w:b w:val="0"/>
                <w:bCs w:val="0"/>
                <w:snapToGrid w:val="0"/>
                <w:color w:val="000000"/>
                <w:kern w:val="0"/>
                <w:sz w:val="21"/>
                <w:szCs w:val="21"/>
                <w:lang w:val="en-US" w:eastAsia="zh-CN"/>
              </w:rPr>
              <w:t>零陵区发改局</w:t>
            </w:r>
          </w:p>
        </w:tc>
        <w:tc>
          <w:tcPr>
            <w:tcW w:w="1444" w:type="dxa"/>
            <w:shd w:val="clear" w:color="auto" w:fill="FFFFFF"/>
            <w:tcMar>
              <w:left w:w="108" w:type="dxa"/>
              <w:right w:w="108" w:type="dxa"/>
            </w:tcMar>
            <w:vAlign w:val="center"/>
          </w:tcPr>
          <w:p w14:paraId="060909B3">
            <w:pPr>
              <w:pStyle w:val="7"/>
              <w:keepNext w:val="0"/>
              <w:keepLines w:val="0"/>
              <w:pageBreakBefore w:val="0"/>
              <w:widowControl/>
              <w:kinsoku w:val="0"/>
              <w:wordWrap/>
              <w:overflowPunct/>
              <w:topLinePunct w:val="0"/>
              <w:autoSpaceDE w:val="0"/>
              <w:autoSpaceDN w:val="0"/>
              <w:bidi w:val="0"/>
              <w:adjustRightInd w:val="0"/>
              <w:snapToGrid w:val="0"/>
              <w:spacing w:line="260" w:lineRule="exact"/>
              <w:ind w:left="272"/>
              <w:jc w:val="center"/>
              <w:textAlignment w:val="baseline"/>
              <w:rPr>
                <w:rFonts w:hint="eastAsia" w:ascii="仿宋_GB2312" w:hAnsi="仿宋_GB2312" w:eastAsia="仿宋_GB2312" w:cs="仿宋_GB2312"/>
                <w:b w:val="0"/>
                <w:bCs w:val="0"/>
                <w:snapToGrid w:val="0"/>
                <w:color w:val="000000"/>
                <w:kern w:val="0"/>
                <w:sz w:val="21"/>
                <w:szCs w:val="21"/>
              </w:rPr>
            </w:pPr>
            <w:r>
              <w:rPr>
                <w:rFonts w:hint="eastAsia" w:ascii="仿宋_GB2312" w:hAnsi="仿宋_GB2312" w:eastAsia="仿宋_GB2312" w:cs="仿宋_GB2312"/>
                <w:b w:val="0"/>
                <w:bCs w:val="0"/>
                <w:snapToGrid w:val="0"/>
                <w:color w:val="000000"/>
                <w:kern w:val="0"/>
                <w:sz w:val="21"/>
                <w:szCs w:val="21"/>
                <w:lang w:val="en-US" w:eastAsia="zh-CN"/>
              </w:rPr>
              <w:t>投资股、社发股、财贸股、能源股、地区经济股、工高股、农经股、等业务股室</w:t>
            </w:r>
          </w:p>
        </w:tc>
        <w:tc>
          <w:tcPr>
            <w:tcW w:w="8616" w:type="dxa"/>
            <w:shd w:val="clear" w:color="auto" w:fill="FFFFFF"/>
            <w:tcMar>
              <w:left w:w="108" w:type="dxa"/>
              <w:right w:w="108" w:type="dxa"/>
            </w:tcMar>
            <w:vAlign w:val="center"/>
          </w:tcPr>
          <w:p w14:paraId="2C261F5E">
            <w:pPr>
              <w:pStyle w:val="7"/>
              <w:keepNext w:val="0"/>
              <w:keepLines w:val="0"/>
              <w:pageBreakBefore w:val="0"/>
              <w:widowControl/>
              <w:kinsoku w:val="0"/>
              <w:wordWrap/>
              <w:overflowPunct/>
              <w:topLinePunct w:val="0"/>
              <w:autoSpaceDE w:val="0"/>
              <w:autoSpaceDN w:val="0"/>
              <w:bidi w:val="0"/>
              <w:adjustRightInd w:val="0"/>
              <w:snapToGrid w:val="0"/>
              <w:spacing w:line="260" w:lineRule="exact"/>
              <w:ind w:left="272"/>
              <w:jc w:val="left"/>
              <w:textAlignment w:val="baseline"/>
              <w:rPr>
                <w:rFonts w:hint="eastAsia" w:ascii="仿宋_GB2312" w:hAnsi="仿宋_GB2312" w:eastAsia="仿宋_GB2312" w:cs="仿宋_GB2312"/>
                <w:b w:val="0"/>
                <w:bCs w:val="0"/>
                <w:snapToGrid w:val="0"/>
                <w:color w:val="000000"/>
                <w:kern w:val="0"/>
                <w:sz w:val="21"/>
                <w:szCs w:val="21"/>
              </w:rPr>
            </w:pPr>
            <w:r>
              <w:rPr>
                <w:rFonts w:hint="eastAsia" w:ascii="仿宋_GB2312" w:hAnsi="仿宋_GB2312" w:eastAsia="仿宋_GB2312" w:cs="仿宋_GB2312"/>
                <w:b w:val="0"/>
                <w:bCs w:val="0"/>
                <w:snapToGrid w:val="0"/>
                <w:color w:val="000000"/>
                <w:kern w:val="0"/>
                <w:sz w:val="21"/>
                <w:szCs w:val="21"/>
                <w:lang w:val="en-US" w:eastAsia="zh-CN"/>
              </w:rPr>
              <w:t>《企业投资项目核准和备案管理办法》第五十五条  企业以分拆项目、隐瞒有关情况或者提供虚假申报材料等不正当手段申请核准、备案的，项目核准机关不予受理或者不予核准、备案，并给予警告。</w:t>
            </w:r>
          </w:p>
        </w:tc>
        <w:tc>
          <w:tcPr>
            <w:tcW w:w="817" w:type="dxa"/>
            <w:shd w:val="clear" w:color="auto" w:fill="FFFFFF"/>
            <w:noWrap/>
            <w:tcMar>
              <w:left w:w="108" w:type="dxa"/>
              <w:right w:w="108" w:type="dxa"/>
            </w:tcMar>
            <w:vAlign w:val="center"/>
          </w:tcPr>
          <w:p w14:paraId="0BB95E9C">
            <w:pPr>
              <w:pStyle w:val="7"/>
              <w:keepNext w:val="0"/>
              <w:keepLines w:val="0"/>
              <w:pageBreakBefore w:val="0"/>
              <w:widowControl/>
              <w:kinsoku w:val="0"/>
              <w:wordWrap/>
              <w:overflowPunct/>
              <w:topLinePunct w:val="0"/>
              <w:autoSpaceDE w:val="0"/>
              <w:autoSpaceDN w:val="0"/>
              <w:bidi w:val="0"/>
              <w:adjustRightInd w:val="0"/>
              <w:snapToGrid w:val="0"/>
              <w:spacing w:line="260" w:lineRule="exact"/>
              <w:ind w:left="272"/>
              <w:jc w:val="center"/>
              <w:textAlignment w:val="baseline"/>
              <w:rPr>
                <w:rFonts w:hint="eastAsia" w:ascii="仿宋_GB2312" w:hAnsi="仿宋_GB2312" w:eastAsia="仿宋_GB2312" w:cs="仿宋_GB2312"/>
                <w:b w:val="0"/>
                <w:bCs w:val="0"/>
                <w:snapToGrid w:val="0"/>
                <w:color w:val="000000"/>
                <w:kern w:val="0"/>
                <w:sz w:val="21"/>
                <w:szCs w:val="21"/>
              </w:rPr>
            </w:pPr>
          </w:p>
        </w:tc>
      </w:tr>
      <w:bookmarkEnd w:id="3"/>
      <w:tr w14:paraId="6524E2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58" w:hRule="atLeast"/>
        </w:trPr>
        <w:tc>
          <w:tcPr>
            <w:tcW w:w="745" w:type="dxa"/>
            <w:shd w:val="clear" w:color="auto" w:fill="FFFFFF"/>
            <w:tcMar>
              <w:left w:w="108" w:type="dxa"/>
              <w:right w:w="108" w:type="dxa"/>
            </w:tcMar>
            <w:vAlign w:val="center"/>
          </w:tcPr>
          <w:p w14:paraId="31396995">
            <w:pPr>
              <w:pStyle w:val="7"/>
              <w:keepNext w:val="0"/>
              <w:keepLines w:val="0"/>
              <w:pageBreakBefore w:val="0"/>
              <w:widowControl/>
              <w:kinsoku w:val="0"/>
              <w:wordWrap/>
              <w:overflowPunct/>
              <w:topLinePunct w:val="0"/>
              <w:autoSpaceDE w:val="0"/>
              <w:autoSpaceDN w:val="0"/>
              <w:bidi w:val="0"/>
              <w:adjustRightInd w:val="0"/>
              <w:snapToGrid w:val="0"/>
              <w:spacing w:line="260" w:lineRule="exact"/>
              <w:ind w:left="272"/>
              <w:jc w:val="center"/>
              <w:textAlignment w:val="baseline"/>
              <w:rPr>
                <w:rFonts w:hint="default" w:ascii="仿宋_GB2312" w:hAnsi="仿宋_GB2312" w:eastAsia="仿宋_GB2312" w:cs="仿宋_GB2312"/>
                <w:b w:val="0"/>
                <w:bCs w:val="0"/>
                <w:snapToGrid w:val="0"/>
                <w:color w:val="000000"/>
                <w:kern w:val="0"/>
                <w:sz w:val="21"/>
                <w:szCs w:val="21"/>
                <w:lang w:val="en-US"/>
              </w:rPr>
            </w:pPr>
            <w:r>
              <w:rPr>
                <w:rFonts w:hint="eastAsia" w:ascii="仿宋_GB2312" w:hAnsi="仿宋_GB2312" w:eastAsia="仿宋_GB2312" w:cs="仿宋_GB2312"/>
                <w:b w:val="0"/>
                <w:bCs w:val="0"/>
                <w:snapToGrid w:val="0"/>
                <w:color w:val="000000"/>
                <w:kern w:val="0"/>
                <w:sz w:val="21"/>
                <w:szCs w:val="21"/>
                <w:lang w:val="en-US" w:eastAsia="zh-CN"/>
              </w:rPr>
              <w:t>23</w:t>
            </w:r>
          </w:p>
        </w:tc>
        <w:tc>
          <w:tcPr>
            <w:tcW w:w="1334" w:type="dxa"/>
            <w:shd w:val="clear" w:color="auto" w:fill="FFFFFF"/>
            <w:tcMar>
              <w:left w:w="108" w:type="dxa"/>
              <w:right w:w="108" w:type="dxa"/>
            </w:tcMar>
            <w:vAlign w:val="center"/>
          </w:tcPr>
          <w:p w14:paraId="3A6C165E">
            <w:pPr>
              <w:pStyle w:val="7"/>
              <w:keepNext w:val="0"/>
              <w:keepLines w:val="0"/>
              <w:pageBreakBefore w:val="0"/>
              <w:widowControl/>
              <w:kinsoku w:val="0"/>
              <w:wordWrap/>
              <w:overflowPunct/>
              <w:topLinePunct w:val="0"/>
              <w:autoSpaceDE w:val="0"/>
              <w:autoSpaceDN w:val="0"/>
              <w:bidi w:val="0"/>
              <w:adjustRightInd w:val="0"/>
              <w:snapToGrid w:val="0"/>
              <w:spacing w:line="260" w:lineRule="exact"/>
              <w:ind w:left="272"/>
              <w:jc w:val="center"/>
              <w:textAlignment w:val="baseline"/>
              <w:rPr>
                <w:rFonts w:hint="eastAsia" w:ascii="仿宋_GB2312" w:hAnsi="仿宋_GB2312" w:eastAsia="仿宋_GB2312" w:cs="仿宋_GB2312"/>
                <w:b w:val="0"/>
                <w:bCs w:val="0"/>
                <w:snapToGrid w:val="0"/>
                <w:color w:val="000000"/>
                <w:kern w:val="0"/>
                <w:sz w:val="21"/>
                <w:szCs w:val="21"/>
              </w:rPr>
            </w:pPr>
            <w:r>
              <w:rPr>
                <w:rFonts w:hint="eastAsia" w:ascii="仿宋_GB2312" w:hAnsi="仿宋_GB2312" w:eastAsia="仿宋_GB2312" w:cs="仿宋_GB2312"/>
                <w:b w:val="0"/>
                <w:bCs w:val="0"/>
                <w:snapToGrid w:val="0"/>
                <w:color w:val="000000"/>
                <w:kern w:val="0"/>
                <w:sz w:val="21"/>
                <w:szCs w:val="21"/>
                <w:lang w:val="en-US" w:eastAsia="zh-CN"/>
              </w:rPr>
              <w:t>对企业未依法办理核准手续开工建设或者未按照核准的建设地点、建设规模、建设内容等进行建设的行政处罚</w:t>
            </w:r>
          </w:p>
        </w:tc>
        <w:tc>
          <w:tcPr>
            <w:tcW w:w="1085" w:type="dxa"/>
            <w:shd w:val="clear" w:color="auto" w:fill="FFFFFF"/>
            <w:tcMar>
              <w:left w:w="108" w:type="dxa"/>
              <w:right w:w="108" w:type="dxa"/>
            </w:tcMar>
            <w:vAlign w:val="center"/>
          </w:tcPr>
          <w:p w14:paraId="1A0EF2FC">
            <w:pPr>
              <w:pStyle w:val="7"/>
              <w:keepNext w:val="0"/>
              <w:keepLines w:val="0"/>
              <w:pageBreakBefore w:val="0"/>
              <w:widowControl/>
              <w:kinsoku w:val="0"/>
              <w:wordWrap/>
              <w:overflowPunct/>
              <w:topLinePunct w:val="0"/>
              <w:autoSpaceDE w:val="0"/>
              <w:autoSpaceDN w:val="0"/>
              <w:bidi w:val="0"/>
              <w:adjustRightInd w:val="0"/>
              <w:snapToGrid w:val="0"/>
              <w:spacing w:line="260" w:lineRule="exact"/>
              <w:ind w:left="272"/>
              <w:jc w:val="center"/>
              <w:textAlignment w:val="baseline"/>
              <w:rPr>
                <w:rFonts w:hint="eastAsia" w:ascii="仿宋_GB2312" w:hAnsi="仿宋_GB2312" w:eastAsia="仿宋_GB2312" w:cs="仿宋_GB2312"/>
                <w:b w:val="0"/>
                <w:bCs w:val="0"/>
                <w:snapToGrid w:val="0"/>
                <w:color w:val="000000"/>
                <w:kern w:val="0"/>
                <w:sz w:val="21"/>
                <w:szCs w:val="21"/>
              </w:rPr>
            </w:pPr>
            <w:r>
              <w:rPr>
                <w:rFonts w:hint="eastAsia" w:ascii="仿宋_GB2312" w:hAnsi="仿宋_GB2312" w:eastAsia="仿宋_GB2312" w:cs="仿宋_GB2312"/>
                <w:b w:val="0"/>
                <w:bCs w:val="0"/>
                <w:snapToGrid w:val="0"/>
                <w:color w:val="000000"/>
                <w:kern w:val="0"/>
                <w:sz w:val="21"/>
                <w:szCs w:val="21"/>
                <w:lang w:val="en-US" w:eastAsia="zh-CN"/>
              </w:rPr>
              <w:t>行政处罚</w:t>
            </w:r>
          </w:p>
        </w:tc>
        <w:tc>
          <w:tcPr>
            <w:tcW w:w="1179" w:type="dxa"/>
            <w:shd w:val="clear" w:color="auto" w:fill="FFFFFF"/>
            <w:tcMar>
              <w:left w:w="108" w:type="dxa"/>
              <w:right w:w="108" w:type="dxa"/>
            </w:tcMar>
            <w:vAlign w:val="center"/>
          </w:tcPr>
          <w:p w14:paraId="4C1C0E28">
            <w:pPr>
              <w:pStyle w:val="7"/>
              <w:keepNext w:val="0"/>
              <w:keepLines w:val="0"/>
              <w:pageBreakBefore w:val="0"/>
              <w:widowControl/>
              <w:kinsoku w:val="0"/>
              <w:wordWrap/>
              <w:overflowPunct/>
              <w:topLinePunct w:val="0"/>
              <w:autoSpaceDE w:val="0"/>
              <w:autoSpaceDN w:val="0"/>
              <w:bidi w:val="0"/>
              <w:adjustRightInd w:val="0"/>
              <w:snapToGrid w:val="0"/>
              <w:spacing w:line="260" w:lineRule="exact"/>
              <w:ind w:left="272" w:leftChars="0"/>
              <w:jc w:val="center"/>
              <w:textAlignment w:val="baseline"/>
              <w:rPr>
                <w:rFonts w:hint="eastAsia" w:ascii="仿宋_GB2312" w:hAnsi="仿宋_GB2312" w:eastAsia="仿宋_GB2312" w:cs="仿宋_GB2312"/>
                <w:b w:val="0"/>
                <w:bCs w:val="0"/>
                <w:snapToGrid w:val="0"/>
                <w:color w:val="000000"/>
                <w:kern w:val="0"/>
                <w:sz w:val="21"/>
                <w:szCs w:val="21"/>
              </w:rPr>
            </w:pPr>
            <w:r>
              <w:rPr>
                <w:rFonts w:hint="eastAsia" w:ascii="仿宋_GB2312" w:hAnsi="仿宋_GB2312" w:eastAsia="仿宋_GB2312" w:cs="仿宋_GB2312"/>
                <w:b w:val="0"/>
                <w:bCs w:val="0"/>
                <w:snapToGrid w:val="0"/>
                <w:color w:val="000000"/>
                <w:kern w:val="0"/>
                <w:sz w:val="21"/>
                <w:szCs w:val="21"/>
                <w:lang w:val="en-US" w:eastAsia="zh-CN"/>
              </w:rPr>
              <w:t>零陵区发改局</w:t>
            </w:r>
          </w:p>
        </w:tc>
        <w:tc>
          <w:tcPr>
            <w:tcW w:w="1444" w:type="dxa"/>
            <w:shd w:val="clear" w:color="auto" w:fill="FFFFFF"/>
            <w:tcMar>
              <w:left w:w="108" w:type="dxa"/>
              <w:right w:w="108" w:type="dxa"/>
            </w:tcMar>
            <w:vAlign w:val="center"/>
          </w:tcPr>
          <w:p w14:paraId="140B4472">
            <w:pPr>
              <w:pStyle w:val="7"/>
              <w:keepNext w:val="0"/>
              <w:keepLines w:val="0"/>
              <w:pageBreakBefore w:val="0"/>
              <w:widowControl/>
              <w:kinsoku w:val="0"/>
              <w:wordWrap/>
              <w:overflowPunct/>
              <w:topLinePunct w:val="0"/>
              <w:autoSpaceDE w:val="0"/>
              <w:autoSpaceDN w:val="0"/>
              <w:bidi w:val="0"/>
              <w:adjustRightInd w:val="0"/>
              <w:snapToGrid w:val="0"/>
              <w:spacing w:line="260" w:lineRule="exact"/>
              <w:ind w:left="272" w:leftChars="0"/>
              <w:jc w:val="center"/>
              <w:textAlignment w:val="baseline"/>
              <w:rPr>
                <w:rFonts w:hint="eastAsia" w:ascii="仿宋_GB2312" w:hAnsi="仿宋_GB2312" w:eastAsia="仿宋_GB2312" w:cs="仿宋_GB2312"/>
                <w:b w:val="0"/>
                <w:bCs w:val="0"/>
                <w:snapToGrid w:val="0"/>
                <w:color w:val="000000"/>
                <w:kern w:val="0"/>
                <w:sz w:val="21"/>
                <w:szCs w:val="21"/>
              </w:rPr>
            </w:pPr>
            <w:r>
              <w:rPr>
                <w:rFonts w:hint="eastAsia" w:ascii="仿宋_GB2312" w:hAnsi="仿宋_GB2312" w:eastAsia="仿宋_GB2312" w:cs="仿宋_GB2312"/>
                <w:b w:val="0"/>
                <w:bCs w:val="0"/>
                <w:snapToGrid w:val="0"/>
                <w:color w:val="000000"/>
                <w:kern w:val="0"/>
                <w:sz w:val="21"/>
                <w:szCs w:val="21"/>
                <w:lang w:val="en-US" w:eastAsia="zh-CN"/>
              </w:rPr>
              <w:t>投资股、社发股、财贸股、能源股、地区经济股、工高股、农经股、等业务股室</w:t>
            </w:r>
          </w:p>
        </w:tc>
        <w:tc>
          <w:tcPr>
            <w:tcW w:w="8616" w:type="dxa"/>
            <w:shd w:val="clear" w:color="auto" w:fill="FFFFFF"/>
            <w:tcMar>
              <w:left w:w="108" w:type="dxa"/>
              <w:right w:w="108" w:type="dxa"/>
            </w:tcMar>
            <w:vAlign w:val="center"/>
          </w:tcPr>
          <w:p w14:paraId="0A01D6CC">
            <w:pPr>
              <w:pStyle w:val="7"/>
              <w:keepNext w:val="0"/>
              <w:keepLines w:val="0"/>
              <w:pageBreakBefore w:val="0"/>
              <w:widowControl/>
              <w:kinsoku w:val="0"/>
              <w:wordWrap/>
              <w:overflowPunct/>
              <w:topLinePunct w:val="0"/>
              <w:autoSpaceDE w:val="0"/>
              <w:autoSpaceDN w:val="0"/>
              <w:bidi w:val="0"/>
              <w:adjustRightInd w:val="0"/>
              <w:snapToGrid w:val="0"/>
              <w:spacing w:line="260" w:lineRule="exact"/>
              <w:ind w:left="272"/>
              <w:jc w:val="left"/>
              <w:textAlignment w:val="baseline"/>
              <w:rPr>
                <w:rFonts w:hint="eastAsia" w:ascii="仿宋_GB2312" w:hAnsi="仿宋_GB2312" w:eastAsia="仿宋_GB2312" w:cs="仿宋_GB2312"/>
                <w:b w:val="0"/>
                <w:bCs w:val="0"/>
                <w:snapToGrid w:val="0"/>
                <w:color w:val="000000"/>
                <w:kern w:val="0"/>
                <w:sz w:val="21"/>
                <w:szCs w:val="21"/>
              </w:rPr>
            </w:pPr>
            <w:r>
              <w:rPr>
                <w:rFonts w:hint="eastAsia" w:ascii="仿宋_GB2312" w:hAnsi="仿宋_GB2312" w:eastAsia="仿宋_GB2312" w:cs="仿宋_GB2312"/>
                <w:b w:val="0"/>
                <w:bCs w:val="0"/>
                <w:snapToGrid w:val="0"/>
                <w:color w:val="000000"/>
                <w:kern w:val="0"/>
                <w:sz w:val="21"/>
                <w:szCs w:val="21"/>
                <w:lang w:val="en-US" w:eastAsia="zh-CN"/>
              </w:rPr>
              <w:t>1.《企业投资项目核准和备案管理条例》第十八条第一款  实行核准管理的项目，企业未依照本条例规定办理核准手续开工建设或者未按照核准的建设地点、建设规模、建设内容等进行建设的，由核准机关责令停止建设或者责令停产，对企业处项目总投资额1‰以上5‰以下的罚款；对直接负责的主管人员和其他直接责任人员处2万元以上5万元以下的罚款，属于国家工作人员的，依法给予处分。</w:t>
            </w:r>
            <w:r>
              <w:rPr>
                <w:rFonts w:hint="eastAsia" w:ascii="仿宋_GB2312" w:hAnsi="仿宋_GB2312" w:eastAsia="仿宋_GB2312" w:cs="仿宋_GB2312"/>
                <w:b w:val="0"/>
                <w:bCs w:val="0"/>
                <w:snapToGrid w:val="0"/>
                <w:color w:val="000000"/>
                <w:kern w:val="0"/>
                <w:sz w:val="21"/>
                <w:szCs w:val="21"/>
                <w:lang w:val="en-US" w:eastAsia="zh-CN"/>
              </w:rPr>
              <w:br w:type="textWrapping"/>
            </w:r>
            <w:r>
              <w:rPr>
                <w:rFonts w:hint="eastAsia" w:ascii="仿宋_GB2312" w:hAnsi="仿宋_GB2312" w:eastAsia="仿宋_GB2312" w:cs="仿宋_GB2312"/>
                <w:b w:val="0"/>
                <w:bCs w:val="0"/>
                <w:snapToGrid w:val="0"/>
                <w:color w:val="000000"/>
                <w:kern w:val="0"/>
                <w:sz w:val="21"/>
                <w:szCs w:val="21"/>
                <w:lang w:val="en-US" w:eastAsia="zh-CN"/>
              </w:rPr>
              <w:t>2.《企业投资项目核准和备案管理办法》第五十六条第一款  实行核准管理的项目，企业未依法办理核准手续开工建设或者未按照核准的建设地点、建设规模、建设内容等进行建设的，由核准机关责令停止建设或者责令停产，对企业处项目总投资额1‰以上5‰以下的罚款；对直接负责的主管人员和其他直接责任人员处2万元以上5万元以下的罚款，属于国家工作人员的，依法给予处分。项目应视情况予以拆除或者补办相关手续。</w:t>
            </w:r>
          </w:p>
        </w:tc>
        <w:tc>
          <w:tcPr>
            <w:tcW w:w="817" w:type="dxa"/>
            <w:shd w:val="clear" w:color="auto" w:fill="FFFFFF"/>
            <w:noWrap/>
            <w:tcMar>
              <w:left w:w="108" w:type="dxa"/>
              <w:right w:w="108" w:type="dxa"/>
            </w:tcMar>
            <w:vAlign w:val="center"/>
          </w:tcPr>
          <w:p w14:paraId="098EC991">
            <w:pPr>
              <w:pStyle w:val="7"/>
              <w:keepNext w:val="0"/>
              <w:keepLines w:val="0"/>
              <w:pageBreakBefore w:val="0"/>
              <w:widowControl/>
              <w:kinsoku w:val="0"/>
              <w:wordWrap/>
              <w:overflowPunct/>
              <w:topLinePunct w:val="0"/>
              <w:autoSpaceDE w:val="0"/>
              <w:autoSpaceDN w:val="0"/>
              <w:bidi w:val="0"/>
              <w:adjustRightInd w:val="0"/>
              <w:snapToGrid w:val="0"/>
              <w:spacing w:line="260" w:lineRule="exact"/>
              <w:ind w:left="272"/>
              <w:jc w:val="center"/>
              <w:textAlignment w:val="baseline"/>
              <w:rPr>
                <w:rFonts w:hint="eastAsia" w:ascii="仿宋_GB2312" w:hAnsi="仿宋_GB2312" w:eastAsia="仿宋_GB2312" w:cs="仿宋_GB2312"/>
                <w:b w:val="0"/>
                <w:bCs w:val="0"/>
                <w:snapToGrid w:val="0"/>
                <w:color w:val="000000"/>
                <w:kern w:val="0"/>
                <w:sz w:val="21"/>
                <w:szCs w:val="21"/>
              </w:rPr>
            </w:pPr>
          </w:p>
        </w:tc>
      </w:tr>
      <w:tr w14:paraId="5011A9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695" w:hRule="atLeast"/>
        </w:trPr>
        <w:tc>
          <w:tcPr>
            <w:tcW w:w="745" w:type="dxa"/>
            <w:shd w:val="clear" w:color="auto" w:fill="FFFFFF"/>
            <w:tcMar>
              <w:left w:w="108" w:type="dxa"/>
              <w:right w:w="108" w:type="dxa"/>
            </w:tcMar>
            <w:vAlign w:val="center"/>
          </w:tcPr>
          <w:p w14:paraId="055C3B5F">
            <w:pPr>
              <w:pStyle w:val="7"/>
              <w:keepNext w:val="0"/>
              <w:keepLines w:val="0"/>
              <w:pageBreakBefore w:val="0"/>
              <w:widowControl/>
              <w:kinsoku w:val="0"/>
              <w:wordWrap/>
              <w:overflowPunct/>
              <w:topLinePunct w:val="0"/>
              <w:autoSpaceDE w:val="0"/>
              <w:autoSpaceDN w:val="0"/>
              <w:bidi w:val="0"/>
              <w:adjustRightInd w:val="0"/>
              <w:snapToGrid w:val="0"/>
              <w:spacing w:line="260" w:lineRule="exact"/>
              <w:ind w:left="272"/>
              <w:jc w:val="center"/>
              <w:textAlignment w:val="baseline"/>
              <w:rPr>
                <w:rFonts w:hint="default" w:ascii="仿宋_GB2312" w:hAnsi="仿宋_GB2312" w:eastAsia="仿宋_GB2312" w:cs="仿宋_GB2312"/>
                <w:b w:val="0"/>
                <w:bCs w:val="0"/>
                <w:snapToGrid w:val="0"/>
                <w:color w:val="000000"/>
                <w:kern w:val="0"/>
                <w:sz w:val="21"/>
                <w:szCs w:val="21"/>
                <w:lang w:val="en-US"/>
              </w:rPr>
            </w:pPr>
            <w:r>
              <w:rPr>
                <w:rFonts w:hint="eastAsia" w:ascii="仿宋_GB2312" w:hAnsi="仿宋_GB2312" w:eastAsia="仿宋_GB2312" w:cs="仿宋_GB2312"/>
                <w:b w:val="0"/>
                <w:bCs w:val="0"/>
                <w:snapToGrid w:val="0"/>
                <w:color w:val="000000"/>
                <w:kern w:val="0"/>
                <w:sz w:val="21"/>
                <w:szCs w:val="21"/>
                <w:lang w:val="en-US" w:eastAsia="zh-CN"/>
              </w:rPr>
              <w:t>24</w:t>
            </w:r>
          </w:p>
        </w:tc>
        <w:tc>
          <w:tcPr>
            <w:tcW w:w="1334" w:type="dxa"/>
            <w:shd w:val="clear" w:color="auto" w:fill="FFFFFF"/>
            <w:tcMar>
              <w:left w:w="108" w:type="dxa"/>
              <w:right w:w="108" w:type="dxa"/>
            </w:tcMar>
            <w:vAlign w:val="center"/>
          </w:tcPr>
          <w:p w14:paraId="0B798BBC">
            <w:pPr>
              <w:pStyle w:val="7"/>
              <w:keepNext w:val="0"/>
              <w:keepLines w:val="0"/>
              <w:pageBreakBefore w:val="0"/>
              <w:widowControl/>
              <w:kinsoku w:val="0"/>
              <w:wordWrap/>
              <w:overflowPunct/>
              <w:topLinePunct w:val="0"/>
              <w:autoSpaceDE w:val="0"/>
              <w:autoSpaceDN w:val="0"/>
              <w:bidi w:val="0"/>
              <w:adjustRightInd w:val="0"/>
              <w:snapToGrid w:val="0"/>
              <w:spacing w:line="260" w:lineRule="exact"/>
              <w:ind w:left="272"/>
              <w:jc w:val="center"/>
              <w:textAlignment w:val="baseline"/>
              <w:rPr>
                <w:rFonts w:hint="eastAsia" w:ascii="仿宋_GB2312" w:hAnsi="仿宋_GB2312" w:eastAsia="仿宋_GB2312" w:cs="仿宋_GB2312"/>
                <w:b w:val="0"/>
                <w:bCs w:val="0"/>
                <w:snapToGrid w:val="0"/>
                <w:color w:val="000000"/>
                <w:kern w:val="0"/>
                <w:sz w:val="21"/>
                <w:szCs w:val="21"/>
              </w:rPr>
            </w:pPr>
            <w:r>
              <w:rPr>
                <w:rFonts w:hint="eastAsia" w:ascii="仿宋_GB2312" w:hAnsi="仿宋_GB2312" w:eastAsia="仿宋_GB2312" w:cs="仿宋_GB2312"/>
                <w:b w:val="0"/>
                <w:bCs w:val="0"/>
                <w:snapToGrid w:val="0"/>
                <w:color w:val="000000"/>
                <w:kern w:val="0"/>
                <w:sz w:val="21"/>
                <w:szCs w:val="21"/>
                <w:lang w:val="en-US" w:eastAsia="zh-CN"/>
              </w:rPr>
              <w:t>对企业以欺骗、贿赂等不正当手段取得项目核准文件的行政处罚</w:t>
            </w:r>
          </w:p>
        </w:tc>
        <w:tc>
          <w:tcPr>
            <w:tcW w:w="1085" w:type="dxa"/>
            <w:shd w:val="clear" w:color="auto" w:fill="FFFFFF"/>
            <w:tcMar>
              <w:left w:w="108" w:type="dxa"/>
              <w:right w:w="108" w:type="dxa"/>
            </w:tcMar>
            <w:vAlign w:val="center"/>
          </w:tcPr>
          <w:p w14:paraId="17480FA4">
            <w:pPr>
              <w:pStyle w:val="7"/>
              <w:keepNext w:val="0"/>
              <w:keepLines w:val="0"/>
              <w:pageBreakBefore w:val="0"/>
              <w:widowControl/>
              <w:kinsoku w:val="0"/>
              <w:wordWrap/>
              <w:overflowPunct/>
              <w:topLinePunct w:val="0"/>
              <w:autoSpaceDE w:val="0"/>
              <w:autoSpaceDN w:val="0"/>
              <w:bidi w:val="0"/>
              <w:adjustRightInd w:val="0"/>
              <w:snapToGrid w:val="0"/>
              <w:spacing w:line="260" w:lineRule="exact"/>
              <w:ind w:left="272"/>
              <w:jc w:val="center"/>
              <w:textAlignment w:val="baseline"/>
              <w:rPr>
                <w:rFonts w:hint="eastAsia" w:ascii="仿宋_GB2312" w:hAnsi="仿宋_GB2312" w:eastAsia="仿宋_GB2312" w:cs="仿宋_GB2312"/>
                <w:b w:val="0"/>
                <w:bCs w:val="0"/>
                <w:snapToGrid w:val="0"/>
                <w:color w:val="000000"/>
                <w:kern w:val="0"/>
                <w:sz w:val="21"/>
                <w:szCs w:val="21"/>
              </w:rPr>
            </w:pPr>
            <w:r>
              <w:rPr>
                <w:rFonts w:hint="eastAsia" w:ascii="仿宋_GB2312" w:hAnsi="仿宋_GB2312" w:eastAsia="仿宋_GB2312" w:cs="仿宋_GB2312"/>
                <w:b w:val="0"/>
                <w:bCs w:val="0"/>
                <w:snapToGrid w:val="0"/>
                <w:color w:val="000000"/>
                <w:kern w:val="0"/>
                <w:sz w:val="21"/>
                <w:szCs w:val="21"/>
                <w:lang w:val="en-US" w:eastAsia="zh-CN"/>
              </w:rPr>
              <w:t>行政处罚</w:t>
            </w:r>
          </w:p>
        </w:tc>
        <w:tc>
          <w:tcPr>
            <w:tcW w:w="1179" w:type="dxa"/>
            <w:shd w:val="clear" w:color="auto" w:fill="FFFFFF"/>
            <w:tcMar>
              <w:left w:w="108" w:type="dxa"/>
              <w:right w:w="108" w:type="dxa"/>
            </w:tcMar>
            <w:vAlign w:val="center"/>
          </w:tcPr>
          <w:p w14:paraId="25439651">
            <w:pPr>
              <w:pStyle w:val="7"/>
              <w:keepNext w:val="0"/>
              <w:keepLines w:val="0"/>
              <w:pageBreakBefore w:val="0"/>
              <w:widowControl/>
              <w:kinsoku w:val="0"/>
              <w:wordWrap/>
              <w:overflowPunct/>
              <w:topLinePunct w:val="0"/>
              <w:autoSpaceDE w:val="0"/>
              <w:autoSpaceDN w:val="0"/>
              <w:bidi w:val="0"/>
              <w:adjustRightInd w:val="0"/>
              <w:snapToGrid w:val="0"/>
              <w:spacing w:line="260" w:lineRule="exact"/>
              <w:ind w:left="272" w:leftChars="0"/>
              <w:jc w:val="center"/>
              <w:textAlignment w:val="baseline"/>
              <w:rPr>
                <w:rFonts w:hint="eastAsia" w:ascii="仿宋_GB2312" w:hAnsi="仿宋_GB2312" w:eastAsia="仿宋_GB2312" w:cs="仿宋_GB2312"/>
                <w:b w:val="0"/>
                <w:bCs w:val="0"/>
                <w:snapToGrid w:val="0"/>
                <w:color w:val="000000"/>
                <w:kern w:val="0"/>
                <w:sz w:val="21"/>
                <w:szCs w:val="21"/>
              </w:rPr>
            </w:pPr>
            <w:r>
              <w:rPr>
                <w:rFonts w:hint="eastAsia" w:ascii="仿宋_GB2312" w:hAnsi="仿宋_GB2312" w:eastAsia="仿宋_GB2312" w:cs="仿宋_GB2312"/>
                <w:b w:val="0"/>
                <w:bCs w:val="0"/>
                <w:snapToGrid w:val="0"/>
                <w:color w:val="000000"/>
                <w:kern w:val="0"/>
                <w:sz w:val="21"/>
                <w:szCs w:val="21"/>
                <w:lang w:val="en-US" w:eastAsia="zh-CN"/>
              </w:rPr>
              <w:t>零陵区发改局</w:t>
            </w:r>
          </w:p>
        </w:tc>
        <w:tc>
          <w:tcPr>
            <w:tcW w:w="1444" w:type="dxa"/>
            <w:shd w:val="clear" w:color="auto" w:fill="FFFFFF"/>
            <w:tcMar>
              <w:left w:w="108" w:type="dxa"/>
              <w:right w:w="108" w:type="dxa"/>
            </w:tcMar>
            <w:vAlign w:val="center"/>
          </w:tcPr>
          <w:p w14:paraId="53C5E018">
            <w:pPr>
              <w:pStyle w:val="7"/>
              <w:keepNext w:val="0"/>
              <w:keepLines w:val="0"/>
              <w:pageBreakBefore w:val="0"/>
              <w:widowControl/>
              <w:kinsoku w:val="0"/>
              <w:wordWrap/>
              <w:overflowPunct/>
              <w:topLinePunct w:val="0"/>
              <w:autoSpaceDE w:val="0"/>
              <w:autoSpaceDN w:val="0"/>
              <w:bidi w:val="0"/>
              <w:adjustRightInd w:val="0"/>
              <w:snapToGrid w:val="0"/>
              <w:spacing w:line="260" w:lineRule="exact"/>
              <w:ind w:left="272" w:leftChars="0"/>
              <w:jc w:val="center"/>
              <w:textAlignment w:val="baseline"/>
              <w:rPr>
                <w:rFonts w:hint="eastAsia" w:ascii="仿宋_GB2312" w:hAnsi="仿宋_GB2312" w:eastAsia="仿宋_GB2312" w:cs="仿宋_GB2312"/>
                <w:b w:val="0"/>
                <w:bCs w:val="0"/>
                <w:snapToGrid w:val="0"/>
                <w:color w:val="000000"/>
                <w:kern w:val="0"/>
                <w:sz w:val="21"/>
                <w:szCs w:val="21"/>
              </w:rPr>
            </w:pPr>
            <w:r>
              <w:rPr>
                <w:rFonts w:hint="eastAsia" w:ascii="仿宋_GB2312" w:hAnsi="仿宋_GB2312" w:eastAsia="仿宋_GB2312" w:cs="仿宋_GB2312"/>
                <w:b w:val="0"/>
                <w:bCs w:val="0"/>
                <w:snapToGrid w:val="0"/>
                <w:color w:val="000000"/>
                <w:kern w:val="0"/>
                <w:sz w:val="21"/>
                <w:szCs w:val="21"/>
                <w:lang w:val="en-US" w:eastAsia="zh-CN"/>
              </w:rPr>
              <w:t>投资股、社发股、财贸股、能源股、地区经济股、工高股、农经股、等业务股室</w:t>
            </w:r>
          </w:p>
        </w:tc>
        <w:tc>
          <w:tcPr>
            <w:tcW w:w="8616" w:type="dxa"/>
            <w:shd w:val="clear" w:color="auto" w:fill="FFFFFF"/>
            <w:tcMar>
              <w:left w:w="108" w:type="dxa"/>
              <w:right w:w="108" w:type="dxa"/>
            </w:tcMar>
            <w:vAlign w:val="center"/>
          </w:tcPr>
          <w:p w14:paraId="3CA15B98">
            <w:pPr>
              <w:pStyle w:val="7"/>
              <w:keepNext w:val="0"/>
              <w:keepLines w:val="0"/>
              <w:pageBreakBefore w:val="0"/>
              <w:widowControl/>
              <w:kinsoku w:val="0"/>
              <w:wordWrap/>
              <w:overflowPunct/>
              <w:topLinePunct w:val="0"/>
              <w:autoSpaceDE w:val="0"/>
              <w:autoSpaceDN w:val="0"/>
              <w:bidi w:val="0"/>
              <w:adjustRightInd w:val="0"/>
              <w:snapToGrid w:val="0"/>
              <w:spacing w:line="260" w:lineRule="exact"/>
              <w:ind w:left="272"/>
              <w:jc w:val="left"/>
              <w:textAlignment w:val="baseline"/>
              <w:rPr>
                <w:rFonts w:hint="eastAsia" w:ascii="仿宋_GB2312" w:hAnsi="仿宋_GB2312" w:eastAsia="仿宋_GB2312" w:cs="仿宋_GB2312"/>
                <w:b w:val="0"/>
                <w:bCs w:val="0"/>
                <w:snapToGrid w:val="0"/>
                <w:color w:val="000000"/>
                <w:kern w:val="0"/>
                <w:sz w:val="21"/>
                <w:szCs w:val="21"/>
              </w:rPr>
            </w:pPr>
            <w:r>
              <w:rPr>
                <w:rFonts w:hint="eastAsia" w:ascii="仿宋_GB2312" w:hAnsi="仿宋_GB2312" w:eastAsia="仿宋_GB2312" w:cs="仿宋_GB2312"/>
                <w:b w:val="0"/>
                <w:bCs w:val="0"/>
                <w:snapToGrid w:val="0"/>
                <w:color w:val="000000"/>
                <w:kern w:val="0"/>
                <w:sz w:val="21"/>
                <w:szCs w:val="21"/>
                <w:lang w:val="en-US" w:eastAsia="zh-CN"/>
              </w:rPr>
              <w:t>1.《企业投资项目核准和备案管理条例》第十八条第二款  以欺骗、贿赂等不正当手段取得项目核准文件，尚未开工建设的，由核准机关撤销核准文件，处项目总投资额1‰以上5‰以下的罚款；已经开工建设的，依照前款规定予以处罚；构成犯罪的，依法追究刑事责任。</w:t>
            </w:r>
            <w:r>
              <w:rPr>
                <w:rFonts w:hint="eastAsia" w:ascii="仿宋_GB2312" w:hAnsi="仿宋_GB2312" w:eastAsia="仿宋_GB2312" w:cs="仿宋_GB2312"/>
                <w:b w:val="0"/>
                <w:bCs w:val="0"/>
                <w:snapToGrid w:val="0"/>
                <w:color w:val="000000"/>
                <w:kern w:val="0"/>
                <w:sz w:val="21"/>
                <w:szCs w:val="21"/>
                <w:lang w:val="en-US" w:eastAsia="zh-CN"/>
              </w:rPr>
              <w:br w:type="textWrapping"/>
            </w:r>
            <w:r>
              <w:rPr>
                <w:rFonts w:hint="eastAsia" w:ascii="仿宋_GB2312" w:hAnsi="仿宋_GB2312" w:eastAsia="仿宋_GB2312" w:cs="仿宋_GB2312"/>
                <w:b w:val="0"/>
                <w:bCs w:val="0"/>
                <w:snapToGrid w:val="0"/>
                <w:color w:val="000000"/>
                <w:kern w:val="0"/>
                <w:sz w:val="21"/>
                <w:szCs w:val="21"/>
                <w:lang w:val="en-US" w:eastAsia="zh-CN"/>
              </w:rPr>
              <w:t>2.《企业投资项目核准和备案管理办法》第五十六条第二款  以欺骗、贿赂等不正当手段取得项目核准文件，尚未开工建设的，由核准机关撤销核准文件，处项目总投资额 1‰以上5‰以下的罚款；已经开工建设的，依照前款规定予以处罚；构成犯罪的，依法追究刑事责任。</w:t>
            </w:r>
          </w:p>
        </w:tc>
        <w:tc>
          <w:tcPr>
            <w:tcW w:w="817" w:type="dxa"/>
            <w:shd w:val="clear" w:color="auto" w:fill="FFFFFF"/>
            <w:noWrap/>
            <w:tcMar>
              <w:left w:w="108" w:type="dxa"/>
              <w:right w:w="108" w:type="dxa"/>
            </w:tcMar>
            <w:vAlign w:val="center"/>
          </w:tcPr>
          <w:p w14:paraId="22C55BF1">
            <w:pPr>
              <w:pStyle w:val="7"/>
              <w:keepNext w:val="0"/>
              <w:keepLines w:val="0"/>
              <w:pageBreakBefore w:val="0"/>
              <w:widowControl/>
              <w:kinsoku w:val="0"/>
              <w:wordWrap/>
              <w:overflowPunct/>
              <w:topLinePunct w:val="0"/>
              <w:autoSpaceDE w:val="0"/>
              <w:autoSpaceDN w:val="0"/>
              <w:bidi w:val="0"/>
              <w:adjustRightInd w:val="0"/>
              <w:snapToGrid w:val="0"/>
              <w:spacing w:line="260" w:lineRule="exact"/>
              <w:ind w:left="272"/>
              <w:jc w:val="center"/>
              <w:textAlignment w:val="baseline"/>
              <w:rPr>
                <w:rFonts w:hint="eastAsia" w:ascii="仿宋_GB2312" w:hAnsi="仿宋_GB2312" w:eastAsia="仿宋_GB2312" w:cs="仿宋_GB2312"/>
                <w:b w:val="0"/>
                <w:bCs w:val="0"/>
                <w:snapToGrid w:val="0"/>
                <w:color w:val="000000"/>
                <w:kern w:val="0"/>
                <w:sz w:val="21"/>
                <w:szCs w:val="21"/>
              </w:rPr>
            </w:pPr>
          </w:p>
        </w:tc>
      </w:tr>
      <w:tr w14:paraId="579C32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45" w:hRule="atLeast"/>
        </w:trPr>
        <w:tc>
          <w:tcPr>
            <w:tcW w:w="745" w:type="dxa"/>
            <w:shd w:val="clear" w:color="auto" w:fill="FFFFFF"/>
            <w:tcMar>
              <w:left w:w="108" w:type="dxa"/>
              <w:right w:w="108" w:type="dxa"/>
            </w:tcMar>
            <w:vAlign w:val="center"/>
          </w:tcPr>
          <w:p w14:paraId="4C8BDF4D">
            <w:pPr>
              <w:pStyle w:val="7"/>
              <w:keepNext w:val="0"/>
              <w:keepLines w:val="0"/>
              <w:pageBreakBefore w:val="0"/>
              <w:widowControl/>
              <w:kinsoku w:val="0"/>
              <w:wordWrap/>
              <w:overflowPunct/>
              <w:topLinePunct w:val="0"/>
              <w:autoSpaceDE w:val="0"/>
              <w:autoSpaceDN w:val="0"/>
              <w:bidi w:val="0"/>
              <w:adjustRightInd w:val="0"/>
              <w:snapToGrid w:val="0"/>
              <w:spacing w:line="260" w:lineRule="exact"/>
              <w:ind w:left="272"/>
              <w:jc w:val="center"/>
              <w:textAlignment w:val="baseline"/>
              <w:rPr>
                <w:rFonts w:hint="default" w:ascii="仿宋_GB2312" w:hAnsi="仿宋_GB2312" w:eastAsia="仿宋_GB2312" w:cs="仿宋_GB2312"/>
                <w:b w:val="0"/>
                <w:bCs w:val="0"/>
                <w:snapToGrid w:val="0"/>
                <w:color w:val="000000"/>
                <w:kern w:val="0"/>
                <w:sz w:val="21"/>
                <w:szCs w:val="21"/>
                <w:lang w:val="en-US"/>
              </w:rPr>
            </w:pPr>
            <w:r>
              <w:rPr>
                <w:rFonts w:hint="eastAsia" w:ascii="仿宋_GB2312" w:hAnsi="仿宋_GB2312" w:eastAsia="仿宋_GB2312" w:cs="仿宋_GB2312"/>
                <w:b w:val="0"/>
                <w:bCs w:val="0"/>
                <w:snapToGrid w:val="0"/>
                <w:color w:val="000000"/>
                <w:kern w:val="0"/>
                <w:sz w:val="21"/>
                <w:szCs w:val="21"/>
                <w:lang w:val="en-US" w:eastAsia="zh-CN"/>
              </w:rPr>
              <w:t>25</w:t>
            </w:r>
          </w:p>
        </w:tc>
        <w:tc>
          <w:tcPr>
            <w:tcW w:w="1334" w:type="dxa"/>
            <w:shd w:val="clear" w:color="auto" w:fill="FFFFFF"/>
            <w:tcMar>
              <w:left w:w="108" w:type="dxa"/>
              <w:right w:w="108" w:type="dxa"/>
            </w:tcMar>
            <w:vAlign w:val="center"/>
          </w:tcPr>
          <w:p w14:paraId="6EA2D1F0">
            <w:pPr>
              <w:pStyle w:val="7"/>
              <w:keepNext w:val="0"/>
              <w:keepLines w:val="0"/>
              <w:pageBreakBefore w:val="0"/>
              <w:widowControl/>
              <w:kinsoku w:val="0"/>
              <w:wordWrap/>
              <w:overflowPunct/>
              <w:topLinePunct w:val="0"/>
              <w:autoSpaceDE w:val="0"/>
              <w:autoSpaceDN w:val="0"/>
              <w:bidi w:val="0"/>
              <w:adjustRightInd w:val="0"/>
              <w:snapToGrid w:val="0"/>
              <w:spacing w:line="260" w:lineRule="exact"/>
              <w:ind w:left="272"/>
              <w:jc w:val="center"/>
              <w:textAlignment w:val="baseline"/>
              <w:rPr>
                <w:rFonts w:hint="eastAsia" w:ascii="仿宋_GB2312" w:hAnsi="仿宋_GB2312" w:eastAsia="仿宋_GB2312" w:cs="仿宋_GB2312"/>
                <w:b w:val="0"/>
                <w:bCs w:val="0"/>
                <w:snapToGrid w:val="0"/>
                <w:color w:val="000000"/>
                <w:kern w:val="0"/>
                <w:sz w:val="21"/>
                <w:szCs w:val="21"/>
              </w:rPr>
            </w:pPr>
            <w:r>
              <w:rPr>
                <w:rFonts w:hint="eastAsia" w:ascii="仿宋_GB2312" w:hAnsi="仿宋_GB2312" w:eastAsia="仿宋_GB2312" w:cs="仿宋_GB2312"/>
                <w:b w:val="0"/>
                <w:bCs w:val="0"/>
                <w:snapToGrid w:val="0"/>
                <w:color w:val="000000"/>
                <w:kern w:val="0"/>
                <w:sz w:val="21"/>
                <w:szCs w:val="21"/>
                <w:lang w:val="en-US" w:eastAsia="zh-CN"/>
              </w:rPr>
              <w:t>对企业未依法将备案制项目信息或者已备案项目信息变更情况告知备案机关，或者向备案机关提供虚假信息的行政处罚</w:t>
            </w:r>
          </w:p>
        </w:tc>
        <w:tc>
          <w:tcPr>
            <w:tcW w:w="1085" w:type="dxa"/>
            <w:shd w:val="clear" w:color="auto" w:fill="FFFFFF"/>
            <w:tcMar>
              <w:left w:w="108" w:type="dxa"/>
              <w:right w:w="108" w:type="dxa"/>
            </w:tcMar>
            <w:vAlign w:val="center"/>
          </w:tcPr>
          <w:p w14:paraId="51823B90">
            <w:pPr>
              <w:pStyle w:val="7"/>
              <w:keepNext w:val="0"/>
              <w:keepLines w:val="0"/>
              <w:pageBreakBefore w:val="0"/>
              <w:widowControl/>
              <w:kinsoku w:val="0"/>
              <w:wordWrap/>
              <w:overflowPunct/>
              <w:topLinePunct w:val="0"/>
              <w:autoSpaceDE w:val="0"/>
              <w:autoSpaceDN w:val="0"/>
              <w:bidi w:val="0"/>
              <w:adjustRightInd w:val="0"/>
              <w:snapToGrid w:val="0"/>
              <w:spacing w:line="260" w:lineRule="exact"/>
              <w:ind w:left="272"/>
              <w:jc w:val="center"/>
              <w:textAlignment w:val="baseline"/>
              <w:rPr>
                <w:rFonts w:hint="eastAsia" w:ascii="仿宋_GB2312" w:hAnsi="仿宋_GB2312" w:eastAsia="仿宋_GB2312" w:cs="仿宋_GB2312"/>
                <w:b w:val="0"/>
                <w:bCs w:val="0"/>
                <w:snapToGrid w:val="0"/>
                <w:color w:val="000000"/>
                <w:kern w:val="0"/>
                <w:sz w:val="21"/>
                <w:szCs w:val="21"/>
              </w:rPr>
            </w:pPr>
            <w:r>
              <w:rPr>
                <w:rFonts w:hint="eastAsia" w:ascii="仿宋_GB2312" w:hAnsi="仿宋_GB2312" w:eastAsia="仿宋_GB2312" w:cs="仿宋_GB2312"/>
                <w:b w:val="0"/>
                <w:bCs w:val="0"/>
                <w:snapToGrid w:val="0"/>
                <w:color w:val="000000"/>
                <w:kern w:val="0"/>
                <w:sz w:val="21"/>
                <w:szCs w:val="21"/>
                <w:lang w:val="en-US" w:eastAsia="zh-CN"/>
              </w:rPr>
              <w:t>行政处罚</w:t>
            </w:r>
          </w:p>
        </w:tc>
        <w:tc>
          <w:tcPr>
            <w:tcW w:w="1179" w:type="dxa"/>
            <w:shd w:val="clear" w:color="auto" w:fill="FFFFFF"/>
            <w:tcMar>
              <w:left w:w="108" w:type="dxa"/>
              <w:right w:w="108" w:type="dxa"/>
            </w:tcMar>
            <w:vAlign w:val="center"/>
          </w:tcPr>
          <w:p w14:paraId="3B4E5A77">
            <w:pPr>
              <w:pStyle w:val="7"/>
              <w:keepNext w:val="0"/>
              <w:keepLines w:val="0"/>
              <w:pageBreakBefore w:val="0"/>
              <w:widowControl/>
              <w:kinsoku w:val="0"/>
              <w:wordWrap/>
              <w:overflowPunct/>
              <w:topLinePunct w:val="0"/>
              <w:autoSpaceDE w:val="0"/>
              <w:autoSpaceDN w:val="0"/>
              <w:bidi w:val="0"/>
              <w:adjustRightInd w:val="0"/>
              <w:snapToGrid w:val="0"/>
              <w:spacing w:line="260" w:lineRule="exact"/>
              <w:ind w:left="272" w:leftChars="0"/>
              <w:jc w:val="center"/>
              <w:textAlignment w:val="baseline"/>
              <w:rPr>
                <w:rFonts w:hint="eastAsia" w:ascii="仿宋_GB2312" w:hAnsi="仿宋_GB2312" w:eastAsia="仿宋_GB2312" w:cs="仿宋_GB2312"/>
                <w:b w:val="0"/>
                <w:bCs w:val="0"/>
                <w:snapToGrid w:val="0"/>
                <w:color w:val="000000"/>
                <w:kern w:val="0"/>
                <w:sz w:val="21"/>
                <w:szCs w:val="21"/>
              </w:rPr>
            </w:pPr>
            <w:r>
              <w:rPr>
                <w:rFonts w:hint="eastAsia" w:ascii="仿宋_GB2312" w:hAnsi="仿宋_GB2312" w:eastAsia="仿宋_GB2312" w:cs="仿宋_GB2312"/>
                <w:b w:val="0"/>
                <w:bCs w:val="0"/>
                <w:snapToGrid w:val="0"/>
                <w:color w:val="000000"/>
                <w:kern w:val="0"/>
                <w:sz w:val="21"/>
                <w:szCs w:val="21"/>
                <w:lang w:val="en-US" w:eastAsia="zh-CN"/>
              </w:rPr>
              <w:t>零陵区发改局</w:t>
            </w:r>
          </w:p>
        </w:tc>
        <w:tc>
          <w:tcPr>
            <w:tcW w:w="1444" w:type="dxa"/>
            <w:shd w:val="clear" w:color="auto" w:fill="FFFFFF"/>
            <w:tcMar>
              <w:left w:w="108" w:type="dxa"/>
              <w:right w:w="108" w:type="dxa"/>
            </w:tcMar>
            <w:vAlign w:val="center"/>
          </w:tcPr>
          <w:p w14:paraId="453E0158">
            <w:pPr>
              <w:pStyle w:val="7"/>
              <w:keepNext w:val="0"/>
              <w:keepLines w:val="0"/>
              <w:pageBreakBefore w:val="0"/>
              <w:widowControl/>
              <w:kinsoku w:val="0"/>
              <w:wordWrap/>
              <w:overflowPunct/>
              <w:topLinePunct w:val="0"/>
              <w:autoSpaceDE w:val="0"/>
              <w:autoSpaceDN w:val="0"/>
              <w:bidi w:val="0"/>
              <w:adjustRightInd w:val="0"/>
              <w:snapToGrid w:val="0"/>
              <w:spacing w:line="260" w:lineRule="exact"/>
              <w:ind w:left="272" w:leftChars="0"/>
              <w:jc w:val="center"/>
              <w:textAlignment w:val="baseline"/>
              <w:rPr>
                <w:rFonts w:hint="eastAsia" w:ascii="仿宋_GB2312" w:hAnsi="仿宋_GB2312" w:eastAsia="仿宋_GB2312" w:cs="仿宋_GB2312"/>
                <w:b w:val="0"/>
                <w:bCs w:val="0"/>
                <w:snapToGrid w:val="0"/>
                <w:color w:val="000000"/>
                <w:kern w:val="0"/>
                <w:sz w:val="21"/>
                <w:szCs w:val="21"/>
              </w:rPr>
            </w:pPr>
            <w:r>
              <w:rPr>
                <w:rFonts w:hint="eastAsia" w:ascii="仿宋_GB2312" w:hAnsi="仿宋_GB2312" w:eastAsia="仿宋_GB2312" w:cs="仿宋_GB2312"/>
                <w:b w:val="0"/>
                <w:bCs w:val="0"/>
                <w:snapToGrid w:val="0"/>
                <w:color w:val="000000"/>
                <w:kern w:val="0"/>
                <w:sz w:val="21"/>
                <w:szCs w:val="21"/>
                <w:lang w:val="en-US" w:eastAsia="zh-CN"/>
              </w:rPr>
              <w:t>投资股、社发股、财贸股、能源股、地区经济股、工高股、农经股、等业务股室</w:t>
            </w:r>
          </w:p>
        </w:tc>
        <w:tc>
          <w:tcPr>
            <w:tcW w:w="8616" w:type="dxa"/>
            <w:shd w:val="clear" w:color="auto" w:fill="FFFFFF"/>
            <w:tcMar>
              <w:left w:w="108" w:type="dxa"/>
              <w:right w:w="108" w:type="dxa"/>
            </w:tcMar>
            <w:vAlign w:val="center"/>
          </w:tcPr>
          <w:p w14:paraId="6BFEE6D8">
            <w:pPr>
              <w:pStyle w:val="7"/>
              <w:keepNext w:val="0"/>
              <w:keepLines w:val="0"/>
              <w:pageBreakBefore w:val="0"/>
              <w:widowControl/>
              <w:kinsoku w:val="0"/>
              <w:wordWrap/>
              <w:overflowPunct/>
              <w:topLinePunct w:val="0"/>
              <w:autoSpaceDE w:val="0"/>
              <w:autoSpaceDN w:val="0"/>
              <w:bidi w:val="0"/>
              <w:adjustRightInd w:val="0"/>
              <w:snapToGrid w:val="0"/>
              <w:spacing w:line="260" w:lineRule="exact"/>
              <w:ind w:left="272"/>
              <w:jc w:val="left"/>
              <w:textAlignment w:val="baseline"/>
              <w:rPr>
                <w:rFonts w:hint="eastAsia" w:ascii="仿宋_GB2312" w:hAnsi="仿宋_GB2312" w:eastAsia="仿宋_GB2312" w:cs="仿宋_GB2312"/>
                <w:b w:val="0"/>
                <w:bCs w:val="0"/>
                <w:snapToGrid w:val="0"/>
                <w:color w:val="000000"/>
                <w:kern w:val="0"/>
                <w:sz w:val="21"/>
                <w:szCs w:val="21"/>
              </w:rPr>
            </w:pPr>
            <w:r>
              <w:rPr>
                <w:rFonts w:hint="eastAsia" w:ascii="仿宋_GB2312" w:hAnsi="仿宋_GB2312" w:eastAsia="仿宋_GB2312" w:cs="仿宋_GB2312"/>
                <w:b w:val="0"/>
                <w:bCs w:val="0"/>
                <w:snapToGrid w:val="0"/>
                <w:color w:val="000000"/>
                <w:kern w:val="0"/>
                <w:sz w:val="21"/>
                <w:szCs w:val="21"/>
                <w:lang w:val="en-US" w:eastAsia="zh-CN"/>
              </w:rPr>
              <w:t>1.《企业投资项目核准和备案管理条例》第十九条  实行备案管理的项目，企业未依照本条例规定将项目信息或者已备案项目的信息变更情况告知备案机关，或者向备案机关提供虚假信息的，由备案机关责令限期改正；逾期不改正的，处2万元以上5万元以下的罚款。</w:t>
            </w:r>
            <w:r>
              <w:rPr>
                <w:rFonts w:hint="eastAsia" w:ascii="仿宋_GB2312" w:hAnsi="仿宋_GB2312" w:eastAsia="仿宋_GB2312" w:cs="仿宋_GB2312"/>
                <w:b w:val="0"/>
                <w:bCs w:val="0"/>
                <w:snapToGrid w:val="0"/>
                <w:color w:val="000000"/>
                <w:kern w:val="0"/>
                <w:sz w:val="21"/>
                <w:szCs w:val="21"/>
                <w:lang w:val="en-US" w:eastAsia="zh-CN"/>
              </w:rPr>
              <w:br w:type="textWrapping"/>
            </w:r>
            <w:r>
              <w:rPr>
                <w:rFonts w:hint="eastAsia" w:ascii="仿宋_GB2312" w:hAnsi="仿宋_GB2312" w:eastAsia="仿宋_GB2312" w:cs="仿宋_GB2312"/>
                <w:b w:val="0"/>
                <w:bCs w:val="0"/>
                <w:snapToGrid w:val="0"/>
                <w:color w:val="000000"/>
                <w:kern w:val="0"/>
                <w:sz w:val="21"/>
                <w:szCs w:val="21"/>
                <w:lang w:val="en-US" w:eastAsia="zh-CN"/>
              </w:rPr>
              <w:t>2.《企业投资项目核准和备案管理办法》第五十七条  实行备案管理的项目，企业未依法将项目信息或者已备案项目信息变更情况告知备案机关，或者向备案机关提供虚假信息的，由备案机关责令限期改正；逾期不改正的，处2万元以上5万元以下的罚款。</w:t>
            </w:r>
          </w:p>
        </w:tc>
        <w:tc>
          <w:tcPr>
            <w:tcW w:w="817" w:type="dxa"/>
            <w:shd w:val="clear" w:color="auto" w:fill="FFFFFF"/>
            <w:noWrap/>
            <w:tcMar>
              <w:left w:w="108" w:type="dxa"/>
              <w:right w:w="108" w:type="dxa"/>
            </w:tcMar>
            <w:vAlign w:val="center"/>
          </w:tcPr>
          <w:p w14:paraId="57FEACA0">
            <w:pPr>
              <w:pStyle w:val="7"/>
              <w:keepNext w:val="0"/>
              <w:keepLines w:val="0"/>
              <w:pageBreakBefore w:val="0"/>
              <w:widowControl/>
              <w:kinsoku w:val="0"/>
              <w:wordWrap/>
              <w:overflowPunct/>
              <w:topLinePunct w:val="0"/>
              <w:autoSpaceDE w:val="0"/>
              <w:autoSpaceDN w:val="0"/>
              <w:bidi w:val="0"/>
              <w:adjustRightInd w:val="0"/>
              <w:snapToGrid w:val="0"/>
              <w:spacing w:line="260" w:lineRule="exact"/>
              <w:ind w:left="272"/>
              <w:jc w:val="center"/>
              <w:textAlignment w:val="baseline"/>
              <w:rPr>
                <w:rFonts w:hint="eastAsia" w:ascii="仿宋_GB2312" w:hAnsi="仿宋_GB2312" w:eastAsia="仿宋_GB2312" w:cs="仿宋_GB2312"/>
                <w:b w:val="0"/>
                <w:bCs w:val="0"/>
                <w:snapToGrid w:val="0"/>
                <w:color w:val="000000"/>
                <w:kern w:val="0"/>
                <w:sz w:val="21"/>
                <w:szCs w:val="21"/>
              </w:rPr>
            </w:pPr>
          </w:p>
        </w:tc>
      </w:tr>
      <w:tr w14:paraId="68A4DA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55" w:hRule="atLeast"/>
        </w:trPr>
        <w:tc>
          <w:tcPr>
            <w:tcW w:w="745" w:type="dxa"/>
            <w:shd w:val="clear" w:color="auto" w:fill="FFFFFF"/>
            <w:tcMar>
              <w:left w:w="108" w:type="dxa"/>
              <w:right w:w="108" w:type="dxa"/>
            </w:tcMar>
            <w:vAlign w:val="center"/>
          </w:tcPr>
          <w:p w14:paraId="781F73A0">
            <w:pPr>
              <w:pStyle w:val="7"/>
              <w:keepNext w:val="0"/>
              <w:keepLines w:val="0"/>
              <w:pageBreakBefore w:val="0"/>
              <w:widowControl/>
              <w:kinsoku w:val="0"/>
              <w:wordWrap/>
              <w:overflowPunct/>
              <w:topLinePunct w:val="0"/>
              <w:autoSpaceDE w:val="0"/>
              <w:autoSpaceDN w:val="0"/>
              <w:bidi w:val="0"/>
              <w:adjustRightInd w:val="0"/>
              <w:snapToGrid w:val="0"/>
              <w:spacing w:line="260" w:lineRule="exact"/>
              <w:ind w:left="272"/>
              <w:jc w:val="center"/>
              <w:textAlignment w:val="baseline"/>
              <w:rPr>
                <w:rFonts w:hint="default" w:ascii="仿宋_GB2312" w:hAnsi="仿宋_GB2312" w:eastAsia="仿宋_GB2312" w:cs="仿宋_GB2312"/>
                <w:b w:val="0"/>
                <w:bCs w:val="0"/>
                <w:snapToGrid w:val="0"/>
                <w:color w:val="000000"/>
                <w:kern w:val="0"/>
                <w:sz w:val="21"/>
                <w:szCs w:val="21"/>
                <w:lang w:val="en-US"/>
              </w:rPr>
            </w:pPr>
            <w:r>
              <w:rPr>
                <w:rFonts w:hint="eastAsia" w:ascii="仿宋_GB2312" w:hAnsi="仿宋_GB2312" w:eastAsia="仿宋_GB2312" w:cs="仿宋_GB2312"/>
                <w:b w:val="0"/>
                <w:bCs w:val="0"/>
                <w:snapToGrid w:val="0"/>
                <w:color w:val="000000"/>
                <w:kern w:val="0"/>
                <w:sz w:val="21"/>
                <w:szCs w:val="21"/>
                <w:lang w:val="en-US" w:eastAsia="zh-CN"/>
              </w:rPr>
              <w:t>26</w:t>
            </w:r>
          </w:p>
        </w:tc>
        <w:tc>
          <w:tcPr>
            <w:tcW w:w="1334" w:type="dxa"/>
            <w:shd w:val="clear" w:color="auto" w:fill="FFFFFF"/>
            <w:tcMar>
              <w:left w:w="108" w:type="dxa"/>
              <w:right w:w="108" w:type="dxa"/>
            </w:tcMar>
            <w:vAlign w:val="center"/>
          </w:tcPr>
          <w:p w14:paraId="627B393D">
            <w:pPr>
              <w:pStyle w:val="7"/>
              <w:keepNext w:val="0"/>
              <w:keepLines w:val="0"/>
              <w:pageBreakBefore w:val="0"/>
              <w:widowControl/>
              <w:kinsoku w:val="0"/>
              <w:wordWrap/>
              <w:overflowPunct/>
              <w:topLinePunct w:val="0"/>
              <w:autoSpaceDE w:val="0"/>
              <w:autoSpaceDN w:val="0"/>
              <w:bidi w:val="0"/>
              <w:adjustRightInd w:val="0"/>
              <w:snapToGrid w:val="0"/>
              <w:spacing w:line="260" w:lineRule="exact"/>
              <w:ind w:left="272"/>
              <w:jc w:val="center"/>
              <w:textAlignment w:val="baseline"/>
              <w:rPr>
                <w:rFonts w:hint="eastAsia" w:ascii="仿宋_GB2312" w:hAnsi="仿宋_GB2312" w:eastAsia="仿宋_GB2312" w:cs="仿宋_GB2312"/>
                <w:b w:val="0"/>
                <w:bCs w:val="0"/>
                <w:snapToGrid w:val="0"/>
                <w:color w:val="000000"/>
                <w:kern w:val="0"/>
                <w:sz w:val="21"/>
                <w:szCs w:val="21"/>
              </w:rPr>
            </w:pPr>
            <w:r>
              <w:rPr>
                <w:rFonts w:hint="eastAsia" w:ascii="仿宋_GB2312" w:hAnsi="仿宋_GB2312" w:eastAsia="仿宋_GB2312" w:cs="仿宋_GB2312"/>
                <w:b w:val="0"/>
                <w:bCs w:val="0"/>
                <w:snapToGrid w:val="0"/>
                <w:color w:val="000000"/>
                <w:kern w:val="0"/>
                <w:sz w:val="21"/>
                <w:szCs w:val="21"/>
                <w:lang w:val="en-US" w:eastAsia="zh-CN"/>
              </w:rPr>
              <w:t>对企业投资建设产业政策禁止投资建设项目的行政处罚</w:t>
            </w:r>
          </w:p>
        </w:tc>
        <w:tc>
          <w:tcPr>
            <w:tcW w:w="1085" w:type="dxa"/>
            <w:shd w:val="clear" w:color="auto" w:fill="FFFFFF"/>
            <w:noWrap/>
            <w:tcMar>
              <w:left w:w="108" w:type="dxa"/>
              <w:right w:w="108" w:type="dxa"/>
            </w:tcMar>
            <w:vAlign w:val="center"/>
          </w:tcPr>
          <w:p w14:paraId="69B474F8">
            <w:pPr>
              <w:pStyle w:val="7"/>
              <w:keepNext w:val="0"/>
              <w:keepLines w:val="0"/>
              <w:pageBreakBefore w:val="0"/>
              <w:widowControl/>
              <w:kinsoku w:val="0"/>
              <w:wordWrap/>
              <w:overflowPunct/>
              <w:topLinePunct w:val="0"/>
              <w:autoSpaceDE w:val="0"/>
              <w:autoSpaceDN w:val="0"/>
              <w:bidi w:val="0"/>
              <w:adjustRightInd w:val="0"/>
              <w:snapToGrid w:val="0"/>
              <w:spacing w:line="260" w:lineRule="exact"/>
              <w:ind w:left="272"/>
              <w:jc w:val="center"/>
              <w:textAlignment w:val="baseline"/>
              <w:rPr>
                <w:rFonts w:hint="eastAsia" w:ascii="仿宋_GB2312" w:hAnsi="仿宋_GB2312" w:eastAsia="仿宋_GB2312" w:cs="仿宋_GB2312"/>
                <w:b w:val="0"/>
                <w:bCs w:val="0"/>
                <w:snapToGrid w:val="0"/>
                <w:color w:val="000000"/>
                <w:kern w:val="0"/>
                <w:sz w:val="21"/>
                <w:szCs w:val="21"/>
              </w:rPr>
            </w:pPr>
            <w:r>
              <w:rPr>
                <w:rFonts w:hint="eastAsia" w:ascii="仿宋_GB2312" w:hAnsi="仿宋_GB2312" w:eastAsia="仿宋_GB2312" w:cs="仿宋_GB2312"/>
                <w:b w:val="0"/>
                <w:bCs w:val="0"/>
                <w:snapToGrid w:val="0"/>
                <w:color w:val="000000"/>
                <w:kern w:val="0"/>
                <w:sz w:val="21"/>
                <w:szCs w:val="21"/>
                <w:lang w:val="en-US" w:eastAsia="zh-CN"/>
              </w:rPr>
              <w:t>行政处罚</w:t>
            </w:r>
          </w:p>
        </w:tc>
        <w:tc>
          <w:tcPr>
            <w:tcW w:w="1179" w:type="dxa"/>
            <w:shd w:val="clear" w:color="auto" w:fill="FFFFFF"/>
            <w:tcMar>
              <w:left w:w="108" w:type="dxa"/>
              <w:right w:w="108" w:type="dxa"/>
            </w:tcMar>
            <w:vAlign w:val="center"/>
          </w:tcPr>
          <w:p w14:paraId="0668B3D5">
            <w:pPr>
              <w:pStyle w:val="7"/>
              <w:keepNext w:val="0"/>
              <w:keepLines w:val="0"/>
              <w:pageBreakBefore w:val="0"/>
              <w:widowControl/>
              <w:kinsoku w:val="0"/>
              <w:wordWrap/>
              <w:overflowPunct/>
              <w:topLinePunct w:val="0"/>
              <w:autoSpaceDE w:val="0"/>
              <w:autoSpaceDN w:val="0"/>
              <w:bidi w:val="0"/>
              <w:adjustRightInd w:val="0"/>
              <w:snapToGrid w:val="0"/>
              <w:spacing w:line="260" w:lineRule="exact"/>
              <w:ind w:left="272" w:leftChars="0"/>
              <w:jc w:val="center"/>
              <w:textAlignment w:val="baseline"/>
              <w:rPr>
                <w:rFonts w:hint="eastAsia" w:ascii="仿宋_GB2312" w:hAnsi="仿宋_GB2312" w:eastAsia="仿宋_GB2312" w:cs="仿宋_GB2312"/>
                <w:b w:val="0"/>
                <w:bCs w:val="0"/>
                <w:snapToGrid w:val="0"/>
                <w:color w:val="000000"/>
                <w:kern w:val="0"/>
                <w:sz w:val="21"/>
                <w:szCs w:val="21"/>
              </w:rPr>
            </w:pPr>
            <w:r>
              <w:rPr>
                <w:rFonts w:hint="eastAsia" w:ascii="仿宋_GB2312" w:hAnsi="仿宋_GB2312" w:eastAsia="仿宋_GB2312" w:cs="仿宋_GB2312"/>
                <w:b w:val="0"/>
                <w:bCs w:val="0"/>
                <w:snapToGrid w:val="0"/>
                <w:color w:val="000000"/>
                <w:kern w:val="0"/>
                <w:sz w:val="21"/>
                <w:szCs w:val="21"/>
                <w:lang w:val="en-US" w:eastAsia="zh-CN"/>
              </w:rPr>
              <w:t>零陵区发改局</w:t>
            </w:r>
          </w:p>
        </w:tc>
        <w:tc>
          <w:tcPr>
            <w:tcW w:w="1444" w:type="dxa"/>
            <w:shd w:val="clear" w:color="auto" w:fill="FFFFFF"/>
            <w:tcMar>
              <w:left w:w="108" w:type="dxa"/>
              <w:right w:w="108" w:type="dxa"/>
            </w:tcMar>
            <w:vAlign w:val="center"/>
          </w:tcPr>
          <w:p w14:paraId="181E481F">
            <w:pPr>
              <w:pStyle w:val="7"/>
              <w:keepNext w:val="0"/>
              <w:keepLines w:val="0"/>
              <w:pageBreakBefore w:val="0"/>
              <w:widowControl/>
              <w:kinsoku w:val="0"/>
              <w:wordWrap/>
              <w:overflowPunct/>
              <w:topLinePunct w:val="0"/>
              <w:autoSpaceDE w:val="0"/>
              <w:autoSpaceDN w:val="0"/>
              <w:bidi w:val="0"/>
              <w:adjustRightInd w:val="0"/>
              <w:snapToGrid w:val="0"/>
              <w:spacing w:line="260" w:lineRule="exact"/>
              <w:ind w:left="272" w:leftChars="0"/>
              <w:jc w:val="center"/>
              <w:textAlignment w:val="baseline"/>
              <w:rPr>
                <w:rFonts w:hint="eastAsia" w:ascii="仿宋_GB2312" w:hAnsi="仿宋_GB2312" w:eastAsia="仿宋_GB2312" w:cs="仿宋_GB2312"/>
                <w:b w:val="0"/>
                <w:bCs w:val="0"/>
                <w:snapToGrid w:val="0"/>
                <w:color w:val="000000"/>
                <w:kern w:val="0"/>
                <w:sz w:val="21"/>
                <w:szCs w:val="21"/>
              </w:rPr>
            </w:pPr>
            <w:bookmarkStart w:id="4" w:name="OLE_LINK7"/>
            <w:r>
              <w:rPr>
                <w:rFonts w:hint="eastAsia" w:ascii="仿宋_GB2312" w:hAnsi="仿宋_GB2312" w:eastAsia="仿宋_GB2312" w:cs="仿宋_GB2312"/>
                <w:b w:val="0"/>
                <w:bCs w:val="0"/>
                <w:snapToGrid w:val="0"/>
                <w:color w:val="000000"/>
                <w:kern w:val="0"/>
                <w:sz w:val="21"/>
                <w:szCs w:val="21"/>
                <w:lang w:val="en-US" w:eastAsia="zh-CN"/>
              </w:rPr>
              <w:t>投资股、社发股、财贸股、能源股、地区经济股、工高股、农经股、等业务股室</w:t>
            </w:r>
            <w:bookmarkEnd w:id="4"/>
          </w:p>
        </w:tc>
        <w:tc>
          <w:tcPr>
            <w:tcW w:w="8616" w:type="dxa"/>
            <w:shd w:val="clear" w:color="auto" w:fill="FFFFFF"/>
            <w:tcMar>
              <w:left w:w="108" w:type="dxa"/>
              <w:right w:w="108" w:type="dxa"/>
            </w:tcMar>
            <w:vAlign w:val="center"/>
          </w:tcPr>
          <w:p w14:paraId="4FFA9CE8">
            <w:pPr>
              <w:pStyle w:val="7"/>
              <w:keepNext w:val="0"/>
              <w:keepLines w:val="0"/>
              <w:pageBreakBefore w:val="0"/>
              <w:widowControl/>
              <w:kinsoku w:val="0"/>
              <w:wordWrap/>
              <w:overflowPunct/>
              <w:topLinePunct w:val="0"/>
              <w:autoSpaceDE w:val="0"/>
              <w:autoSpaceDN w:val="0"/>
              <w:bidi w:val="0"/>
              <w:adjustRightInd w:val="0"/>
              <w:snapToGrid w:val="0"/>
              <w:spacing w:line="260" w:lineRule="exact"/>
              <w:ind w:left="272"/>
              <w:jc w:val="left"/>
              <w:textAlignment w:val="baseline"/>
              <w:rPr>
                <w:rFonts w:hint="eastAsia" w:ascii="仿宋_GB2312" w:hAnsi="仿宋_GB2312" w:eastAsia="仿宋_GB2312" w:cs="仿宋_GB2312"/>
                <w:b w:val="0"/>
                <w:bCs w:val="0"/>
                <w:snapToGrid w:val="0"/>
                <w:color w:val="000000"/>
                <w:kern w:val="0"/>
                <w:sz w:val="21"/>
                <w:szCs w:val="21"/>
              </w:rPr>
            </w:pPr>
            <w:r>
              <w:rPr>
                <w:rFonts w:hint="eastAsia" w:ascii="仿宋_GB2312" w:hAnsi="仿宋_GB2312" w:eastAsia="仿宋_GB2312" w:cs="仿宋_GB2312"/>
                <w:b w:val="0"/>
                <w:bCs w:val="0"/>
                <w:snapToGrid w:val="0"/>
                <w:color w:val="000000"/>
                <w:kern w:val="0"/>
                <w:sz w:val="21"/>
                <w:szCs w:val="21"/>
                <w:lang w:val="en-US" w:eastAsia="zh-CN"/>
              </w:rPr>
              <w:t>1.《企业投资项目核准和备案管理条例》第二十条  企业投资建设产业政策禁止投资建设项目的，由县级以上人民政府投资主管部门责令停止建设或者责令停产并恢复原状，对企业处项目总投资额5‰以上10‰以下的罚款；对直接负责的主管人员和其他直接责任人员处5万元以上10万元以下的罚款，属于国家工作人员的，依法给予处分。法律、行政法规另有规定的，依照其规定。</w:t>
            </w:r>
            <w:r>
              <w:rPr>
                <w:rFonts w:hint="eastAsia" w:ascii="仿宋_GB2312" w:hAnsi="仿宋_GB2312" w:eastAsia="仿宋_GB2312" w:cs="仿宋_GB2312"/>
                <w:b w:val="0"/>
                <w:bCs w:val="0"/>
                <w:snapToGrid w:val="0"/>
                <w:color w:val="000000"/>
                <w:kern w:val="0"/>
                <w:sz w:val="21"/>
                <w:szCs w:val="21"/>
                <w:lang w:val="en-US" w:eastAsia="zh-CN"/>
              </w:rPr>
              <w:br w:type="textWrapping"/>
            </w:r>
            <w:r>
              <w:rPr>
                <w:rFonts w:hint="eastAsia" w:ascii="仿宋_GB2312" w:hAnsi="仿宋_GB2312" w:eastAsia="仿宋_GB2312" w:cs="仿宋_GB2312"/>
                <w:b w:val="0"/>
                <w:bCs w:val="0"/>
                <w:snapToGrid w:val="0"/>
                <w:color w:val="000000"/>
                <w:kern w:val="0"/>
                <w:sz w:val="21"/>
                <w:szCs w:val="21"/>
                <w:lang w:val="en-US" w:eastAsia="zh-CN"/>
              </w:rPr>
              <w:t>2.《企业投资项目核准和备案管理办法》第五十八条  企业投资建设产业政策禁止投资建设项目的，由县级以上人民政府投资主管部门责令停止建设或者责令停产并恢复原状，对企业处项目总投资额5‰以上10‰以下的罚款；对直接负责的主管人员和其他直接责任人员处 5 万元以上 10 万元以下的罚款，属于国家工作人员的，依法给予处分。</w:t>
            </w:r>
            <w:r>
              <w:rPr>
                <w:rFonts w:hint="eastAsia" w:ascii="仿宋_GB2312" w:hAnsi="仿宋_GB2312" w:eastAsia="仿宋_GB2312" w:cs="仿宋_GB2312"/>
                <w:b w:val="0"/>
                <w:bCs w:val="0"/>
                <w:snapToGrid w:val="0"/>
                <w:color w:val="000000"/>
                <w:kern w:val="0"/>
                <w:sz w:val="21"/>
                <w:szCs w:val="21"/>
                <w:lang w:val="en-US" w:eastAsia="zh-CN"/>
              </w:rPr>
              <w:br w:type="textWrapping"/>
            </w:r>
            <w:r>
              <w:rPr>
                <w:rFonts w:hint="eastAsia" w:ascii="仿宋_GB2312" w:hAnsi="仿宋_GB2312" w:eastAsia="仿宋_GB2312" w:cs="仿宋_GB2312"/>
                <w:b w:val="0"/>
                <w:bCs w:val="0"/>
                <w:snapToGrid w:val="0"/>
                <w:color w:val="000000"/>
                <w:kern w:val="0"/>
                <w:sz w:val="21"/>
                <w:szCs w:val="21"/>
                <w:lang w:val="en-US" w:eastAsia="zh-CN"/>
              </w:rPr>
              <w:t>法律、行政法规另有规定的，依照其规定。</w:t>
            </w:r>
          </w:p>
        </w:tc>
        <w:tc>
          <w:tcPr>
            <w:tcW w:w="817" w:type="dxa"/>
            <w:shd w:val="clear" w:color="auto" w:fill="FFFFFF"/>
            <w:noWrap/>
            <w:tcMar>
              <w:left w:w="108" w:type="dxa"/>
              <w:right w:w="108" w:type="dxa"/>
            </w:tcMar>
            <w:vAlign w:val="center"/>
          </w:tcPr>
          <w:p w14:paraId="03B0D82C">
            <w:pPr>
              <w:pStyle w:val="7"/>
              <w:keepNext w:val="0"/>
              <w:keepLines w:val="0"/>
              <w:pageBreakBefore w:val="0"/>
              <w:widowControl/>
              <w:kinsoku w:val="0"/>
              <w:wordWrap/>
              <w:overflowPunct/>
              <w:topLinePunct w:val="0"/>
              <w:autoSpaceDE w:val="0"/>
              <w:autoSpaceDN w:val="0"/>
              <w:bidi w:val="0"/>
              <w:adjustRightInd w:val="0"/>
              <w:snapToGrid w:val="0"/>
              <w:spacing w:line="260" w:lineRule="exact"/>
              <w:ind w:left="272"/>
              <w:jc w:val="center"/>
              <w:textAlignment w:val="baseline"/>
              <w:rPr>
                <w:rFonts w:hint="eastAsia" w:ascii="仿宋_GB2312" w:hAnsi="仿宋_GB2312" w:eastAsia="仿宋_GB2312" w:cs="仿宋_GB2312"/>
                <w:b w:val="0"/>
                <w:bCs w:val="0"/>
                <w:snapToGrid w:val="0"/>
                <w:color w:val="000000"/>
                <w:kern w:val="0"/>
                <w:sz w:val="21"/>
                <w:szCs w:val="21"/>
              </w:rPr>
            </w:pPr>
          </w:p>
        </w:tc>
      </w:tr>
      <w:tr w14:paraId="086D63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0" w:hRule="atLeast"/>
        </w:trPr>
        <w:tc>
          <w:tcPr>
            <w:tcW w:w="745" w:type="dxa"/>
            <w:shd w:val="clear" w:color="auto" w:fill="FFFFFF"/>
            <w:tcMar>
              <w:left w:w="108" w:type="dxa"/>
              <w:right w:w="108" w:type="dxa"/>
            </w:tcMar>
            <w:vAlign w:val="center"/>
          </w:tcPr>
          <w:p w14:paraId="2AD111EC">
            <w:pPr>
              <w:pStyle w:val="7"/>
              <w:keepNext w:val="0"/>
              <w:keepLines w:val="0"/>
              <w:pageBreakBefore w:val="0"/>
              <w:widowControl/>
              <w:kinsoku w:val="0"/>
              <w:wordWrap/>
              <w:overflowPunct/>
              <w:topLinePunct w:val="0"/>
              <w:autoSpaceDE w:val="0"/>
              <w:autoSpaceDN w:val="0"/>
              <w:bidi w:val="0"/>
              <w:adjustRightInd w:val="0"/>
              <w:snapToGrid w:val="0"/>
              <w:spacing w:line="260" w:lineRule="exact"/>
              <w:ind w:left="272"/>
              <w:jc w:val="center"/>
              <w:textAlignment w:val="baseline"/>
              <w:rPr>
                <w:rFonts w:hint="default" w:ascii="仿宋_GB2312" w:hAnsi="仿宋_GB2312" w:eastAsia="仿宋_GB2312" w:cs="仿宋_GB2312"/>
                <w:b w:val="0"/>
                <w:bCs w:val="0"/>
                <w:snapToGrid w:val="0"/>
                <w:color w:val="000000"/>
                <w:kern w:val="0"/>
                <w:sz w:val="21"/>
                <w:szCs w:val="21"/>
                <w:lang w:val="en-US"/>
              </w:rPr>
            </w:pPr>
            <w:bookmarkStart w:id="5" w:name="OLE_LINK5" w:colFirst="3" w:colLast="4"/>
            <w:r>
              <w:rPr>
                <w:rFonts w:hint="eastAsia" w:ascii="仿宋_GB2312" w:hAnsi="仿宋_GB2312" w:eastAsia="仿宋_GB2312" w:cs="仿宋_GB2312"/>
                <w:b w:val="0"/>
                <w:bCs w:val="0"/>
                <w:snapToGrid w:val="0"/>
                <w:color w:val="000000"/>
                <w:kern w:val="0"/>
                <w:sz w:val="21"/>
                <w:szCs w:val="21"/>
                <w:lang w:val="en-US" w:eastAsia="zh-CN"/>
              </w:rPr>
              <w:t>28</w:t>
            </w:r>
          </w:p>
        </w:tc>
        <w:tc>
          <w:tcPr>
            <w:tcW w:w="1334" w:type="dxa"/>
            <w:shd w:val="clear" w:color="auto" w:fill="FFFFFF"/>
            <w:tcMar>
              <w:left w:w="108" w:type="dxa"/>
              <w:right w:w="108" w:type="dxa"/>
            </w:tcMar>
            <w:vAlign w:val="center"/>
          </w:tcPr>
          <w:p w14:paraId="78C123BD">
            <w:pPr>
              <w:pStyle w:val="7"/>
              <w:keepNext w:val="0"/>
              <w:keepLines w:val="0"/>
              <w:pageBreakBefore w:val="0"/>
              <w:widowControl/>
              <w:kinsoku w:val="0"/>
              <w:wordWrap/>
              <w:overflowPunct/>
              <w:topLinePunct w:val="0"/>
              <w:autoSpaceDE w:val="0"/>
              <w:autoSpaceDN w:val="0"/>
              <w:bidi w:val="0"/>
              <w:adjustRightInd w:val="0"/>
              <w:snapToGrid w:val="0"/>
              <w:spacing w:line="260" w:lineRule="exact"/>
              <w:ind w:left="272"/>
              <w:jc w:val="center"/>
              <w:textAlignment w:val="baseline"/>
              <w:rPr>
                <w:rFonts w:hint="eastAsia" w:ascii="仿宋_GB2312" w:hAnsi="仿宋_GB2312" w:eastAsia="仿宋_GB2312" w:cs="仿宋_GB2312"/>
                <w:b w:val="0"/>
                <w:bCs w:val="0"/>
                <w:snapToGrid w:val="0"/>
                <w:color w:val="000000"/>
                <w:kern w:val="0"/>
                <w:sz w:val="21"/>
                <w:szCs w:val="21"/>
              </w:rPr>
            </w:pPr>
            <w:r>
              <w:rPr>
                <w:rFonts w:hint="eastAsia" w:ascii="仿宋_GB2312" w:hAnsi="仿宋_GB2312" w:eastAsia="仿宋_GB2312" w:cs="仿宋_GB2312"/>
                <w:b w:val="0"/>
                <w:bCs w:val="0"/>
                <w:snapToGrid w:val="0"/>
                <w:color w:val="000000"/>
                <w:kern w:val="0"/>
                <w:sz w:val="21"/>
                <w:szCs w:val="21"/>
                <w:lang w:val="en-US" w:eastAsia="zh-CN"/>
              </w:rPr>
              <w:t>对石油天然气管道企业未依法履行管道保护相关义务的行政处罚</w:t>
            </w:r>
          </w:p>
        </w:tc>
        <w:tc>
          <w:tcPr>
            <w:tcW w:w="1085" w:type="dxa"/>
            <w:shd w:val="clear" w:color="auto" w:fill="FFFFFF"/>
            <w:noWrap/>
            <w:tcMar>
              <w:left w:w="108" w:type="dxa"/>
              <w:right w:w="108" w:type="dxa"/>
            </w:tcMar>
            <w:vAlign w:val="center"/>
          </w:tcPr>
          <w:p w14:paraId="34B7470A">
            <w:pPr>
              <w:pStyle w:val="7"/>
              <w:keepNext w:val="0"/>
              <w:keepLines w:val="0"/>
              <w:pageBreakBefore w:val="0"/>
              <w:widowControl/>
              <w:kinsoku w:val="0"/>
              <w:wordWrap/>
              <w:overflowPunct/>
              <w:topLinePunct w:val="0"/>
              <w:autoSpaceDE w:val="0"/>
              <w:autoSpaceDN w:val="0"/>
              <w:bidi w:val="0"/>
              <w:adjustRightInd w:val="0"/>
              <w:snapToGrid w:val="0"/>
              <w:spacing w:line="260" w:lineRule="exact"/>
              <w:ind w:left="272"/>
              <w:jc w:val="center"/>
              <w:textAlignment w:val="baseline"/>
              <w:rPr>
                <w:rFonts w:hint="eastAsia" w:ascii="仿宋_GB2312" w:hAnsi="仿宋_GB2312" w:eastAsia="仿宋_GB2312" w:cs="仿宋_GB2312"/>
                <w:b w:val="0"/>
                <w:bCs w:val="0"/>
                <w:snapToGrid w:val="0"/>
                <w:color w:val="000000"/>
                <w:kern w:val="0"/>
                <w:sz w:val="21"/>
                <w:szCs w:val="21"/>
              </w:rPr>
            </w:pPr>
            <w:r>
              <w:rPr>
                <w:rFonts w:hint="eastAsia" w:ascii="仿宋_GB2312" w:hAnsi="仿宋_GB2312" w:eastAsia="仿宋_GB2312" w:cs="仿宋_GB2312"/>
                <w:b w:val="0"/>
                <w:bCs w:val="0"/>
                <w:snapToGrid w:val="0"/>
                <w:color w:val="000000"/>
                <w:kern w:val="0"/>
                <w:sz w:val="21"/>
                <w:szCs w:val="21"/>
                <w:lang w:val="en-US" w:eastAsia="zh-CN"/>
              </w:rPr>
              <w:t>行政处罚</w:t>
            </w:r>
          </w:p>
        </w:tc>
        <w:tc>
          <w:tcPr>
            <w:tcW w:w="1179" w:type="dxa"/>
            <w:shd w:val="clear" w:color="auto" w:fill="FFFFFF"/>
            <w:tcMar>
              <w:left w:w="108" w:type="dxa"/>
              <w:right w:w="108" w:type="dxa"/>
            </w:tcMar>
            <w:vAlign w:val="center"/>
          </w:tcPr>
          <w:p w14:paraId="0F632AE4">
            <w:pPr>
              <w:pStyle w:val="7"/>
              <w:keepNext w:val="0"/>
              <w:keepLines w:val="0"/>
              <w:pageBreakBefore w:val="0"/>
              <w:widowControl/>
              <w:kinsoku w:val="0"/>
              <w:wordWrap/>
              <w:overflowPunct/>
              <w:topLinePunct w:val="0"/>
              <w:autoSpaceDE w:val="0"/>
              <w:autoSpaceDN w:val="0"/>
              <w:bidi w:val="0"/>
              <w:adjustRightInd w:val="0"/>
              <w:snapToGrid w:val="0"/>
              <w:spacing w:line="260" w:lineRule="exact"/>
              <w:ind w:left="272"/>
              <w:jc w:val="center"/>
              <w:textAlignment w:val="baseline"/>
              <w:rPr>
                <w:rFonts w:hint="default" w:ascii="仿宋_GB2312" w:hAnsi="仿宋_GB2312" w:eastAsia="仿宋_GB2312" w:cs="仿宋_GB2312"/>
                <w:b w:val="0"/>
                <w:bCs w:val="0"/>
                <w:snapToGrid w:val="0"/>
                <w:color w:val="000000"/>
                <w:kern w:val="0"/>
                <w:sz w:val="21"/>
                <w:szCs w:val="21"/>
                <w:lang w:val="en-US"/>
              </w:rPr>
            </w:pPr>
            <w:r>
              <w:rPr>
                <w:rFonts w:hint="eastAsia" w:ascii="仿宋_GB2312" w:hAnsi="仿宋_GB2312" w:eastAsia="仿宋_GB2312" w:cs="仿宋_GB2312"/>
                <w:b w:val="0"/>
                <w:bCs w:val="0"/>
                <w:snapToGrid w:val="0"/>
                <w:color w:val="000000"/>
                <w:kern w:val="0"/>
                <w:sz w:val="21"/>
                <w:szCs w:val="21"/>
                <w:lang w:val="en-US" w:eastAsia="zh-CN"/>
              </w:rPr>
              <w:t>零陵区发改局</w:t>
            </w:r>
          </w:p>
        </w:tc>
        <w:tc>
          <w:tcPr>
            <w:tcW w:w="1444" w:type="dxa"/>
            <w:shd w:val="clear" w:color="auto" w:fill="FFFFFF"/>
            <w:tcMar>
              <w:left w:w="108" w:type="dxa"/>
              <w:right w:w="108" w:type="dxa"/>
            </w:tcMar>
            <w:vAlign w:val="center"/>
          </w:tcPr>
          <w:p w14:paraId="260BF971">
            <w:pPr>
              <w:pStyle w:val="7"/>
              <w:keepNext w:val="0"/>
              <w:keepLines w:val="0"/>
              <w:pageBreakBefore w:val="0"/>
              <w:widowControl/>
              <w:kinsoku w:val="0"/>
              <w:wordWrap/>
              <w:overflowPunct/>
              <w:topLinePunct w:val="0"/>
              <w:autoSpaceDE w:val="0"/>
              <w:autoSpaceDN w:val="0"/>
              <w:bidi w:val="0"/>
              <w:adjustRightInd w:val="0"/>
              <w:snapToGrid w:val="0"/>
              <w:spacing w:line="260" w:lineRule="exact"/>
              <w:ind w:left="272"/>
              <w:jc w:val="center"/>
              <w:textAlignment w:val="baseline"/>
              <w:rPr>
                <w:rFonts w:hint="eastAsia" w:ascii="仿宋_GB2312" w:hAnsi="仿宋_GB2312" w:eastAsia="仿宋_GB2312" w:cs="仿宋_GB2312"/>
                <w:b w:val="0"/>
                <w:bCs w:val="0"/>
                <w:snapToGrid w:val="0"/>
                <w:color w:val="000000"/>
                <w:kern w:val="0"/>
                <w:sz w:val="21"/>
                <w:szCs w:val="21"/>
              </w:rPr>
            </w:pPr>
            <w:r>
              <w:rPr>
                <w:rFonts w:hint="eastAsia" w:ascii="仿宋_GB2312" w:hAnsi="仿宋_GB2312" w:eastAsia="仿宋_GB2312" w:cs="仿宋_GB2312"/>
                <w:b w:val="0"/>
                <w:bCs w:val="0"/>
                <w:snapToGrid w:val="0"/>
                <w:color w:val="000000"/>
                <w:kern w:val="0"/>
                <w:sz w:val="21"/>
                <w:szCs w:val="21"/>
                <w:lang w:val="en-US" w:eastAsia="zh-CN"/>
              </w:rPr>
              <w:t>能源股</w:t>
            </w:r>
          </w:p>
        </w:tc>
        <w:tc>
          <w:tcPr>
            <w:tcW w:w="8616" w:type="dxa"/>
            <w:shd w:val="clear" w:color="auto" w:fill="FFFFFF"/>
            <w:tcMar>
              <w:left w:w="108" w:type="dxa"/>
              <w:right w:w="108" w:type="dxa"/>
            </w:tcMar>
            <w:vAlign w:val="center"/>
          </w:tcPr>
          <w:p w14:paraId="35974F5C">
            <w:pPr>
              <w:pStyle w:val="7"/>
              <w:keepNext w:val="0"/>
              <w:keepLines w:val="0"/>
              <w:pageBreakBefore w:val="0"/>
              <w:widowControl/>
              <w:kinsoku w:val="0"/>
              <w:wordWrap/>
              <w:overflowPunct/>
              <w:topLinePunct w:val="0"/>
              <w:autoSpaceDE w:val="0"/>
              <w:autoSpaceDN w:val="0"/>
              <w:bidi w:val="0"/>
              <w:adjustRightInd w:val="0"/>
              <w:snapToGrid w:val="0"/>
              <w:spacing w:line="260" w:lineRule="exact"/>
              <w:ind w:left="272"/>
              <w:jc w:val="left"/>
              <w:textAlignment w:val="baseline"/>
              <w:rPr>
                <w:rFonts w:hint="eastAsia" w:ascii="仿宋_GB2312" w:hAnsi="仿宋_GB2312" w:eastAsia="仿宋_GB2312" w:cs="仿宋_GB2312"/>
                <w:b w:val="0"/>
                <w:bCs w:val="0"/>
                <w:snapToGrid w:val="0"/>
                <w:color w:val="000000"/>
                <w:kern w:val="0"/>
                <w:sz w:val="21"/>
                <w:szCs w:val="21"/>
              </w:rPr>
            </w:pPr>
            <w:r>
              <w:rPr>
                <w:rFonts w:hint="eastAsia" w:ascii="仿宋_GB2312" w:hAnsi="仿宋_GB2312" w:eastAsia="仿宋_GB2312" w:cs="仿宋_GB2312"/>
                <w:b w:val="0"/>
                <w:bCs w:val="0"/>
                <w:snapToGrid w:val="0"/>
                <w:color w:val="000000"/>
                <w:kern w:val="0"/>
                <w:sz w:val="21"/>
                <w:szCs w:val="21"/>
                <w:lang w:val="en-US" w:eastAsia="zh-CN"/>
              </w:rPr>
              <w:t>《中华人民共和国石油天然气管道保护法》第五十条  管道企业有下列行为之一的，由县级以上地方人民政府主管管道保护工作的部门责令限期改正；逾期不改正的，处二万元以上十万元以下的罚款；对直接负责的主管人员和其他直接责任人员给予处分：</w:t>
            </w:r>
            <w:r>
              <w:rPr>
                <w:rFonts w:hint="eastAsia" w:ascii="仿宋_GB2312" w:hAnsi="仿宋_GB2312" w:eastAsia="仿宋_GB2312" w:cs="仿宋_GB2312"/>
                <w:b w:val="0"/>
                <w:bCs w:val="0"/>
                <w:snapToGrid w:val="0"/>
                <w:color w:val="000000"/>
                <w:kern w:val="0"/>
                <w:sz w:val="21"/>
                <w:szCs w:val="21"/>
                <w:lang w:val="en-US" w:eastAsia="zh-CN"/>
              </w:rPr>
              <w:br w:type="textWrapping"/>
            </w:r>
            <w:r>
              <w:rPr>
                <w:rFonts w:hint="eastAsia" w:ascii="仿宋_GB2312" w:hAnsi="仿宋_GB2312" w:eastAsia="仿宋_GB2312" w:cs="仿宋_GB2312"/>
                <w:b w:val="0"/>
                <w:bCs w:val="0"/>
                <w:snapToGrid w:val="0"/>
                <w:color w:val="000000"/>
                <w:kern w:val="0"/>
                <w:sz w:val="21"/>
                <w:szCs w:val="21"/>
                <w:lang w:val="en-US" w:eastAsia="zh-CN"/>
              </w:rPr>
              <w:t>（一）未依照本法规定对管道进行巡护、检测和维修的；</w:t>
            </w:r>
            <w:r>
              <w:rPr>
                <w:rFonts w:hint="eastAsia" w:ascii="仿宋_GB2312" w:hAnsi="仿宋_GB2312" w:eastAsia="仿宋_GB2312" w:cs="仿宋_GB2312"/>
                <w:b w:val="0"/>
                <w:bCs w:val="0"/>
                <w:snapToGrid w:val="0"/>
                <w:color w:val="000000"/>
                <w:kern w:val="0"/>
                <w:sz w:val="21"/>
                <w:szCs w:val="21"/>
                <w:lang w:val="en-US" w:eastAsia="zh-CN"/>
              </w:rPr>
              <w:br w:type="textWrapping"/>
            </w:r>
            <w:r>
              <w:rPr>
                <w:rFonts w:hint="eastAsia" w:ascii="仿宋_GB2312" w:hAnsi="仿宋_GB2312" w:eastAsia="仿宋_GB2312" w:cs="仿宋_GB2312"/>
                <w:b w:val="0"/>
                <w:bCs w:val="0"/>
                <w:snapToGrid w:val="0"/>
                <w:color w:val="000000"/>
                <w:kern w:val="0"/>
                <w:sz w:val="21"/>
                <w:szCs w:val="21"/>
                <w:lang w:val="en-US" w:eastAsia="zh-CN"/>
              </w:rPr>
              <w:t>（二）对不符合安全使用条件的管道未及时更新、改造或者停止使用的；</w:t>
            </w:r>
            <w:r>
              <w:rPr>
                <w:rFonts w:hint="eastAsia" w:ascii="仿宋_GB2312" w:hAnsi="仿宋_GB2312" w:eastAsia="仿宋_GB2312" w:cs="仿宋_GB2312"/>
                <w:b w:val="0"/>
                <w:bCs w:val="0"/>
                <w:snapToGrid w:val="0"/>
                <w:color w:val="000000"/>
                <w:kern w:val="0"/>
                <w:sz w:val="21"/>
                <w:szCs w:val="21"/>
                <w:lang w:val="en-US" w:eastAsia="zh-CN"/>
              </w:rPr>
              <w:br w:type="textWrapping"/>
            </w:r>
            <w:r>
              <w:rPr>
                <w:rFonts w:hint="eastAsia" w:ascii="仿宋_GB2312" w:hAnsi="仿宋_GB2312" w:eastAsia="仿宋_GB2312" w:cs="仿宋_GB2312"/>
                <w:b w:val="0"/>
                <w:bCs w:val="0"/>
                <w:snapToGrid w:val="0"/>
                <w:color w:val="000000"/>
                <w:kern w:val="0"/>
                <w:sz w:val="21"/>
                <w:szCs w:val="21"/>
                <w:lang w:val="en-US" w:eastAsia="zh-CN"/>
              </w:rPr>
              <w:t>（三）未依照本法规定设置、修复或者更新有关管道标志的；</w:t>
            </w:r>
            <w:r>
              <w:rPr>
                <w:rFonts w:hint="eastAsia" w:ascii="仿宋_GB2312" w:hAnsi="仿宋_GB2312" w:eastAsia="仿宋_GB2312" w:cs="仿宋_GB2312"/>
                <w:b w:val="0"/>
                <w:bCs w:val="0"/>
                <w:snapToGrid w:val="0"/>
                <w:color w:val="000000"/>
                <w:kern w:val="0"/>
                <w:sz w:val="21"/>
                <w:szCs w:val="21"/>
                <w:lang w:val="en-US" w:eastAsia="zh-CN"/>
              </w:rPr>
              <w:br w:type="textWrapping"/>
            </w:r>
            <w:r>
              <w:rPr>
                <w:rFonts w:hint="eastAsia" w:ascii="仿宋_GB2312" w:hAnsi="仿宋_GB2312" w:eastAsia="仿宋_GB2312" w:cs="仿宋_GB2312"/>
                <w:b w:val="0"/>
                <w:bCs w:val="0"/>
                <w:snapToGrid w:val="0"/>
                <w:color w:val="000000"/>
                <w:kern w:val="0"/>
                <w:sz w:val="21"/>
                <w:szCs w:val="21"/>
                <w:lang w:val="en-US" w:eastAsia="zh-CN"/>
              </w:rPr>
              <w:t>（四）未依照本法规定将管道竣工测量图报人民政府主管管道保护工作的部门备案的；</w:t>
            </w:r>
            <w:r>
              <w:rPr>
                <w:rFonts w:hint="eastAsia" w:ascii="仿宋_GB2312" w:hAnsi="仿宋_GB2312" w:eastAsia="仿宋_GB2312" w:cs="仿宋_GB2312"/>
                <w:b w:val="0"/>
                <w:bCs w:val="0"/>
                <w:snapToGrid w:val="0"/>
                <w:color w:val="000000"/>
                <w:kern w:val="0"/>
                <w:sz w:val="21"/>
                <w:szCs w:val="21"/>
                <w:lang w:val="en-US" w:eastAsia="zh-CN"/>
              </w:rPr>
              <w:br w:type="textWrapping"/>
            </w:r>
            <w:r>
              <w:rPr>
                <w:rFonts w:hint="eastAsia" w:ascii="仿宋_GB2312" w:hAnsi="仿宋_GB2312" w:eastAsia="仿宋_GB2312" w:cs="仿宋_GB2312"/>
                <w:b w:val="0"/>
                <w:bCs w:val="0"/>
                <w:snapToGrid w:val="0"/>
                <w:color w:val="000000"/>
                <w:kern w:val="0"/>
                <w:sz w:val="21"/>
                <w:szCs w:val="21"/>
                <w:lang w:val="en-US" w:eastAsia="zh-CN"/>
              </w:rPr>
              <w:t>（五）未制定本企业管道事故应急预案，或者未将本企业管道事故应急预案报人民政府主管管道保护工作的部门备案的；</w:t>
            </w:r>
            <w:r>
              <w:rPr>
                <w:rFonts w:hint="eastAsia" w:ascii="仿宋_GB2312" w:hAnsi="仿宋_GB2312" w:eastAsia="仿宋_GB2312" w:cs="仿宋_GB2312"/>
                <w:b w:val="0"/>
                <w:bCs w:val="0"/>
                <w:snapToGrid w:val="0"/>
                <w:color w:val="000000"/>
                <w:kern w:val="0"/>
                <w:sz w:val="21"/>
                <w:szCs w:val="21"/>
                <w:lang w:val="en-US" w:eastAsia="zh-CN"/>
              </w:rPr>
              <w:br w:type="textWrapping"/>
            </w:r>
            <w:r>
              <w:rPr>
                <w:rFonts w:hint="eastAsia" w:ascii="仿宋_GB2312" w:hAnsi="仿宋_GB2312" w:eastAsia="仿宋_GB2312" w:cs="仿宋_GB2312"/>
                <w:b w:val="0"/>
                <w:bCs w:val="0"/>
                <w:snapToGrid w:val="0"/>
                <w:color w:val="000000"/>
                <w:kern w:val="0"/>
                <w:sz w:val="21"/>
                <w:szCs w:val="21"/>
                <w:lang w:val="en-US" w:eastAsia="zh-CN"/>
              </w:rPr>
              <w:t>（六）发生管道事故，未采取有效措施消除或者减轻事故危害的；</w:t>
            </w:r>
            <w:r>
              <w:rPr>
                <w:rFonts w:hint="eastAsia" w:ascii="仿宋_GB2312" w:hAnsi="仿宋_GB2312" w:eastAsia="仿宋_GB2312" w:cs="仿宋_GB2312"/>
                <w:b w:val="0"/>
                <w:bCs w:val="0"/>
                <w:snapToGrid w:val="0"/>
                <w:color w:val="000000"/>
                <w:kern w:val="0"/>
                <w:sz w:val="21"/>
                <w:szCs w:val="21"/>
                <w:lang w:val="en-US" w:eastAsia="zh-CN"/>
              </w:rPr>
              <w:br w:type="textWrapping"/>
            </w:r>
            <w:r>
              <w:rPr>
                <w:rFonts w:hint="eastAsia" w:ascii="仿宋_GB2312" w:hAnsi="仿宋_GB2312" w:eastAsia="仿宋_GB2312" w:cs="仿宋_GB2312"/>
                <w:b w:val="0"/>
                <w:bCs w:val="0"/>
                <w:snapToGrid w:val="0"/>
                <w:color w:val="000000"/>
                <w:kern w:val="0"/>
                <w:sz w:val="21"/>
                <w:szCs w:val="21"/>
                <w:lang w:val="en-US" w:eastAsia="zh-CN"/>
              </w:rPr>
              <w:t>（七）未对停止运行、封存、报废的管道采取必要的安全防护措施的。</w:t>
            </w:r>
            <w:r>
              <w:rPr>
                <w:rFonts w:hint="eastAsia" w:ascii="仿宋_GB2312" w:hAnsi="仿宋_GB2312" w:eastAsia="仿宋_GB2312" w:cs="仿宋_GB2312"/>
                <w:b w:val="0"/>
                <w:bCs w:val="0"/>
                <w:snapToGrid w:val="0"/>
                <w:color w:val="000000"/>
                <w:kern w:val="0"/>
                <w:sz w:val="21"/>
                <w:szCs w:val="21"/>
                <w:lang w:val="en-US" w:eastAsia="zh-CN"/>
              </w:rPr>
              <w:br w:type="textWrapping"/>
            </w:r>
            <w:r>
              <w:rPr>
                <w:rFonts w:hint="eastAsia" w:ascii="仿宋_GB2312" w:hAnsi="仿宋_GB2312" w:eastAsia="仿宋_GB2312" w:cs="仿宋_GB2312"/>
                <w:b w:val="0"/>
                <w:bCs w:val="0"/>
                <w:snapToGrid w:val="0"/>
                <w:color w:val="000000"/>
                <w:kern w:val="0"/>
                <w:sz w:val="21"/>
                <w:szCs w:val="21"/>
                <w:lang w:val="en-US" w:eastAsia="zh-CN"/>
              </w:rPr>
              <w:t>管道企业违反本法规定的行为同时违反建设工程质量管理、安全生产、消防等其他法律的，依照其他法律的规定处罚。</w:t>
            </w:r>
            <w:r>
              <w:rPr>
                <w:rFonts w:hint="eastAsia" w:ascii="仿宋_GB2312" w:hAnsi="仿宋_GB2312" w:eastAsia="仿宋_GB2312" w:cs="仿宋_GB2312"/>
                <w:b w:val="0"/>
                <w:bCs w:val="0"/>
                <w:snapToGrid w:val="0"/>
                <w:color w:val="000000"/>
                <w:kern w:val="0"/>
                <w:sz w:val="21"/>
                <w:szCs w:val="21"/>
                <w:lang w:val="en-US" w:eastAsia="zh-CN"/>
              </w:rPr>
              <w:br w:type="textWrapping"/>
            </w:r>
            <w:r>
              <w:rPr>
                <w:rFonts w:hint="eastAsia" w:ascii="仿宋_GB2312" w:hAnsi="仿宋_GB2312" w:eastAsia="仿宋_GB2312" w:cs="仿宋_GB2312"/>
                <w:b w:val="0"/>
                <w:bCs w:val="0"/>
                <w:snapToGrid w:val="0"/>
                <w:color w:val="000000"/>
                <w:kern w:val="0"/>
                <w:sz w:val="21"/>
                <w:szCs w:val="21"/>
                <w:lang w:val="en-US" w:eastAsia="zh-CN"/>
              </w:rPr>
              <w:t>管道企业给他人合法权益造成损害的，依法承担民事责任。</w:t>
            </w:r>
          </w:p>
        </w:tc>
        <w:tc>
          <w:tcPr>
            <w:tcW w:w="817" w:type="dxa"/>
            <w:shd w:val="clear" w:color="auto" w:fill="FFFFFF"/>
            <w:noWrap/>
            <w:tcMar>
              <w:left w:w="108" w:type="dxa"/>
              <w:right w:w="108" w:type="dxa"/>
            </w:tcMar>
            <w:vAlign w:val="center"/>
          </w:tcPr>
          <w:p w14:paraId="53329F41">
            <w:pPr>
              <w:pStyle w:val="7"/>
              <w:keepNext w:val="0"/>
              <w:keepLines w:val="0"/>
              <w:pageBreakBefore w:val="0"/>
              <w:widowControl/>
              <w:kinsoku w:val="0"/>
              <w:wordWrap/>
              <w:overflowPunct/>
              <w:topLinePunct w:val="0"/>
              <w:autoSpaceDE w:val="0"/>
              <w:autoSpaceDN w:val="0"/>
              <w:bidi w:val="0"/>
              <w:adjustRightInd w:val="0"/>
              <w:snapToGrid w:val="0"/>
              <w:spacing w:line="260" w:lineRule="exact"/>
              <w:ind w:left="272"/>
              <w:jc w:val="center"/>
              <w:textAlignment w:val="baseline"/>
              <w:rPr>
                <w:rFonts w:hint="eastAsia" w:ascii="仿宋_GB2312" w:hAnsi="仿宋_GB2312" w:eastAsia="仿宋_GB2312" w:cs="仿宋_GB2312"/>
                <w:b w:val="0"/>
                <w:bCs w:val="0"/>
                <w:snapToGrid w:val="0"/>
                <w:color w:val="000000"/>
                <w:kern w:val="0"/>
                <w:sz w:val="21"/>
                <w:szCs w:val="21"/>
              </w:rPr>
            </w:pPr>
          </w:p>
        </w:tc>
      </w:tr>
      <w:bookmarkEnd w:id="5"/>
      <w:tr w14:paraId="5EF01F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695" w:hRule="atLeast"/>
        </w:trPr>
        <w:tc>
          <w:tcPr>
            <w:tcW w:w="745" w:type="dxa"/>
            <w:shd w:val="clear" w:color="auto" w:fill="FFFFFF"/>
            <w:tcMar>
              <w:left w:w="108" w:type="dxa"/>
              <w:right w:w="108" w:type="dxa"/>
            </w:tcMar>
            <w:vAlign w:val="center"/>
          </w:tcPr>
          <w:p w14:paraId="491DD01C">
            <w:pPr>
              <w:pStyle w:val="7"/>
              <w:keepNext w:val="0"/>
              <w:keepLines w:val="0"/>
              <w:pageBreakBefore w:val="0"/>
              <w:widowControl/>
              <w:kinsoku w:val="0"/>
              <w:wordWrap/>
              <w:overflowPunct/>
              <w:topLinePunct w:val="0"/>
              <w:autoSpaceDE w:val="0"/>
              <w:autoSpaceDN w:val="0"/>
              <w:bidi w:val="0"/>
              <w:adjustRightInd w:val="0"/>
              <w:snapToGrid w:val="0"/>
              <w:spacing w:line="260" w:lineRule="exact"/>
              <w:ind w:left="272"/>
              <w:jc w:val="center"/>
              <w:textAlignment w:val="baseline"/>
              <w:rPr>
                <w:rFonts w:hint="default" w:ascii="仿宋_GB2312" w:hAnsi="仿宋_GB2312" w:eastAsia="仿宋_GB2312" w:cs="仿宋_GB2312"/>
                <w:b w:val="0"/>
                <w:bCs w:val="0"/>
                <w:snapToGrid w:val="0"/>
                <w:color w:val="000000"/>
                <w:kern w:val="0"/>
                <w:sz w:val="21"/>
                <w:szCs w:val="21"/>
                <w:lang w:val="en-US"/>
              </w:rPr>
            </w:pPr>
            <w:r>
              <w:rPr>
                <w:rFonts w:hint="eastAsia" w:ascii="仿宋_GB2312" w:hAnsi="仿宋_GB2312" w:eastAsia="仿宋_GB2312" w:cs="仿宋_GB2312"/>
                <w:b w:val="0"/>
                <w:bCs w:val="0"/>
                <w:snapToGrid w:val="0"/>
                <w:color w:val="000000"/>
                <w:kern w:val="0"/>
                <w:sz w:val="21"/>
                <w:szCs w:val="21"/>
                <w:lang w:val="en-US" w:eastAsia="zh-CN"/>
              </w:rPr>
              <w:t>29</w:t>
            </w:r>
          </w:p>
        </w:tc>
        <w:tc>
          <w:tcPr>
            <w:tcW w:w="1334" w:type="dxa"/>
            <w:shd w:val="clear" w:color="auto" w:fill="FFFFFF"/>
            <w:tcMar>
              <w:left w:w="108" w:type="dxa"/>
              <w:right w:w="108" w:type="dxa"/>
            </w:tcMar>
            <w:vAlign w:val="center"/>
          </w:tcPr>
          <w:p w14:paraId="06DC783A">
            <w:pPr>
              <w:pStyle w:val="7"/>
              <w:keepNext w:val="0"/>
              <w:keepLines w:val="0"/>
              <w:pageBreakBefore w:val="0"/>
              <w:widowControl/>
              <w:kinsoku w:val="0"/>
              <w:wordWrap/>
              <w:overflowPunct/>
              <w:topLinePunct w:val="0"/>
              <w:autoSpaceDE w:val="0"/>
              <w:autoSpaceDN w:val="0"/>
              <w:bidi w:val="0"/>
              <w:adjustRightInd w:val="0"/>
              <w:snapToGrid w:val="0"/>
              <w:spacing w:line="260" w:lineRule="exact"/>
              <w:ind w:left="272"/>
              <w:jc w:val="center"/>
              <w:textAlignment w:val="baseline"/>
              <w:rPr>
                <w:rFonts w:hint="eastAsia" w:ascii="仿宋_GB2312" w:hAnsi="仿宋_GB2312" w:eastAsia="仿宋_GB2312" w:cs="仿宋_GB2312"/>
                <w:b w:val="0"/>
                <w:bCs w:val="0"/>
                <w:snapToGrid w:val="0"/>
                <w:color w:val="000000"/>
                <w:kern w:val="0"/>
                <w:sz w:val="21"/>
                <w:szCs w:val="21"/>
              </w:rPr>
            </w:pPr>
            <w:r>
              <w:rPr>
                <w:rFonts w:hint="eastAsia" w:ascii="仿宋_GB2312" w:hAnsi="仿宋_GB2312" w:eastAsia="仿宋_GB2312" w:cs="仿宋_GB2312"/>
                <w:b w:val="0"/>
                <w:bCs w:val="0"/>
                <w:snapToGrid w:val="0"/>
                <w:color w:val="000000"/>
                <w:kern w:val="0"/>
                <w:sz w:val="21"/>
                <w:szCs w:val="21"/>
                <w:lang w:val="en-US" w:eastAsia="zh-CN"/>
              </w:rPr>
              <w:t>对实施危害石油天然气管道安全行为的行政处罚</w:t>
            </w:r>
          </w:p>
        </w:tc>
        <w:tc>
          <w:tcPr>
            <w:tcW w:w="1085" w:type="dxa"/>
            <w:shd w:val="clear" w:color="auto" w:fill="FFFFFF"/>
            <w:noWrap/>
            <w:tcMar>
              <w:left w:w="108" w:type="dxa"/>
              <w:right w:w="108" w:type="dxa"/>
            </w:tcMar>
            <w:vAlign w:val="center"/>
          </w:tcPr>
          <w:p w14:paraId="4ED43347">
            <w:pPr>
              <w:pStyle w:val="7"/>
              <w:keepNext w:val="0"/>
              <w:keepLines w:val="0"/>
              <w:pageBreakBefore w:val="0"/>
              <w:widowControl/>
              <w:kinsoku w:val="0"/>
              <w:wordWrap/>
              <w:overflowPunct/>
              <w:topLinePunct w:val="0"/>
              <w:autoSpaceDE w:val="0"/>
              <w:autoSpaceDN w:val="0"/>
              <w:bidi w:val="0"/>
              <w:adjustRightInd w:val="0"/>
              <w:snapToGrid w:val="0"/>
              <w:spacing w:line="260" w:lineRule="exact"/>
              <w:ind w:left="272"/>
              <w:jc w:val="center"/>
              <w:textAlignment w:val="baseline"/>
              <w:rPr>
                <w:rFonts w:hint="eastAsia" w:ascii="仿宋_GB2312" w:hAnsi="仿宋_GB2312" w:eastAsia="仿宋_GB2312" w:cs="仿宋_GB2312"/>
                <w:b w:val="0"/>
                <w:bCs w:val="0"/>
                <w:snapToGrid w:val="0"/>
                <w:color w:val="000000"/>
                <w:kern w:val="0"/>
                <w:sz w:val="21"/>
                <w:szCs w:val="21"/>
              </w:rPr>
            </w:pPr>
            <w:r>
              <w:rPr>
                <w:rFonts w:hint="eastAsia" w:ascii="仿宋_GB2312" w:hAnsi="仿宋_GB2312" w:eastAsia="仿宋_GB2312" w:cs="仿宋_GB2312"/>
                <w:b w:val="0"/>
                <w:bCs w:val="0"/>
                <w:snapToGrid w:val="0"/>
                <w:color w:val="000000"/>
                <w:kern w:val="0"/>
                <w:sz w:val="21"/>
                <w:szCs w:val="21"/>
                <w:lang w:val="en-US" w:eastAsia="zh-CN"/>
              </w:rPr>
              <w:t>行政处罚</w:t>
            </w:r>
          </w:p>
        </w:tc>
        <w:tc>
          <w:tcPr>
            <w:tcW w:w="1179" w:type="dxa"/>
            <w:shd w:val="clear" w:color="auto" w:fill="FFFFFF"/>
            <w:tcMar>
              <w:left w:w="108" w:type="dxa"/>
              <w:right w:w="108" w:type="dxa"/>
            </w:tcMar>
            <w:vAlign w:val="center"/>
          </w:tcPr>
          <w:p w14:paraId="450B7278">
            <w:pPr>
              <w:pStyle w:val="7"/>
              <w:keepNext w:val="0"/>
              <w:keepLines w:val="0"/>
              <w:pageBreakBefore w:val="0"/>
              <w:widowControl/>
              <w:kinsoku w:val="0"/>
              <w:wordWrap/>
              <w:overflowPunct/>
              <w:topLinePunct w:val="0"/>
              <w:autoSpaceDE w:val="0"/>
              <w:autoSpaceDN w:val="0"/>
              <w:bidi w:val="0"/>
              <w:adjustRightInd w:val="0"/>
              <w:snapToGrid w:val="0"/>
              <w:spacing w:line="260" w:lineRule="exact"/>
              <w:ind w:left="272" w:leftChars="0"/>
              <w:jc w:val="center"/>
              <w:textAlignment w:val="baseline"/>
              <w:rPr>
                <w:rFonts w:hint="eastAsia" w:ascii="仿宋_GB2312" w:hAnsi="仿宋_GB2312" w:eastAsia="仿宋_GB2312" w:cs="仿宋_GB2312"/>
                <w:b w:val="0"/>
                <w:bCs w:val="0"/>
                <w:snapToGrid w:val="0"/>
                <w:color w:val="000000"/>
                <w:kern w:val="0"/>
                <w:sz w:val="21"/>
                <w:szCs w:val="21"/>
              </w:rPr>
            </w:pPr>
            <w:r>
              <w:rPr>
                <w:rFonts w:hint="eastAsia" w:ascii="仿宋_GB2312" w:hAnsi="仿宋_GB2312" w:eastAsia="仿宋_GB2312" w:cs="仿宋_GB2312"/>
                <w:b w:val="0"/>
                <w:bCs w:val="0"/>
                <w:snapToGrid w:val="0"/>
                <w:color w:val="000000"/>
                <w:kern w:val="0"/>
                <w:sz w:val="21"/>
                <w:szCs w:val="21"/>
                <w:lang w:val="en-US" w:eastAsia="zh-CN"/>
              </w:rPr>
              <w:t>零陵区发改局</w:t>
            </w:r>
          </w:p>
        </w:tc>
        <w:tc>
          <w:tcPr>
            <w:tcW w:w="1444" w:type="dxa"/>
            <w:shd w:val="clear" w:color="auto" w:fill="FFFFFF"/>
            <w:tcMar>
              <w:left w:w="108" w:type="dxa"/>
              <w:right w:w="108" w:type="dxa"/>
            </w:tcMar>
            <w:vAlign w:val="center"/>
          </w:tcPr>
          <w:p w14:paraId="24D04408">
            <w:pPr>
              <w:pStyle w:val="7"/>
              <w:keepNext w:val="0"/>
              <w:keepLines w:val="0"/>
              <w:pageBreakBefore w:val="0"/>
              <w:widowControl/>
              <w:kinsoku w:val="0"/>
              <w:wordWrap/>
              <w:overflowPunct/>
              <w:topLinePunct w:val="0"/>
              <w:autoSpaceDE w:val="0"/>
              <w:autoSpaceDN w:val="0"/>
              <w:bidi w:val="0"/>
              <w:adjustRightInd w:val="0"/>
              <w:snapToGrid w:val="0"/>
              <w:spacing w:line="260" w:lineRule="exact"/>
              <w:ind w:left="272" w:leftChars="0"/>
              <w:jc w:val="center"/>
              <w:textAlignment w:val="baseline"/>
              <w:rPr>
                <w:rFonts w:hint="eastAsia" w:ascii="仿宋_GB2312" w:hAnsi="仿宋_GB2312" w:eastAsia="仿宋_GB2312" w:cs="仿宋_GB2312"/>
                <w:b w:val="0"/>
                <w:bCs w:val="0"/>
                <w:snapToGrid w:val="0"/>
                <w:color w:val="000000"/>
                <w:kern w:val="0"/>
                <w:sz w:val="21"/>
                <w:szCs w:val="21"/>
              </w:rPr>
            </w:pPr>
            <w:r>
              <w:rPr>
                <w:rFonts w:hint="eastAsia" w:ascii="仿宋_GB2312" w:hAnsi="仿宋_GB2312" w:eastAsia="仿宋_GB2312" w:cs="仿宋_GB2312"/>
                <w:b w:val="0"/>
                <w:bCs w:val="0"/>
                <w:snapToGrid w:val="0"/>
                <w:color w:val="000000"/>
                <w:kern w:val="0"/>
                <w:sz w:val="21"/>
                <w:szCs w:val="21"/>
                <w:lang w:val="en-US" w:eastAsia="zh-CN"/>
              </w:rPr>
              <w:t>能源股</w:t>
            </w:r>
          </w:p>
        </w:tc>
        <w:tc>
          <w:tcPr>
            <w:tcW w:w="8616" w:type="dxa"/>
            <w:shd w:val="clear" w:color="auto" w:fill="FFFFFF"/>
            <w:tcMar>
              <w:left w:w="108" w:type="dxa"/>
              <w:right w:w="108" w:type="dxa"/>
            </w:tcMar>
            <w:vAlign w:val="center"/>
          </w:tcPr>
          <w:p w14:paraId="70F704EC">
            <w:pPr>
              <w:pStyle w:val="7"/>
              <w:keepNext w:val="0"/>
              <w:keepLines w:val="0"/>
              <w:pageBreakBefore w:val="0"/>
              <w:widowControl/>
              <w:kinsoku w:val="0"/>
              <w:wordWrap/>
              <w:overflowPunct/>
              <w:topLinePunct w:val="0"/>
              <w:autoSpaceDE w:val="0"/>
              <w:autoSpaceDN w:val="0"/>
              <w:bidi w:val="0"/>
              <w:adjustRightInd w:val="0"/>
              <w:snapToGrid w:val="0"/>
              <w:spacing w:line="260" w:lineRule="exact"/>
              <w:ind w:left="272"/>
              <w:jc w:val="left"/>
              <w:textAlignment w:val="baseline"/>
              <w:rPr>
                <w:rFonts w:hint="eastAsia" w:ascii="仿宋_GB2312" w:hAnsi="仿宋_GB2312" w:eastAsia="仿宋_GB2312" w:cs="仿宋_GB2312"/>
                <w:b w:val="0"/>
                <w:bCs w:val="0"/>
                <w:snapToGrid w:val="0"/>
                <w:color w:val="000000"/>
                <w:kern w:val="0"/>
                <w:sz w:val="21"/>
                <w:szCs w:val="21"/>
              </w:rPr>
            </w:pPr>
            <w:r>
              <w:rPr>
                <w:rFonts w:hint="eastAsia" w:ascii="仿宋_GB2312" w:hAnsi="仿宋_GB2312" w:eastAsia="仿宋_GB2312" w:cs="仿宋_GB2312"/>
                <w:b w:val="0"/>
                <w:bCs w:val="0"/>
                <w:snapToGrid w:val="0"/>
                <w:color w:val="000000"/>
                <w:kern w:val="0"/>
                <w:sz w:val="21"/>
                <w:szCs w:val="21"/>
                <w:lang w:val="en-US" w:eastAsia="zh-CN"/>
              </w:rPr>
              <w:t>《中华人民共和国石油天然气管道保护法》第五十二条  违反本法第二十九条、第三十条、第三十二条或者第三十三条第一款的规定，实施危害管道安全行为的，由县级以上地方人民政府主管管道保护工作的部门责令停止违法行为；情节较重的，对单位处一万元以上十万元以下的罚款，对个人处二百元以上二千元以下的罚款；对违法修建的建筑物、构筑物或者其他设施限期拆除；逾期未拆除的，由县级以上地方人民政府主管管道保护工作的部门组织拆除，所需费用由违法行为人承担。</w:t>
            </w:r>
          </w:p>
        </w:tc>
        <w:tc>
          <w:tcPr>
            <w:tcW w:w="817" w:type="dxa"/>
            <w:shd w:val="clear" w:color="auto" w:fill="FFFFFF"/>
            <w:noWrap/>
            <w:tcMar>
              <w:left w:w="108" w:type="dxa"/>
              <w:right w:w="108" w:type="dxa"/>
            </w:tcMar>
            <w:vAlign w:val="center"/>
          </w:tcPr>
          <w:p w14:paraId="353510A7">
            <w:pPr>
              <w:pStyle w:val="7"/>
              <w:keepNext w:val="0"/>
              <w:keepLines w:val="0"/>
              <w:pageBreakBefore w:val="0"/>
              <w:widowControl/>
              <w:kinsoku w:val="0"/>
              <w:wordWrap/>
              <w:overflowPunct/>
              <w:topLinePunct w:val="0"/>
              <w:autoSpaceDE w:val="0"/>
              <w:autoSpaceDN w:val="0"/>
              <w:bidi w:val="0"/>
              <w:adjustRightInd w:val="0"/>
              <w:snapToGrid w:val="0"/>
              <w:spacing w:line="260" w:lineRule="exact"/>
              <w:ind w:left="272"/>
              <w:jc w:val="center"/>
              <w:textAlignment w:val="baseline"/>
              <w:rPr>
                <w:rFonts w:hint="eastAsia" w:ascii="仿宋_GB2312" w:hAnsi="仿宋_GB2312" w:eastAsia="仿宋_GB2312" w:cs="仿宋_GB2312"/>
                <w:b w:val="0"/>
                <w:bCs w:val="0"/>
                <w:snapToGrid w:val="0"/>
                <w:color w:val="000000"/>
                <w:kern w:val="0"/>
                <w:sz w:val="21"/>
                <w:szCs w:val="21"/>
              </w:rPr>
            </w:pPr>
          </w:p>
        </w:tc>
      </w:tr>
      <w:tr w14:paraId="4A3D9D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86" w:hRule="atLeast"/>
        </w:trPr>
        <w:tc>
          <w:tcPr>
            <w:tcW w:w="745" w:type="dxa"/>
            <w:shd w:val="clear" w:color="auto" w:fill="FFFFFF"/>
            <w:tcMar>
              <w:left w:w="108" w:type="dxa"/>
              <w:right w:w="108" w:type="dxa"/>
            </w:tcMar>
            <w:vAlign w:val="center"/>
          </w:tcPr>
          <w:p w14:paraId="024140B5">
            <w:pPr>
              <w:pStyle w:val="7"/>
              <w:keepNext w:val="0"/>
              <w:keepLines w:val="0"/>
              <w:pageBreakBefore w:val="0"/>
              <w:widowControl/>
              <w:kinsoku w:val="0"/>
              <w:wordWrap/>
              <w:overflowPunct/>
              <w:topLinePunct w:val="0"/>
              <w:autoSpaceDE w:val="0"/>
              <w:autoSpaceDN w:val="0"/>
              <w:bidi w:val="0"/>
              <w:adjustRightInd w:val="0"/>
              <w:snapToGrid w:val="0"/>
              <w:spacing w:line="260" w:lineRule="exact"/>
              <w:ind w:left="272"/>
              <w:jc w:val="center"/>
              <w:textAlignment w:val="baseline"/>
              <w:rPr>
                <w:rFonts w:hint="default" w:ascii="仿宋_GB2312" w:hAnsi="仿宋_GB2312" w:eastAsia="仿宋_GB2312" w:cs="仿宋_GB2312"/>
                <w:b w:val="0"/>
                <w:bCs w:val="0"/>
                <w:snapToGrid w:val="0"/>
                <w:color w:val="000000"/>
                <w:kern w:val="0"/>
                <w:sz w:val="21"/>
                <w:szCs w:val="21"/>
                <w:lang w:val="en-US"/>
              </w:rPr>
            </w:pPr>
            <w:r>
              <w:rPr>
                <w:rFonts w:hint="eastAsia" w:ascii="仿宋_GB2312" w:hAnsi="仿宋_GB2312" w:eastAsia="仿宋_GB2312" w:cs="仿宋_GB2312"/>
                <w:b w:val="0"/>
                <w:bCs w:val="0"/>
                <w:snapToGrid w:val="0"/>
                <w:color w:val="000000"/>
                <w:kern w:val="0"/>
                <w:sz w:val="21"/>
                <w:szCs w:val="21"/>
                <w:lang w:val="en-US" w:eastAsia="zh-CN"/>
              </w:rPr>
              <w:t>30</w:t>
            </w:r>
          </w:p>
        </w:tc>
        <w:tc>
          <w:tcPr>
            <w:tcW w:w="1334" w:type="dxa"/>
            <w:shd w:val="clear" w:color="auto" w:fill="FFFFFF"/>
            <w:tcMar>
              <w:left w:w="108" w:type="dxa"/>
              <w:right w:w="108" w:type="dxa"/>
            </w:tcMar>
            <w:vAlign w:val="center"/>
          </w:tcPr>
          <w:p w14:paraId="43A72C84">
            <w:pPr>
              <w:pStyle w:val="7"/>
              <w:keepNext w:val="0"/>
              <w:keepLines w:val="0"/>
              <w:pageBreakBefore w:val="0"/>
              <w:widowControl/>
              <w:kinsoku w:val="0"/>
              <w:wordWrap/>
              <w:overflowPunct/>
              <w:topLinePunct w:val="0"/>
              <w:autoSpaceDE w:val="0"/>
              <w:autoSpaceDN w:val="0"/>
              <w:bidi w:val="0"/>
              <w:adjustRightInd w:val="0"/>
              <w:snapToGrid w:val="0"/>
              <w:spacing w:line="260" w:lineRule="exact"/>
              <w:ind w:left="272"/>
              <w:jc w:val="center"/>
              <w:textAlignment w:val="baseline"/>
              <w:rPr>
                <w:rFonts w:hint="eastAsia" w:ascii="仿宋_GB2312" w:hAnsi="仿宋_GB2312" w:eastAsia="仿宋_GB2312" w:cs="仿宋_GB2312"/>
                <w:b w:val="0"/>
                <w:bCs w:val="0"/>
                <w:snapToGrid w:val="0"/>
                <w:color w:val="000000"/>
                <w:kern w:val="0"/>
                <w:sz w:val="21"/>
                <w:szCs w:val="21"/>
              </w:rPr>
            </w:pPr>
            <w:r>
              <w:rPr>
                <w:rFonts w:hint="eastAsia" w:ascii="仿宋_GB2312" w:hAnsi="仿宋_GB2312" w:eastAsia="仿宋_GB2312" w:cs="仿宋_GB2312"/>
                <w:b w:val="0"/>
                <w:bCs w:val="0"/>
                <w:snapToGrid w:val="0"/>
                <w:color w:val="000000"/>
                <w:kern w:val="0"/>
                <w:sz w:val="21"/>
                <w:szCs w:val="21"/>
                <w:lang w:val="en-US" w:eastAsia="zh-CN"/>
              </w:rPr>
              <w:t>对未经依法批准进行危害石油天然气管道安全的施工作业的行政处罚</w:t>
            </w:r>
          </w:p>
        </w:tc>
        <w:tc>
          <w:tcPr>
            <w:tcW w:w="1085" w:type="dxa"/>
            <w:shd w:val="clear" w:color="auto" w:fill="FFFFFF"/>
            <w:noWrap/>
            <w:tcMar>
              <w:left w:w="108" w:type="dxa"/>
              <w:right w:w="108" w:type="dxa"/>
            </w:tcMar>
            <w:vAlign w:val="center"/>
          </w:tcPr>
          <w:p w14:paraId="30926EE6">
            <w:pPr>
              <w:pStyle w:val="7"/>
              <w:keepNext w:val="0"/>
              <w:keepLines w:val="0"/>
              <w:pageBreakBefore w:val="0"/>
              <w:widowControl/>
              <w:kinsoku w:val="0"/>
              <w:wordWrap/>
              <w:overflowPunct/>
              <w:topLinePunct w:val="0"/>
              <w:autoSpaceDE w:val="0"/>
              <w:autoSpaceDN w:val="0"/>
              <w:bidi w:val="0"/>
              <w:adjustRightInd w:val="0"/>
              <w:snapToGrid w:val="0"/>
              <w:spacing w:line="260" w:lineRule="exact"/>
              <w:ind w:left="272"/>
              <w:jc w:val="center"/>
              <w:textAlignment w:val="baseline"/>
              <w:rPr>
                <w:rFonts w:hint="eastAsia" w:ascii="仿宋_GB2312" w:hAnsi="仿宋_GB2312" w:eastAsia="仿宋_GB2312" w:cs="仿宋_GB2312"/>
                <w:b w:val="0"/>
                <w:bCs w:val="0"/>
                <w:snapToGrid w:val="0"/>
                <w:color w:val="000000"/>
                <w:kern w:val="0"/>
                <w:sz w:val="21"/>
                <w:szCs w:val="21"/>
              </w:rPr>
            </w:pPr>
            <w:r>
              <w:rPr>
                <w:rFonts w:hint="eastAsia" w:ascii="仿宋_GB2312" w:hAnsi="仿宋_GB2312" w:eastAsia="仿宋_GB2312" w:cs="仿宋_GB2312"/>
                <w:b w:val="0"/>
                <w:bCs w:val="0"/>
                <w:snapToGrid w:val="0"/>
                <w:color w:val="000000"/>
                <w:kern w:val="0"/>
                <w:sz w:val="21"/>
                <w:szCs w:val="21"/>
                <w:lang w:val="en-US" w:eastAsia="zh-CN"/>
              </w:rPr>
              <w:t>行政处罚</w:t>
            </w:r>
          </w:p>
        </w:tc>
        <w:tc>
          <w:tcPr>
            <w:tcW w:w="1179" w:type="dxa"/>
            <w:shd w:val="clear" w:color="auto" w:fill="FFFFFF"/>
            <w:tcMar>
              <w:left w:w="108" w:type="dxa"/>
              <w:right w:w="108" w:type="dxa"/>
            </w:tcMar>
            <w:vAlign w:val="center"/>
          </w:tcPr>
          <w:p w14:paraId="2E4D1741">
            <w:pPr>
              <w:pStyle w:val="7"/>
              <w:keepNext w:val="0"/>
              <w:keepLines w:val="0"/>
              <w:pageBreakBefore w:val="0"/>
              <w:widowControl/>
              <w:kinsoku w:val="0"/>
              <w:wordWrap/>
              <w:overflowPunct/>
              <w:topLinePunct w:val="0"/>
              <w:autoSpaceDE w:val="0"/>
              <w:autoSpaceDN w:val="0"/>
              <w:bidi w:val="0"/>
              <w:adjustRightInd w:val="0"/>
              <w:snapToGrid w:val="0"/>
              <w:spacing w:line="260" w:lineRule="exact"/>
              <w:ind w:left="272" w:leftChars="0"/>
              <w:jc w:val="center"/>
              <w:textAlignment w:val="baseline"/>
              <w:rPr>
                <w:rFonts w:hint="eastAsia" w:ascii="仿宋_GB2312" w:hAnsi="仿宋_GB2312" w:eastAsia="仿宋_GB2312" w:cs="仿宋_GB2312"/>
                <w:b w:val="0"/>
                <w:bCs w:val="0"/>
                <w:snapToGrid w:val="0"/>
                <w:color w:val="000000"/>
                <w:kern w:val="0"/>
                <w:sz w:val="21"/>
                <w:szCs w:val="21"/>
              </w:rPr>
            </w:pPr>
            <w:r>
              <w:rPr>
                <w:rFonts w:hint="eastAsia" w:ascii="仿宋_GB2312" w:hAnsi="仿宋_GB2312" w:eastAsia="仿宋_GB2312" w:cs="仿宋_GB2312"/>
                <w:b w:val="0"/>
                <w:bCs w:val="0"/>
                <w:snapToGrid w:val="0"/>
                <w:color w:val="000000"/>
                <w:kern w:val="0"/>
                <w:sz w:val="21"/>
                <w:szCs w:val="21"/>
                <w:lang w:val="en-US" w:eastAsia="zh-CN"/>
              </w:rPr>
              <w:t>零陵区发改局</w:t>
            </w:r>
          </w:p>
        </w:tc>
        <w:tc>
          <w:tcPr>
            <w:tcW w:w="1444" w:type="dxa"/>
            <w:shd w:val="clear" w:color="auto" w:fill="FFFFFF"/>
            <w:tcMar>
              <w:left w:w="108" w:type="dxa"/>
              <w:right w:w="108" w:type="dxa"/>
            </w:tcMar>
            <w:vAlign w:val="center"/>
          </w:tcPr>
          <w:p w14:paraId="06E197E0">
            <w:pPr>
              <w:pStyle w:val="7"/>
              <w:keepNext w:val="0"/>
              <w:keepLines w:val="0"/>
              <w:pageBreakBefore w:val="0"/>
              <w:widowControl/>
              <w:kinsoku w:val="0"/>
              <w:wordWrap/>
              <w:overflowPunct/>
              <w:topLinePunct w:val="0"/>
              <w:autoSpaceDE w:val="0"/>
              <w:autoSpaceDN w:val="0"/>
              <w:bidi w:val="0"/>
              <w:adjustRightInd w:val="0"/>
              <w:snapToGrid w:val="0"/>
              <w:spacing w:line="260" w:lineRule="exact"/>
              <w:ind w:left="272" w:leftChars="0"/>
              <w:jc w:val="center"/>
              <w:textAlignment w:val="baseline"/>
              <w:rPr>
                <w:rFonts w:hint="eastAsia" w:ascii="仿宋_GB2312" w:hAnsi="仿宋_GB2312" w:eastAsia="仿宋_GB2312" w:cs="仿宋_GB2312"/>
                <w:b w:val="0"/>
                <w:bCs w:val="0"/>
                <w:snapToGrid w:val="0"/>
                <w:color w:val="000000"/>
                <w:kern w:val="0"/>
                <w:sz w:val="21"/>
                <w:szCs w:val="21"/>
              </w:rPr>
            </w:pPr>
            <w:r>
              <w:rPr>
                <w:rFonts w:hint="eastAsia" w:ascii="仿宋_GB2312" w:hAnsi="仿宋_GB2312" w:eastAsia="仿宋_GB2312" w:cs="仿宋_GB2312"/>
                <w:b w:val="0"/>
                <w:bCs w:val="0"/>
                <w:snapToGrid w:val="0"/>
                <w:color w:val="000000"/>
                <w:kern w:val="0"/>
                <w:sz w:val="21"/>
                <w:szCs w:val="21"/>
                <w:lang w:val="en-US" w:eastAsia="zh-CN"/>
              </w:rPr>
              <w:t>能源股</w:t>
            </w:r>
          </w:p>
        </w:tc>
        <w:tc>
          <w:tcPr>
            <w:tcW w:w="8616" w:type="dxa"/>
            <w:shd w:val="clear" w:color="auto" w:fill="FFFFFF"/>
            <w:tcMar>
              <w:left w:w="108" w:type="dxa"/>
              <w:right w:w="108" w:type="dxa"/>
            </w:tcMar>
            <w:vAlign w:val="center"/>
          </w:tcPr>
          <w:p w14:paraId="4D375EED">
            <w:pPr>
              <w:pStyle w:val="7"/>
              <w:keepNext w:val="0"/>
              <w:keepLines w:val="0"/>
              <w:pageBreakBefore w:val="0"/>
              <w:widowControl/>
              <w:kinsoku w:val="0"/>
              <w:wordWrap/>
              <w:overflowPunct/>
              <w:topLinePunct w:val="0"/>
              <w:autoSpaceDE w:val="0"/>
              <w:autoSpaceDN w:val="0"/>
              <w:bidi w:val="0"/>
              <w:adjustRightInd w:val="0"/>
              <w:snapToGrid w:val="0"/>
              <w:spacing w:line="260" w:lineRule="exact"/>
              <w:ind w:left="272"/>
              <w:jc w:val="left"/>
              <w:textAlignment w:val="baseline"/>
              <w:rPr>
                <w:rFonts w:hint="eastAsia" w:ascii="仿宋_GB2312" w:hAnsi="仿宋_GB2312" w:eastAsia="仿宋_GB2312" w:cs="仿宋_GB2312"/>
                <w:b w:val="0"/>
                <w:bCs w:val="0"/>
                <w:snapToGrid w:val="0"/>
                <w:color w:val="000000"/>
                <w:kern w:val="0"/>
                <w:sz w:val="21"/>
                <w:szCs w:val="21"/>
              </w:rPr>
            </w:pPr>
            <w:r>
              <w:rPr>
                <w:rFonts w:hint="eastAsia" w:ascii="仿宋_GB2312" w:hAnsi="仿宋_GB2312" w:eastAsia="仿宋_GB2312" w:cs="仿宋_GB2312"/>
                <w:b w:val="0"/>
                <w:bCs w:val="0"/>
                <w:snapToGrid w:val="0"/>
                <w:color w:val="000000"/>
                <w:kern w:val="0"/>
                <w:sz w:val="21"/>
                <w:szCs w:val="21"/>
                <w:lang w:val="en-US" w:eastAsia="zh-CN"/>
              </w:rPr>
              <w:t>《中华人民共和国石油天然气管道保护法》第五十三条  未经依法批准，进行本法第三十三条第二款或者第三十五条规定的施工作业的，由县级以上地方人民政府主管管道保护工作的部门责令停止违法行为；情节较重的，处一万元以上五万元以下的罚款；对违法修建的危害管道安全的建筑物、构筑物或者其他设施限期拆除；逾期未拆除的，由县级以上地方人民政府主管管道保护工作的部门组织拆除，所需费用由违法行为人承担。</w:t>
            </w:r>
          </w:p>
        </w:tc>
        <w:tc>
          <w:tcPr>
            <w:tcW w:w="817" w:type="dxa"/>
            <w:shd w:val="clear" w:color="auto" w:fill="FFFFFF"/>
            <w:noWrap/>
            <w:tcMar>
              <w:left w:w="108" w:type="dxa"/>
              <w:right w:w="108" w:type="dxa"/>
            </w:tcMar>
            <w:vAlign w:val="center"/>
          </w:tcPr>
          <w:p w14:paraId="5B5F71DC">
            <w:pPr>
              <w:pStyle w:val="7"/>
              <w:keepNext w:val="0"/>
              <w:keepLines w:val="0"/>
              <w:pageBreakBefore w:val="0"/>
              <w:widowControl/>
              <w:kinsoku w:val="0"/>
              <w:wordWrap/>
              <w:overflowPunct/>
              <w:topLinePunct w:val="0"/>
              <w:autoSpaceDE w:val="0"/>
              <w:autoSpaceDN w:val="0"/>
              <w:bidi w:val="0"/>
              <w:adjustRightInd w:val="0"/>
              <w:snapToGrid w:val="0"/>
              <w:spacing w:line="260" w:lineRule="exact"/>
              <w:ind w:left="272"/>
              <w:jc w:val="center"/>
              <w:textAlignment w:val="baseline"/>
              <w:rPr>
                <w:rFonts w:hint="eastAsia" w:ascii="仿宋_GB2312" w:hAnsi="仿宋_GB2312" w:eastAsia="仿宋_GB2312" w:cs="仿宋_GB2312"/>
                <w:b w:val="0"/>
                <w:bCs w:val="0"/>
                <w:snapToGrid w:val="0"/>
                <w:color w:val="000000"/>
                <w:kern w:val="0"/>
                <w:sz w:val="21"/>
                <w:szCs w:val="21"/>
              </w:rPr>
            </w:pPr>
          </w:p>
        </w:tc>
      </w:tr>
      <w:tr w14:paraId="761999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15" w:hRule="atLeast"/>
        </w:trPr>
        <w:tc>
          <w:tcPr>
            <w:tcW w:w="745" w:type="dxa"/>
            <w:shd w:val="clear" w:color="auto" w:fill="FFFFFF"/>
            <w:tcMar>
              <w:left w:w="108" w:type="dxa"/>
              <w:right w:w="108" w:type="dxa"/>
            </w:tcMar>
            <w:vAlign w:val="center"/>
          </w:tcPr>
          <w:p w14:paraId="6324D6C5">
            <w:pPr>
              <w:pStyle w:val="7"/>
              <w:keepNext w:val="0"/>
              <w:keepLines w:val="0"/>
              <w:pageBreakBefore w:val="0"/>
              <w:widowControl/>
              <w:kinsoku w:val="0"/>
              <w:wordWrap/>
              <w:overflowPunct/>
              <w:topLinePunct w:val="0"/>
              <w:autoSpaceDE w:val="0"/>
              <w:autoSpaceDN w:val="0"/>
              <w:bidi w:val="0"/>
              <w:adjustRightInd w:val="0"/>
              <w:snapToGrid w:val="0"/>
              <w:spacing w:line="260" w:lineRule="exact"/>
              <w:ind w:left="272"/>
              <w:jc w:val="both"/>
              <w:textAlignment w:val="baseline"/>
              <w:rPr>
                <w:rFonts w:hint="eastAsia" w:ascii="仿宋_GB2312" w:hAnsi="仿宋_GB2312" w:eastAsia="仿宋_GB2312" w:cs="仿宋_GB2312"/>
                <w:b w:val="0"/>
                <w:bCs w:val="0"/>
                <w:snapToGrid w:val="0"/>
                <w:color w:val="000000"/>
                <w:kern w:val="0"/>
                <w:sz w:val="21"/>
                <w:szCs w:val="21"/>
              </w:rPr>
            </w:pPr>
            <w:r>
              <w:rPr>
                <w:rFonts w:hint="eastAsia" w:ascii="仿宋_GB2312" w:hAnsi="仿宋_GB2312" w:eastAsia="仿宋_GB2312" w:cs="仿宋_GB2312"/>
                <w:b w:val="0"/>
                <w:bCs w:val="0"/>
                <w:snapToGrid w:val="0"/>
                <w:color w:val="000000"/>
                <w:kern w:val="0"/>
                <w:sz w:val="21"/>
                <w:szCs w:val="21"/>
                <w:lang w:val="en-US" w:eastAsia="zh-CN"/>
              </w:rPr>
              <w:t>31</w:t>
            </w:r>
          </w:p>
        </w:tc>
        <w:tc>
          <w:tcPr>
            <w:tcW w:w="1334" w:type="dxa"/>
            <w:shd w:val="clear" w:color="auto" w:fill="FFFFFF"/>
            <w:tcMar>
              <w:left w:w="108" w:type="dxa"/>
              <w:right w:w="108" w:type="dxa"/>
            </w:tcMar>
            <w:vAlign w:val="center"/>
          </w:tcPr>
          <w:p w14:paraId="6CFA9218">
            <w:pPr>
              <w:pStyle w:val="7"/>
              <w:keepNext w:val="0"/>
              <w:keepLines w:val="0"/>
              <w:pageBreakBefore w:val="0"/>
              <w:widowControl/>
              <w:kinsoku w:val="0"/>
              <w:wordWrap/>
              <w:overflowPunct/>
              <w:topLinePunct w:val="0"/>
              <w:autoSpaceDE w:val="0"/>
              <w:autoSpaceDN w:val="0"/>
              <w:bidi w:val="0"/>
              <w:adjustRightInd w:val="0"/>
              <w:snapToGrid w:val="0"/>
              <w:spacing w:line="260" w:lineRule="exact"/>
              <w:ind w:left="272"/>
              <w:jc w:val="center"/>
              <w:textAlignment w:val="baseline"/>
              <w:rPr>
                <w:rFonts w:hint="eastAsia" w:ascii="仿宋_GB2312" w:hAnsi="仿宋_GB2312" w:eastAsia="仿宋_GB2312" w:cs="仿宋_GB2312"/>
                <w:b w:val="0"/>
                <w:bCs w:val="0"/>
                <w:snapToGrid w:val="0"/>
                <w:color w:val="000000"/>
                <w:kern w:val="0"/>
                <w:sz w:val="21"/>
                <w:szCs w:val="21"/>
              </w:rPr>
            </w:pPr>
            <w:r>
              <w:rPr>
                <w:rFonts w:hint="eastAsia" w:ascii="仿宋_GB2312" w:hAnsi="仿宋_GB2312" w:eastAsia="仿宋_GB2312" w:cs="仿宋_GB2312"/>
                <w:b w:val="0"/>
                <w:bCs w:val="0"/>
                <w:snapToGrid w:val="0"/>
                <w:color w:val="000000"/>
                <w:kern w:val="0"/>
                <w:sz w:val="21"/>
                <w:szCs w:val="21"/>
                <w:lang w:val="en-US" w:eastAsia="zh-CN"/>
              </w:rPr>
              <w:t>对擅自开启、关闭管道阀门等危害石油天然气管道安全及阻碍管道建设行为的行政处罚</w:t>
            </w:r>
          </w:p>
        </w:tc>
        <w:tc>
          <w:tcPr>
            <w:tcW w:w="1085" w:type="dxa"/>
            <w:shd w:val="clear" w:color="auto" w:fill="FFFFFF"/>
            <w:noWrap/>
            <w:tcMar>
              <w:left w:w="108" w:type="dxa"/>
              <w:right w:w="108" w:type="dxa"/>
            </w:tcMar>
            <w:vAlign w:val="center"/>
          </w:tcPr>
          <w:p w14:paraId="6445A3EF">
            <w:pPr>
              <w:pStyle w:val="7"/>
              <w:keepNext w:val="0"/>
              <w:keepLines w:val="0"/>
              <w:pageBreakBefore w:val="0"/>
              <w:widowControl/>
              <w:kinsoku w:val="0"/>
              <w:wordWrap/>
              <w:overflowPunct/>
              <w:topLinePunct w:val="0"/>
              <w:autoSpaceDE w:val="0"/>
              <w:autoSpaceDN w:val="0"/>
              <w:bidi w:val="0"/>
              <w:adjustRightInd w:val="0"/>
              <w:snapToGrid w:val="0"/>
              <w:spacing w:line="260" w:lineRule="exact"/>
              <w:ind w:left="272"/>
              <w:jc w:val="center"/>
              <w:textAlignment w:val="baseline"/>
              <w:rPr>
                <w:rFonts w:hint="eastAsia" w:ascii="仿宋_GB2312" w:hAnsi="仿宋_GB2312" w:eastAsia="仿宋_GB2312" w:cs="仿宋_GB2312"/>
                <w:b w:val="0"/>
                <w:bCs w:val="0"/>
                <w:snapToGrid w:val="0"/>
                <w:color w:val="000000"/>
                <w:kern w:val="0"/>
                <w:sz w:val="21"/>
                <w:szCs w:val="21"/>
              </w:rPr>
            </w:pPr>
            <w:r>
              <w:rPr>
                <w:rFonts w:hint="eastAsia" w:ascii="仿宋_GB2312" w:hAnsi="仿宋_GB2312" w:eastAsia="仿宋_GB2312" w:cs="仿宋_GB2312"/>
                <w:b w:val="0"/>
                <w:bCs w:val="0"/>
                <w:snapToGrid w:val="0"/>
                <w:color w:val="000000"/>
                <w:kern w:val="0"/>
                <w:sz w:val="21"/>
                <w:szCs w:val="21"/>
                <w:lang w:val="en-US" w:eastAsia="zh-CN"/>
              </w:rPr>
              <w:t>行政处罚</w:t>
            </w:r>
          </w:p>
        </w:tc>
        <w:tc>
          <w:tcPr>
            <w:tcW w:w="1179" w:type="dxa"/>
            <w:shd w:val="clear" w:color="auto" w:fill="FFFFFF"/>
            <w:tcMar>
              <w:left w:w="108" w:type="dxa"/>
              <w:right w:w="108" w:type="dxa"/>
            </w:tcMar>
            <w:vAlign w:val="center"/>
          </w:tcPr>
          <w:p w14:paraId="06B460CA">
            <w:pPr>
              <w:pStyle w:val="7"/>
              <w:keepNext w:val="0"/>
              <w:keepLines w:val="0"/>
              <w:pageBreakBefore w:val="0"/>
              <w:widowControl/>
              <w:kinsoku w:val="0"/>
              <w:wordWrap/>
              <w:overflowPunct/>
              <w:topLinePunct w:val="0"/>
              <w:autoSpaceDE w:val="0"/>
              <w:autoSpaceDN w:val="0"/>
              <w:bidi w:val="0"/>
              <w:adjustRightInd w:val="0"/>
              <w:snapToGrid w:val="0"/>
              <w:spacing w:line="260" w:lineRule="exact"/>
              <w:ind w:left="272" w:leftChars="0"/>
              <w:jc w:val="center"/>
              <w:textAlignment w:val="baseline"/>
              <w:rPr>
                <w:rFonts w:hint="eastAsia" w:ascii="仿宋_GB2312" w:hAnsi="仿宋_GB2312" w:eastAsia="仿宋_GB2312" w:cs="仿宋_GB2312"/>
                <w:b w:val="0"/>
                <w:bCs w:val="0"/>
                <w:snapToGrid w:val="0"/>
                <w:color w:val="000000"/>
                <w:kern w:val="0"/>
                <w:sz w:val="21"/>
                <w:szCs w:val="21"/>
              </w:rPr>
            </w:pPr>
            <w:r>
              <w:rPr>
                <w:rFonts w:hint="eastAsia" w:ascii="仿宋_GB2312" w:hAnsi="仿宋_GB2312" w:eastAsia="仿宋_GB2312" w:cs="仿宋_GB2312"/>
                <w:b w:val="0"/>
                <w:bCs w:val="0"/>
                <w:snapToGrid w:val="0"/>
                <w:color w:val="000000"/>
                <w:kern w:val="0"/>
                <w:sz w:val="21"/>
                <w:szCs w:val="21"/>
                <w:lang w:val="en-US" w:eastAsia="zh-CN"/>
              </w:rPr>
              <w:t>零陵区发改局</w:t>
            </w:r>
          </w:p>
        </w:tc>
        <w:tc>
          <w:tcPr>
            <w:tcW w:w="1444" w:type="dxa"/>
            <w:shd w:val="clear" w:color="auto" w:fill="FFFFFF"/>
            <w:tcMar>
              <w:left w:w="108" w:type="dxa"/>
              <w:right w:w="108" w:type="dxa"/>
            </w:tcMar>
            <w:vAlign w:val="center"/>
          </w:tcPr>
          <w:p w14:paraId="3ADC35F9">
            <w:pPr>
              <w:pStyle w:val="7"/>
              <w:keepNext w:val="0"/>
              <w:keepLines w:val="0"/>
              <w:pageBreakBefore w:val="0"/>
              <w:widowControl/>
              <w:kinsoku w:val="0"/>
              <w:wordWrap/>
              <w:overflowPunct/>
              <w:topLinePunct w:val="0"/>
              <w:autoSpaceDE w:val="0"/>
              <w:autoSpaceDN w:val="0"/>
              <w:bidi w:val="0"/>
              <w:adjustRightInd w:val="0"/>
              <w:snapToGrid w:val="0"/>
              <w:spacing w:line="260" w:lineRule="exact"/>
              <w:ind w:left="272" w:leftChars="0"/>
              <w:jc w:val="center"/>
              <w:textAlignment w:val="baseline"/>
              <w:rPr>
                <w:rFonts w:hint="eastAsia" w:ascii="仿宋_GB2312" w:hAnsi="仿宋_GB2312" w:eastAsia="仿宋_GB2312" w:cs="仿宋_GB2312"/>
                <w:b w:val="0"/>
                <w:bCs w:val="0"/>
                <w:snapToGrid w:val="0"/>
                <w:color w:val="000000"/>
                <w:kern w:val="0"/>
                <w:sz w:val="21"/>
                <w:szCs w:val="21"/>
              </w:rPr>
            </w:pPr>
            <w:r>
              <w:rPr>
                <w:rFonts w:hint="eastAsia" w:ascii="仿宋_GB2312" w:hAnsi="仿宋_GB2312" w:eastAsia="仿宋_GB2312" w:cs="仿宋_GB2312"/>
                <w:b w:val="0"/>
                <w:bCs w:val="0"/>
                <w:snapToGrid w:val="0"/>
                <w:color w:val="000000"/>
                <w:kern w:val="0"/>
                <w:sz w:val="21"/>
                <w:szCs w:val="21"/>
                <w:lang w:val="en-US" w:eastAsia="zh-CN"/>
              </w:rPr>
              <w:t>能源股</w:t>
            </w:r>
          </w:p>
        </w:tc>
        <w:tc>
          <w:tcPr>
            <w:tcW w:w="8616" w:type="dxa"/>
            <w:shd w:val="clear" w:color="auto" w:fill="FFFFFF"/>
            <w:tcMar>
              <w:left w:w="108" w:type="dxa"/>
              <w:right w:w="108" w:type="dxa"/>
            </w:tcMar>
            <w:vAlign w:val="center"/>
          </w:tcPr>
          <w:p w14:paraId="452E478A">
            <w:pPr>
              <w:pStyle w:val="7"/>
              <w:keepNext w:val="0"/>
              <w:keepLines w:val="0"/>
              <w:pageBreakBefore w:val="0"/>
              <w:widowControl/>
              <w:kinsoku w:val="0"/>
              <w:wordWrap/>
              <w:overflowPunct/>
              <w:topLinePunct w:val="0"/>
              <w:autoSpaceDE w:val="0"/>
              <w:autoSpaceDN w:val="0"/>
              <w:bidi w:val="0"/>
              <w:adjustRightInd w:val="0"/>
              <w:snapToGrid w:val="0"/>
              <w:spacing w:line="260" w:lineRule="exact"/>
              <w:ind w:left="272"/>
              <w:jc w:val="left"/>
              <w:textAlignment w:val="baseline"/>
              <w:rPr>
                <w:rFonts w:hint="eastAsia" w:ascii="仿宋_GB2312" w:hAnsi="仿宋_GB2312" w:eastAsia="仿宋_GB2312" w:cs="仿宋_GB2312"/>
                <w:b w:val="0"/>
                <w:bCs w:val="0"/>
                <w:snapToGrid w:val="0"/>
                <w:color w:val="000000"/>
                <w:kern w:val="0"/>
                <w:sz w:val="21"/>
                <w:szCs w:val="21"/>
              </w:rPr>
            </w:pPr>
            <w:r>
              <w:rPr>
                <w:rFonts w:hint="eastAsia" w:ascii="仿宋_GB2312" w:hAnsi="仿宋_GB2312" w:eastAsia="仿宋_GB2312" w:cs="仿宋_GB2312"/>
                <w:b w:val="0"/>
                <w:bCs w:val="0"/>
                <w:snapToGrid w:val="0"/>
                <w:color w:val="000000"/>
                <w:kern w:val="0"/>
                <w:sz w:val="21"/>
                <w:szCs w:val="21"/>
                <w:lang w:val="en-US" w:eastAsia="zh-CN"/>
              </w:rPr>
              <w:t>《中华人民共和国石油天然气管道保护法》第五十四条  违反本法规定，有下列行为之一的，由县级以上地方人民政府主管管道保护工作的部门责令改正；情节严重的，处二百元以上一千元以下的罚款：</w:t>
            </w:r>
            <w:r>
              <w:rPr>
                <w:rFonts w:hint="eastAsia" w:ascii="仿宋_GB2312" w:hAnsi="仿宋_GB2312" w:eastAsia="仿宋_GB2312" w:cs="仿宋_GB2312"/>
                <w:b w:val="0"/>
                <w:bCs w:val="0"/>
                <w:snapToGrid w:val="0"/>
                <w:color w:val="000000"/>
                <w:kern w:val="0"/>
                <w:sz w:val="21"/>
                <w:szCs w:val="21"/>
                <w:lang w:val="en-US" w:eastAsia="zh-CN"/>
              </w:rPr>
              <w:br w:type="textWrapping"/>
            </w:r>
            <w:r>
              <w:rPr>
                <w:rFonts w:hint="eastAsia" w:ascii="仿宋_GB2312" w:hAnsi="仿宋_GB2312" w:eastAsia="仿宋_GB2312" w:cs="仿宋_GB2312"/>
                <w:b w:val="0"/>
                <w:bCs w:val="0"/>
                <w:snapToGrid w:val="0"/>
                <w:color w:val="000000"/>
                <w:kern w:val="0"/>
                <w:sz w:val="21"/>
                <w:szCs w:val="21"/>
                <w:lang w:val="en-US" w:eastAsia="zh-CN"/>
              </w:rPr>
              <w:t>（一）擅自开启、关闭管道阀门的；</w:t>
            </w:r>
            <w:r>
              <w:rPr>
                <w:rFonts w:hint="eastAsia" w:ascii="仿宋_GB2312" w:hAnsi="仿宋_GB2312" w:eastAsia="仿宋_GB2312" w:cs="仿宋_GB2312"/>
                <w:b w:val="0"/>
                <w:bCs w:val="0"/>
                <w:snapToGrid w:val="0"/>
                <w:color w:val="000000"/>
                <w:kern w:val="0"/>
                <w:sz w:val="21"/>
                <w:szCs w:val="21"/>
                <w:lang w:val="en-US" w:eastAsia="zh-CN"/>
              </w:rPr>
              <w:br w:type="textWrapping"/>
            </w:r>
            <w:r>
              <w:rPr>
                <w:rFonts w:hint="eastAsia" w:ascii="仿宋_GB2312" w:hAnsi="仿宋_GB2312" w:eastAsia="仿宋_GB2312" w:cs="仿宋_GB2312"/>
                <w:b w:val="0"/>
                <w:bCs w:val="0"/>
                <w:snapToGrid w:val="0"/>
                <w:color w:val="000000"/>
                <w:kern w:val="0"/>
                <w:sz w:val="21"/>
                <w:szCs w:val="21"/>
                <w:lang w:val="en-US" w:eastAsia="zh-CN"/>
              </w:rPr>
              <w:t>（二）移动、毁损、涂改管道标志的；</w:t>
            </w:r>
            <w:r>
              <w:rPr>
                <w:rFonts w:hint="eastAsia" w:ascii="仿宋_GB2312" w:hAnsi="仿宋_GB2312" w:eastAsia="仿宋_GB2312" w:cs="仿宋_GB2312"/>
                <w:b w:val="0"/>
                <w:bCs w:val="0"/>
                <w:snapToGrid w:val="0"/>
                <w:color w:val="000000"/>
                <w:kern w:val="0"/>
                <w:sz w:val="21"/>
                <w:szCs w:val="21"/>
                <w:lang w:val="en-US" w:eastAsia="zh-CN"/>
              </w:rPr>
              <w:br w:type="textWrapping"/>
            </w:r>
            <w:r>
              <w:rPr>
                <w:rFonts w:hint="eastAsia" w:ascii="仿宋_GB2312" w:hAnsi="仿宋_GB2312" w:eastAsia="仿宋_GB2312" w:cs="仿宋_GB2312"/>
                <w:b w:val="0"/>
                <w:bCs w:val="0"/>
                <w:snapToGrid w:val="0"/>
                <w:color w:val="000000"/>
                <w:kern w:val="0"/>
                <w:sz w:val="21"/>
                <w:szCs w:val="21"/>
                <w:lang w:val="en-US" w:eastAsia="zh-CN"/>
              </w:rPr>
              <w:t>（三）在埋地管道上方巡查便道上行驶重型车辆的；</w:t>
            </w:r>
            <w:r>
              <w:rPr>
                <w:rFonts w:hint="eastAsia" w:ascii="仿宋_GB2312" w:hAnsi="仿宋_GB2312" w:eastAsia="仿宋_GB2312" w:cs="仿宋_GB2312"/>
                <w:b w:val="0"/>
                <w:bCs w:val="0"/>
                <w:snapToGrid w:val="0"/>
                <w:color w:val="000000"/>
                <w:kern w:val="0"/>
                <w:sz w:val="21"/>
                <w:szCs w:val="21"/>
                <w:lang w:val="en-US" w:eastAsia="zh-CN"/>
              </w:rPr>
              <w:br w:type="textWrapping"/>
            </w:r>
            <w:r>
              <w:rPr>
                <w:rFonts w:hint="eastAsia" w:ascii="仿宋_GB2312" w:hAnsi="仿宋_GB2312" w:eastAsia="仿宋_GB2312" w:cs="仿宋_GB2312"/>
                <w:b w:val="0"/>
                <w:bCs w:val="0"/>
                <w:snapToGrid w:val="0"/>
                <w:color w:val="000000"/>
                <w:kern w:val="0"/>
                <w:sz w:val="21"/>
                <w:szCs w:val="21"/>
                <w:lang w:val="en-US" w:eastAsia="zh-CN"/>
              </w:rPr>
              <w:t>（四）在地面管道线路、架空管道线路和管桥上行走或者放置重物的；</w:t>
            </w:r>
            <w:r>
              <w:rPr>
                <w:rFonts w:hint="eastAsia" w:ascii="仿宋_GB2312" w:hAnsi="仿宋_GB2312" w:eastAsia="仿宋_GB2312" w:cs="仿宋_GB2312"/>
                <w:b w:val="0"/>
                <w:bCs w:val="0"/>
                <w:snapToGrid w:val="0"/>
                <w:color w:val="000000"/>
                <w:kern w:val="0"/>
                <w:sz w:val="21"/>
                <w:szCs w:val="21"/>
                <w:lang w:val="en-US" w:eastAsia="zh-CN"/>
              </w:rPr>
              <w:br w:type="textWrapping"/>
            </w:r>
            <w:r>
              <w:rPr>
                <w:rFonts w:hint="eastAsia" w:ascii="仿宋_GB2312" w:hAnsi="仿宋_GB2312" w:eastAsia="仿宋_GB2312" w:cs="仿宋_GB2312"/>
                <w:b w:val="0"/>
                <w:bCs w:val="0"/>
                <w:snapToGrid w:val="0"/>
                <w:color w:val="000000"/>
                <w:kern w:val="0"/>
                <w:sz w:val="21"/>
                <w:szCs w:val="21"/>
                <w:lang w:val="en-US" w:eastAsia="zh-CN"/>
              </w:rPr>
              <w:t>（五）阻碍依法进行的管道建设的。</w:t>
            </w:r>
          </w:p>
        </w:tc>
        <w:tc>
          <w:tcPr>
            <w:tcW w:w="817" w:type="dxa"/>
            <w:shd w:val="clear" w:color="auto" w:fill="FFFFFF"/>
            <w:noWrap/>
            <w:tcMar>
              <w:left w:w="108" w:type="dxa"/>
              <w:right w:w="108" w:type="dxa"/>
            </w:tcMar>
            <w:vAlign w:val="center"/>
          </w:tcPr>
          <w:p w14:paraId="68687B86">
            <w:pPr>
              <w:pStyle w:val="7"/>
              <w:keepNext w:val="0"/>
              <w:keepLines w:val="0"/>
              <w:pageBreakBefore w:val="0"/>
              <w:widowControl/>
              <w:kinsoku w:val="0"/>
              <w:wordWrap/>
              <w:overflowPunct/>
              <w:topLinePunct w:val="0"/>
              <w:autoSpaceDE w:val="0"/>
              <w:autoSpaceDN w:val="0"/>
              <w:bidi w:val="0"/>
              <w:adjustRightInd w:val="0"/>
              <w:snapToGrid w:val="0"/>
              <w:spacing w:line="260" w:lineRule="exact"/>
              <w:ind w:left="272"/>
              <w:jc w:val="center"/>
              <w:textAlignment w:val="baseline"/>
              <w:rPr>
                <w:rFonts w:hint="eastAsia" w:ascii="仿宋_GB2312" w:hAnsi="仿宋_GB2312" w:eastAsia="仿宋_GB2312" w:cs="仿宋_GB2312"/>
                <w:b w:val="0"/>
                <w:bCs w:val="0"/>
                <w:snapToGrid w:val="0"/>
                <w:color w:val="000000"/>
                <w:kern w:val="0"/>
                <w:sz w:val="21"/>
                <w:szCs w:val="21"/>
              </w:rPr>
            </w:pPr>
          </w:p>
        </w:tc>
      </w:tr>
      <w:tr w14:paraId="4790A9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988" w:hRule="atLeast"/>
        </w:trPr>
        <w:tc>
          <w:tcPr>
            <w:tcW w:w="745" w:type="dxa"/>
            <w:shd w:val="clear" w:color="auto" w:fill="FFFFFF"/>
            <w:tcMar>
              <w:left w:w="108" w:type="dxa"/>
              <w:right w:w="108" w:type="dxa"/>
            </w:tcMar>
            <w:vAlign w:val="center"/>
          </w:tcPr>
          <w:p w14:paraId="3EEE799E">
            <w:pPr>
              <w:pStyle w:val="7"/>
              <w:keepNext w:val="0"/>
              <w:keepLines w:val="0"/>
              <w:pageBreakBefore w:val="0"/>
              <w:widowControl/>
              <w:kinsoku w:val="0"/>
              <w:wordWrap/>
              <w:overflowPunct/>
              <w:topLinePunct w:val="0"/>
              <w:autoSpaceDE w:val="0"/>
              <w:autoSpaceDN w:val="0"/>
              <w:bidi w:val="0"/>
              <w:adjustRightInd w:val="0"/>
              <w:snapToGrid w:val="0"/>
              <w:spacing w:line="260" w:lineRule="exact"/>
              <w:ind w:left="272"/>
              <w:jc w:val="center"/>
              <w:textAlignment w:val="baseline"/>
              <w:rPr>
                <w:rFonts w:hint="default" w:ascii="仿宋_GB2312" w:hAnsi="仿宋_GB2312" w:eastAsia="仿宋_GB2312" w:cs="仿宋_GB2312"/>
                <w:b w:val="0"/>
                <w:bCs w:val="0"/>
                <w:snapToGrid w:val="0"/>
                <w:color w:val="000000"/>
                <w:kern w:val="0"/>
                <w:sz w:val="21"/>
                <w:szCs w:val="21"/>
                <w:lang w:val="en-US"/>
              </w:rPr>
            </w:pPr>
            <w:bookmarkStart w:id="6" w:name="OLE_LINK6" w:colFirst="3" w:colLast="4"/>
            <w:r>
              <w:rPr>
                <w:rFonts w:hint="eastAsia" w:ascii="仿宋_GB2312" w:hAnsi="仿宋_GB2312" w:eastAsia="仿宋_GB2312" w:cs="仿宋_GB2312"/>
                <w:b w:val="0"/>
                <w:bCs w:val="0"/>
                <w:snapToGrid w:val="0"/>
                <w:color w:val="000000"/>
                <w:kern w:val="0"/>
                <w:sz w:val="21"/>
                <w:szCs w:val="21"/>
                <w:lang w:val="en-US" w:eastAsia="zh-CN"/>
              </w:rPr>
              <w:t>32</w:t>
            </w:r>
          </w:p>
        </w:tc>
        <w:tc>
          <w:tcPr>
            <w:tcW w:w="1334" w:type="dxa"/>
            <w:shd w:val="clear" w:color="auto" w:fill="FFFFFF"/>
            <w:tcMar>
              <w:left w:w="108" w:type="dxa"/>
              <w:right w:w="108" w:type="dxa"/>
            </w:tcMar>
            <w:vAlign w:val="center"/>
          </w:tcPr>
          <w:p w14:paraId="79ABCEB5">
            <w:pPr>
              <w:pStyle w:val="7"/>
              <w:keepNext w:val="0"/>
              <w:keepLines w:val="0"/>
              <w:pageBreakBefore w:val="0"/>
              <w:widowControl/>
              <w:kinsoku w:val="0"/>
              <w:wordWrap/>
              <w:overflowPunct/>
              <w:topLinePunct w:val="0"/>
              <w:autoSpaceDE w:val="0"/>
              <w:autoSpaceDN w:val="0"/>
              <w:bidi w:val="0"/>
              <w:adjustRightInd w:val="0"/>
              <w:snapToGrid w:val="0"/>
              <w:spacing w:line="260" w:lineRule="exact"/>
              <w:ind w:left="272"/>
              <w:jc w:val="center"/>
              <w:textAlignment w:val="baseline"/>
              <w:rPr>
                <w:rFonts w:hint="eastAsia" w:ascii="仿宋_GB2312" w:hAnsi="仿宋_GB2312" w:eastAsia="仿宋_GB2312" w:cs="仿宋_GB2312"/>
                <w:b w:val="0"/>
                <w:bCs w:val="0"/>
                <w:snapToGrid w:val="0"/>
                <w:color w:val="000000"/>
                <w:kern w:val="0"/>
                <w:sz w:val="21"/>
                <w:szCs w:val="21"/>
              </w:rPr>
            </w:pPr>
            <w:r>
              <w:rPr>
                <w:rFonts w:hint="eastAsia" w:ascii="仿宋_GB2312" w:hAnsi="仿宋_GB2312" w:eastAsia="仿宋_GB2312" w:cs="仿宋_GB2312"/>
                <w:b w:val="0"/>
                <w:bCs w:val="0"/>
                <w:snapToGrid w:val="0"/>
                <w:color w:val="000000"/>
                <w:kern w:val="0"/>
                <w:sz w:val="21"/>
                <w:szCs w:val="21"/>
                <w:lang w:val="en-US" w:eastAsia="zh-CN"/>
              </w:rPr>
              <w:t>对公共资源交易项目发起方不遵守公共资源交易活动规则和公共资源交易平台现场管理制度的处罚</w:t>
            </w:r>
          </w:p>
        </w:tc>
        <w:tc>
          <w:tcPr>
            <w:tcW w:w="1085" w:type="dxa"/>
            <w:shd w:val="clear" w:color="auto" w:fill="FFFFFF"/>
            <w:tcMar>
              <w:left w:w="108" w:type="dxa"/>
              <w:right w:w="108" w:type="dxa"/>
            </w:tcMar>
            <w:vAlign w:val="center"/>
          </w:tcPr>
          <w:p w14:paraId="17CB7784">
            <w:pPr>
              <w:pStyle w:val="7"/>
              <w:keepNext w:val="0"/>
              <w:keepLines w:val="0"/>
              <w:pageBreakBefore w:val="0"/>
              <w:widowControl/>
              <w:kinsoku w:val="0"/>
              <w:wordWrap/>
              <w:overflowPunct/>
              <w:topLinePunct w:val="0"/>
              <w:autoSpaceDE w:val="0"/>
              <w:autoSpaceDN w:val="0"/>
              <w:bidi w:val="0"/>
              <w:adjustRightInd w:val="0"/>
              <w:snapToGrid w:val="0"/>
              <w:spacing w:line="260" w:lineRule="exact"/>
              <w:ind w:left="272"/>
              <w:jc w:val="center"/>
              <w:textAlignment w:val="baseline"/>
              <w:rPr>
                <w:rFonts w:hint="eastAsia" w:ascii="仿宋_GB2312" w:hAnsi="仿宋_GB2312" w:eastAsia="仿宋_GB2312" w:cs="仿宋_GB2312"/>
                <w:b w:val="0"/>
                <w:bCs w:val="0"/>
                <w:snapToGrid w:val="0"/>
                <w:color w:val="000000"/>
                <w:kern w:val="0"/>
                <w:sz w:val="21"/>
                <w:szCs w:val="21"/>
              </w:rPr>
            </w:pPr>
            <w:r>
              <w:rPr>
                <w:rFonts w:hint="eastAsia" w:ascii="仿宋_GB2312" w:hAnsi="仿宋_GB2312" w:eastAsia="仿宋_GB2312" w:cs="仿宋_GB2312"/>
                <w:b w:val="0"/>
                <w:bCs w:val="0"/>
                <w:snapToGrid w:val="0"/>
                <w:color w:val="000000"/>
                <w:kern w:val="0"/>
                <w:sz w:val="21"/>
                <w:szCs w:val="21"/>
                <w:lang w:val="en-US" w:eastAsia="zh-CN"/>
              </w:rPr>
              <w:t>行政处罚</w:t>
            </w:r>
          </w:p>
        </w:tc>
        <w:tc>
          <w:tcPr>
            <w:tcW w:w="1179" w:type="dxa"/>
            <w:shd w:val="clear" w:color="auto" w:fill="FFFFFF"/>
            <w:tcMar>
              <w:left w:w="108" w:type="dxa"/>
              <w:right w:w="108" w:type="dxa"/>
            </w:tcMar>
            <w:vAlign w:val="center"/>
          </w:tcPr>
          <w:p w14:paraId="2D473818">
            <w:pPr>
              <w:pStyle w:val="7"/>
              <w:keepNext w:val="0"/>
              <w:keepLines w:val="0"/>
              <w:pageBreakBefore w:val="0"/>
              <w:widowControl/>
              <w:kinsoku w:val="0"/>
              <w:wordWrap/>
              <w:overflowPunct/>
              <w:topLinePunct w:val="0"/>
              <w:autoSpaceDE w:val="0"/>
              <w:autoSpaceDN w:val="0"/>
              <w:bidi w:val="0"/>
              <w:adjustRightInd w:val="0"/>
              <w:snapToGrid w:val="0"/>
              <w:spacing w:line="260" w:lineRule="exact"/>
              <w:ind w:left="272" w:leftChars="0"/>
              <w:jc w:val="center"/>
              <w:textAlignment w:val="baseline"/>
              <w:rPr>
                <w:rFonts w:hint="eastAsia" w:ascii="仿宋_GB2312" w:hAnsi="仿宋_GB2312" w:eastAsia="仿宋_GB2312" w:cs="仿宋_GB2312"/>
                <w:b w:val="0"/>
                <w:bCs w:val="0"/>
                <w:snapToGrid w:val="0"/>
                <w:color w:val="000000"/>
                <w:kern w:val="0"/>
                <w:sz w:val="21"/>
                <w:szCs w:val="21"/>
              </w:rPr>
            </w:pPr>
            <w:r>
              <w:rPr>
                <w:rFonts w:hint="eastAsia" w:ascii="仿宋_GB2312" w:hAnsi="仿宋_GB2312" w:eastAsia="仿宋_GB2312" w:cs="仿宋_GB2312"/>
                <w:b w:val="0"/>
                <w:bCs w:val="0"/>
                <w:snapToGrid w:val="0"/>
                <w:color w:val="000000"/>
                <w:kern w:val="0"/>
                <w:sz w:val="21"/>
                <w:szCs w:val="21"/>
                <w:lang w:val="en-US" w:eastAsia="zh-CN"/>
              </w:rPr>
              <w:t>零陵区发改局</w:t>
            </w:r>
          </w:p>
        </w:tc>
        <w:tc>
          <w:tcPr>
            <w:tcW w:w="1444" w:type="dxa"/>
            <w:shd w:val="clear" w:color="auto" w:fill="FFFFFF"/>
            <w:tcMar>
              <w:left w:w="108" w:type="dxa"/>
              <w:right w:w="108" w:type="dxa"/>
            </w:tcMar>
            <w:vAlign w:val="center"/>
          </w:tcPr>
          <w:p w14:paraId="03C8DF07">
            <w:pPr>
              <w:pStyle w:val="7"/>
              <w:keepNext w:val="0"/>
              <w:keepLines w:val="0"/>
              <w:pageBreakBefore w:val="0"/>
              <w:widowControl/>
              <w:kinsoku w:val="0"/>
              <w:wordWrap/>
              <w:overflowPunct/>
              <w:topLinePunct w:val="0"/>
              <w:autoSpaceDE w:val="0"/>
              <w:autoSpaceDN w:val="0"/>
              <w:bidi w:val="0"/>
              <w:adjustRightInd w:val="0"/>
              <w:snapToGrid w:val="0"/>
              <w:spacing w:line="260" w:lineRule="exact"/>
              <w:ind w:left="272" w:leftChars="0"/>
              <w:jc w:val="center"/>
              <w:textAlignment w:val="baseline"/>
              <w:rPr>
                <w:rFonts w:hint="eastAsia" w:ascii="仿宋_GB2312" w:hAnsi="仿宋_GB2312" w:eastAsia="仿宋_GB2312" w:cs="仿宋_GB2312"/>
                <w:b w:val="0"/>
                <w:bCs w:val="0"/>
                <w:snapToGrid w:val="0"/>
                <w:color w:val="000000"/>
                <w:kern w:val="0"/>
                <w:sz w:val="21"/>
                <w:szCs w:val="21"/>
              </w:rPr>
            </w:pPr>
            <w:r>
              <w:rPr>
                <w:rFonts w:hint="eastAsia" w:ascii="仿宋_GB2312" w:hAnsi="仿宋_GB2312" w:eastAsia="仿宋_GB2312" w:cs="仿宋_GB2312"/>
                <w:b w:val="0"/>
                <w:bCs w:val="0"/>
                <w:snapToGrid w:val="0"/>
                <w:color w:val="000000"/>
                <w:kern w:val="0"/>
                <w:sz w:val="21"/>
                <w:szCs w:val="21"/>
                <w:lang w:val="en-US" w:eastAsia="zh-CN"/>
              </w:rPr>
              <w:t>法规股</w:t>
            </w:r>
          </w:p>
        </w:tc>
        <w:tc>
          <w:tcPr>
            <w:tcW w:w="8616" w:type="dxa"/>
            <w:shd w:val="clear" w:color="auto" w:fill="FFFFFF"/>
            <w:tcMar>
              <w:left w:w="108" w:type="dxa"/>
              <w:right w:w="108" w:type="dxa"/>
            </w:tcMar>
            <w:vAlign w:val="center"/>
          </w:tcPr>
          <w:p w14:paraId="0A1C5B95">
            <w:pPr>
              <w:pStyle w:val="7"/>
              <w:keepNext w:val="0"/>
              <w:keepLines w:val="0"/>
              <w:pageBreakBefore w:val="0"/>
              <w:widowControl/>
              <w:kinsoku w:val="0"/>
              <w:wordWrap/>
              <w:overflowPunct/>
              <w:topLinePunct w:val="0"/>
              <w:autoSpaceDE w:val="0"/>
              <w:autoSpaceDN w:val="0"/>
              <w:bidi w:val="0"/>
              <w:adjustRightInd w:val="0"/>
              <w:snapToGrid w:val="0"/>
              <w:spacing w:line="260" w:lineRule="exact"/>
              <w:ind w:left="272"/>
              <w:jc w:val="left"/>
              <w:textAlignment w:val="baseline"/>
              <w:rPr>
                <w:rFonts w:hint="eastAsia" w:ascii="仿宋_GB2312" w:hAnsi="仿宋_GB2312" w:eastAsia="仿宋_GB2312" w:cs="仿宋_GB2312"/>
                <w:b w:val="0"/>
                <w:bCs w:val="0"/>
                <w:snapToGrid w:val="0"/>
                <w:color w:val="000000"/>
                <w:kern w:val="0"/>
                <w:sz w:val="21"/>
                <w:szCs w:val="21"/>
              </w:rPr>
            </w:pPr>
            <w:r>
              <w:rPr>
                <w:rFonts w:hint="eastAsia" w:ascii="仿宋_GB2312" w:hAnsi="仿宋_GB2312" w:eastAsia="仿宋_GB2312" w:cs="仿宋_GB2312"/>
                <w:b w:val="0"/>
                <w:bCs w:val="0"/>
                <w:snapToGrid w:val="0"/>
                <w:color w:val="000000"/>
                <w:kern w:val="0"/>
                <w:sz w:val="21"/>
                <w:szCs w:val="21"/>
                <w:lang w:val="en-US" w:eastAsia="zh-CN"/>
              </w:rPr>
              <w:t>《湖南省公共资源交易监督管理办法》第十六条   行政监督部门应当监督公共资源交易项目发起方遵守公共资源交易活动规则和公共资源交易平台现场管理制度。发起方不得有以下行为：</w:t>
            </w:r>
            <w:r>
              <w:rPr>
                <w:rFonts w:hint="eastAsia" w:ascii="仿宋_GB2312" w:hAnsi="仿宋_GB2312" w:eastAsia="仿宋_GB2312" w:cs="仿宋_GB2312"/>
                <w:b w:val="0"/>
                <w:bCs w:val="0"/>
                <w:snapToGrid w:val="0"/>
                <w:color w:val="000000"/>
                <w:kern w:val="0"/>
                <w:sz w:val="21"/>
                <w:szCs w:val="21"/>
                <w:lang w:val="en-US" w:eastAsia="zh-CN"/>
              </w:rPr>
              <w:br w:type="textWrapping"/>
            </w:r>
            <w:r>
              <w:rPr>
                <w:rFonts w:hint="eastAsia" w:ascii="仿宋_GB2312" w:hAnsi="仿宋_GB2312" w:eastAsia="仿宋_GB2312" w:cs="仿宋_GB2312"/>
                <w:b w:val="0"/>
                <w:bCs w:val="0"/>
                <w:snapToGrid w:val="0"/>
                <w:color w:val="000000"/>
                <w:kern w:val="0"/>
                <w:sz w:val="21"/>
                <w:szCs w:val="21"/>
                <w:lang w:val="en-US" w:eastAsia="zh-CN"/>
              </w:rPr>
              <w:t>（一）对列入公共资源交易目录的项目，采取化整为零或者以其他方式予以规避，不进入公共资源交易平台交易；</w:t>
            </w:r>
            <w:r>
              <w:rPr>
                <w:rFonts w:hint="eastAsia" w:ascii="仿宋_GB2312" w:hAnsi="仿宋_GB2312" w:eastAsia="仿宋_GB2312" w:cs="仿宋_GB2312"/>
                <w:b w:val="0"/>
                <w:bCs w:val="0"/>
                <w:snapToGrid w:val="0"/>
                <w:color w:val="000000"/>
                <w:kern w:val="0"/>
                <w:sz w:val="21"/>
                <w:szCs w:val="21"/>
                <w:lang w:val="en-US" w:eastAsia="zh-CN"/>
              </w:rPr>
              <w:br w:type="textWrapping"/>
            </w:r>
            <w:r>
              <w:rPr>
                <w:rFonts w:hint="eastAsia" w:ascii="仿宋_GB2312" w:hAnsi="仿宋_GB2312" w:eastAsia="仿宋_GB2312" w:cs="仿宋_GB2312"/>
                <w:b w:val="0"/>
                <w:bCs w:val="0"/>
                <w:snapToGrid w:val="0"/>
                <w:color w:val="000000"/>
                <w:kern w:val="0"/>
                <w:sz w:val="21"/>
                <w:szCs w:val="21"/>
                <w:lang w:val="en-US" w:eastAsia="zh-CN"/>
              </w:rPr>
              <w:t>（二）以不合理的条件排斥、歧视潜在响应方；</w:t>
            </w:r>
            <w:r>
              <w:rPr>
                <w:rFonts w:hint="eastAsia" w:ascii="仿宋_GB2312" w:hAnsi="仿宋_GB2312" w:eastAsia="仿宋_GB2312" w:cs="仿宋_GB2312"/>
                <w:b w:val="0"/>
                <w:bCs w:val="0"/>
                <w:snapToGrid w:val="0"/>
                <w:color w:val="000000"/>
                <w:kern w:val="0"/>
                <w:sz w:val="21"/>
                <w:szCs w:val="21"/>
                <w:lang w:val="en-US" w:eastAsia="zh-CN"/>
              </w:rPr>
              <w:br w:type="textWrapping"/>
            </w:r>
            <w:r>
              <w:rPr>
                <w:rFonts w:hint="eastAsia" w:ascii="仿宋_GB2312" w:hAnsi="仿宋_GB2312" w:eastAsia="仿宋_GB2312" w:cs="仿宋_GB2312"/>
                <w:b w:val="0"/>
                <w:bCs w:val="0"/>
                <w:snapToGrid w:val="0"/>
                <w:color w:val="000000"/>
                <w:kern w:val="0"/>
                <w:sz w:val="21"/>
                <w:szCs w:val="21"/>
                <w:lang w:val="en-US" w:eastAsia="zh-CN"/>
              </w:rPr>
              <w:t>（三）与公共资源交易项目响应方或者评标评审委员会成员串通；</w:t>
            </w:r>
            <w:r>
              <w:rPr>
                <w:rFonts w:hint="eastAsia" w:ascii="仿宋_GB2312" w:hAnsi="仿宋_GB2312" w:eastAsia="仿宋_GB2312" w:cs="仿宋_GB2312"/>
                <w:b w:val="0"/>
                <w:bCs w:val="0"/>
                <w:snapToGrid w:val="0"/>
                <w:color w:val="000000"/>
                <w:kern w:val="0"/>
                <w:sz w:val="21"/>
                <w:szCs w:val="21"/>
                <w:lang w:val="en-US" w:eastAsia="zh-CN"/>
              </w:rPr>
              <w:br w:type="textWrapping"/>
            </w:r>
            <w:r>
              <w:rPr>
                <w:rFonts w:hint="eastAsia" w:ascii="仿宋_GB2312" w:hAnsi="仿宋_GB2312" w:eastAsia="仿宋_GB2312" w:cs="仿宋_GB2312"/>
                <w:b w:val="0"/>
                <w:bCs w:val="0"/>
                <w:snapToGrid w:val="0"/>
                <w:color w:val="000000"/>
                <w:kern w:val="0"/>
                <w:sz w:val="21"/>
                <w:szCs w:val="21"/>
                <w:lang w:val="en-US" w:eastAsia="zh-CN"/>
              </w:rPr>
              <w:t>（四）其他违反法律、法规、规章的行为。</w:t>
            </w:r>
            <w:r>
              <w:rPr>
                <w:rFonts w:hint="eastAsia" w:ascii="仿宋_GB2312" w:hAnsi="仿宋_GB2312" w:eastAsia="仿宋_GB2312" w:cs="仿宋_GB2312"/>
                <w:b w:val="0"/>
                <w:bCs w:val="0"/>
                <w:snapToGrid w:val="0"/>
                <w:color w:val="000000"/>
                <w:kern w:val="0"/>
                <w:sz w:val="21"/>
                <w:szCs w:val="21"/>
                <w:lang w:val="en-US" w:eastAsia="zh-CN"/>
              </w:rPr>
              <w:br w:type="textWrapping"/>
            </w:r>
            <w:r>
              <w:rPr>
                <w:rFonts w:hint="eastAsia" w:ascii="仿宋_GB2312" w:hAnsi="仿宋_GB2312" w:eastAsia="仿宋_GB2312" w:cs="仿宋_GB2312"/>
                <w:b w:val="0"/>
                <w:bCs w:val="0"/>
                <w:snapToGrid w:val="0"/>
                <w:color w:val="000000"/>
                <w:kern w:val="0"/>
                <w:sz w:val="21"/>
                <w:szCs w:val="21"/>
                <w:lang w:val="en-US" w:eastAsia="zh-CN"/>
              </w:rPr>
              <w:t>第二十七条　公共资源交易项目发起方、响应方违反本办法第十六条、第十七条规定的，由相关行政监督部门责令改正；情节严重的，给予警告，可以处10000元以上50000元以下罚款，依法追究直接负责的主管人员和直接责任人员的责任；构成犯罪的，依法追究刑事责任。</w:t>
            </w:r>
          </w:p>
        </w:tc>
        <w:tc>
          <w:tcPr>
            <w:tcW w:w="817" w:type="dxa"/>
            <w:shd w:val="clear" w:color="auto" w:fill="FFFFFF"/>
            <w:noWrap/>
            <w:tcMar>
              <w:left w:w="108" w:type="dxa"/>
              <w:right w:w="108" w:type="dxa"/>
            </w:tcMar>
            <w:vAlign w:val="center"/>
          </w:tcPr>
          <w:p w14:paraId="4A7CF9AD">
            <w:pPr>
              <w:pStyle w:val="7"/>
              <w:keepNext w:val="0"/>
              <w:keepLines w:val="0"/>
              <w:pageBreakBefore w:val="0"/>
              <w:widowControl/>
              <w:kinsoku w:val="0"/>
              <w:wordWrap/>
              <w:overflowPunct/>
              <w:topLinePunct w:val="0"/>
              <w:autoSpaceDE w:val="0"/>
              <w:autoSpaceDN w:val="0"/>
              <w:bidi w:val="0"/>
              <w:adjustRightInd w:val="0"/>
              <w:snapToGrid w:val="0"/>
              <w:spacing w:line="260" w:lineRule="exact"/>
              <w:ind w:left="272"/>
              <w:jc w:val="center"/>
              <w:textAlignment w:val="baseline"/>
              <w:rPr>
                <w:rFonts w:hint="eastAsia" w:ascii="仿宋_GB2312" w:hAnsi="仿宋_GB2312" w:eastAsia="仿宋_GB2312" w:cs="仿宋_GB2312"/>
                <w:b w:val="0"/>
                <w:bCs w:val="0"/>
                <w:snapToGrid w:val="0"/>
                <w:color w:val="000000"/>
                <w:kern w:val="0"/>
                <w:sz w:val="21"/>
                <w:szCs w:val="21"/>
              </w:rPr>
            </w:pPr>
          </w:p>
        </w:tc>
      </w:tr>
      <w:bookmarkEnd w:id="6"/>
      <w:tr w14:paraId="771A96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rPr>
        <w:tc>
          <w:tcPr>
            <w:tcW w:w="745" w:type="dxa"/>
            <w:shd w:val="clear" w:color="auto" w:fill="FFFFFF"/>
            <w:tcMar>
              <w:left w:w="108" w:type="dxa"/>
              <w:right w:w="108" w:type="dxa"/>
            </w:tcMar>
            <w:vAlign w:val="center"/>
          </w:tcPr>
          <w:p w14:paraId="0472C41A">
            <w:pPr>
              <w:pStyle w:val="7"/>
              <w:keepNext w:val="0"/>
              <w:keepLines w:val="0"/>
              <w:pageBreakBefore w:val="0"/>
              <w:widowControl/>
              <w:kinsoku w:val="0"/>
              <w:wordWrap/>
              <w:overflowPunct/>
              <w:topLinePunct w:val="0"/>
              <w:autoSpaceDE w:val="0"/>
              <w:autoSpaceDN w:val="0"/>
              <w:bidi w:val="0"/>
              <w:adjustRightInd w:val="0"/>
              <w:snapToGrid w:val="0"/>
              <w:spacing w:line="260" w:lineRule="exact"/>
              <w:ind w:left="272"/>
              <w:jc w:val="center"/>
              <w:textAlignment w:val="baseline"/>
              <w:rPr>
                <w:rFonts w:hint="default" w:ascii="仿宋_GB2312" w:hAnsi="仿宋_GB2312" w:eastAsia="仿宋_GB2312" w:cs="仿宋_GB2312"/>
                <w:b w:val="0"/>
                <w:bCs w:val="0"/>
                <w:snapToGrid w:val="0"/>
                <w:color w:val="000000"/>
                <w:kern w:val="0"/>
                <w:sz w:val="21"/>
                <w:szCs w:val="21"/>
                <w:lang w:val="en-US"/>
              </w:rPr>
            </w:pPr>
            <w:r>
              <w:rPr>
                <w:rFonts w:hint="eastAsia" w:ascii="仿宋_GB2312" w:hAnsi="仿宋_GB2312" w:eastAsia="仿宋_GB2312" w:cs="仿宋_GB2312"/>
                <w:b w:val="0"/>
                <w:bCs w:val="0"/>
                <w:snapToGrid w:val="0"/>
                <w:color w:val="000000"/>
                <w:kern w:val="0"/>
                <w:sz w:val="21"/>
                <w:szCs w:val="21"/>
                <w:lang w:val="en-US" w:eastAsia="zh-CN"/>
              </w:rPr>
              <w:t>33</w:t>
            </w:r>
          </w:p>
        </w:tc>
        <w:tc>
          <w:tcPr>
            <w:tcW w:w="1334" w:type="dxa"/>
            <w:shd w:val="clear" w:color="auto" w:fill="FFFFFF"/>
            <w:tcMar>
              <w:left w:w="108" w:type="dxa"/>
              <w:right w:w="108" w:type="dxa"/>
            </w:tcMar>
            <w:vAlign w:val="center"/>
          </w:tcPr>
          <w:p w14:paraId="57984DC0">
            <w:pPr>
              <w:pStyle w:val="7"/>
              <w:keepNext w:val="0"/>
              <w:keepLines w:val="0"/>
              <w:pageBreakBefore w:val="0"/>
              <w:widowControl/>
              <w:kinsoku w:val="0"/>
              <w:wordWrap/>
              <w:overflowPunct/>
              <w:topLinePunct w:val="0"/>
              <w:autoSpaceDE w:val="0"/>
              <w:autoSpaceDN w:val="0"/>
              <w:bidi w:val="0"/>
              <w:adjustRightInd w:val="0"/>
              <w:snapToGrid w:val="0"/>
              <w:spacing w:line="260" w:lineRule="exact"/>
              <w:ind w:left="272"/>
              <w:jc w:val="center"/>
              <w:textAlignment w:val="baseline"/>
              <w:rPr>
                <w:rFonts w:hint="eastAsia" w:ascii="仿宋_GB2312" w:hAnsi="仿宋_GB2312" w:eastAsia="仿宋_GB2312" w:cs="仿宋_GB2312"/>
                <w:b w:val="0"/>
                <w:bCs w:val="0"/>
                <w:snapToGrid w:val="0"/>
                <w:color w:val="000000"/>
                <w:kern w:val="0"/>
                <w:sz w:val="21"/>
                <w:szCs w:val="21"/>
              </w:rPr>
            </w:pPr>
            <w:r>
              <w:rPr>
                <w:rFonts w:hint="eastAsia" w:ascii="仿宋_GB2312" w:hAnsi="仿宋_GB2312" w:eastAsia="仿宋_GB2312" w:cs="仿宋_GB2312"/>
                <w:b w:val="0"/>
                <w:bCs w:val="0"/>
                <w:snapToGrid w:val="0"/>
                <w:color w:val="000000"/>
                <w:kern w:val="0"/>
                <w:sz w:val="21"/>
                <w:szCs w:val="21"/>
                <w:lang w:val="en-US" w:eastAsia="zh-CN"/>
              </w:rPr>
              <w:t>对公共资源交易项目响应方不遵守公共资源交易活动规则和公共资源交易平台现场管理制度的处罚</w:t>
            </w:r>
          </w:p>
        </w:tc>
        <w:tc>
          <w:tcPr>
            <w:tcW w:w="1085" w:type="dxa"/>
            <w:shd w:val="clear" w:color="auto" w:fill="FFFFFF"/>
            <w:tcMar>
              <w:left w:w="108" w:type="dxa"/>
              <w:right w:w="108" w:type="dxa"/>
            </w:tcMar>
            <w:vAlign w:val="center"/>
          </w:tcPr>
          <w:p w14:paraId="03015118">
            <w:pPr>
              <w:pStyle w:val="7"/>
              <w:keepNext w:val="0"/>
              <w:keepLines w:val="0"/>
              <w:pageBreakBefore w:val="0"/>
              <w:widowControl/>
              <w:kinsoku w:val="0"/>
              <w:wordWrap/>
              <w:overflowPunct/>
              <w:topLinePunct w:val="0"/>
              <w:autoSpaceDE w:val="0"/>
              <w:autoSpaceDN w:val="0"/>
              <w:bidi w:val="0"/>
              <w:adjustRightInd w:val="0"/>
              <w:snapToGrid w:val="0"/>
              <w:spacing w:line="260" w:lineRule="exact"/>
              <w:ind w:left="272"/>
              <w:jc w:val="center"/>
              <w:textAlignment w:val="baseline"/>
              <w:rPr>
                <w:rFonts w:hint="eastAsia" w:ascii="仿宋_GB2312" w:hAnsi="仿宋_GB2312" w:eastAsia="仿宋_GB2312" w:cs="仿宋_GB2312"/>
                <w:b w:val="0"/>
                <w:bCs w:val="0"/>
                <w:snapToGrid w:val="0"/>
                <w:color w:val="000000"/>
                <w:kern w:val="0"/>
                <w:sz w:val="21"/>
                <w:szCs w:val="21"/>
              </w:rPr>
            </w:pPr>
            <w:r>
              <w:rPr>
                <w:rFonts w:hint="eastAsia" w:ascii="仿宋_GB2312" w:hAnsi="仿宋_GB2312" w:eastAsia="仿宋_GB2312" w:cs="仿宋_GB2312"/>
                <w:b w:val="0"/>
                <w:bCs w:val="0"/>
                <w:snapToGrid w:val="0"/>
                <w:color w:val="000000"/>
                <w:kern w:val="0"/>
                <w:sz w:val="21"/>
                <w:szCs w:val="21"/>
                <w:lang w:val="en-US" w:eastAsia="zh-CN"/>
              </w:rPr>
              <w:t>行政处罚</w:t>
            </w:r>
          </w:p>
        </w:tc>
        <w:tc>
          <w:tcPr>
            <w:tcW w:w="1179" w:type="dxa"/>
            <w:shd w:val="clear" w:color="auto" w:fill="FFFFFF"/>
            <w:tcMar>
              <w:left w:w="108" w:type="dxa"/>
              <w:right w:w="108" w:type="dxa"/>
            </w:tcMar>
            <w:vAlign w:val="center"/>
          </w:tcPr>
          <w:p w14:paraId="302D41B9">
            <w:pPr>
              <w:pStyle w:val="7"/>
              <w:keepNext w:val="0"/>
              <w:keepLines w:val="0"/>
              <w:pageBreakBefore w:val="0"/>
              <w:widowControl/>
              <w:kinsoku w:val="0"/>
              <w:wordWrap/>
              <w:overflowPunct/>
              <w:topLinePunct w:val="0"/>
              <w:autoSpaceDE w:val="0"/>
              <w:autoSpaceDN w:val="0"/>
              <w:bidi w:val="0"/>
              <w:adjustRightInd w:val="0"/>
              <w:snapToGrid w:val="0"/>
              <w:spacing w:line="260" w:lineRule="exact"/>
              <w:ind w:left="272" w:leftChars="0"/>
              <w:jc w:val="center"/>
              <w:textAlignment w:val="baseline"/>
              <w:rPr>
                <w:rFonts w:hint="eastAsia" w:ascii="仿宋_GB2312" w:hAnsi="仿宋_GB2312" w:eastAsia="仿宋_GB2312" w:cs="仿宋_GB2312"/>
                <w:b w:val="0"/>
                <w:bCs w:val="0"/>
                <w:snapToGrid w:val="0"/>
                <w:color w:val="000000"/>
                <w:kern w:val="0"/>
                <w:sz w:val="21"/>
                <w:szCs w:val="21"/>
              </w:rPr>
            </w:pPr>
            <w:r>
              <w:rPr>
                <w:rFonts w:hint="eastAsia" w:ascii="仿宋_GB2312" w:hAnsi="仿宋_GB2312" w:eastAsia="仿宋_GB2312" w:cs="仿宋_GB2312"/>
                <w:b w:val="0"/>
                <w:bCs w:val="0"/>
                <w:snapToGrid w:val="0"/>
                <w:color w:val="000000"/>
                <w:kern w:val="0"/>
                <w:sz w:val="21"/>
                <w:szCs w:val="21"/>
                <w:lang w:val="en-US" w:eastAsia="zh-CN"/>
              </w:rPr>
              <w:t>零陵区发改局</w:t>
            </w:r>
          </w:p>
        </w:tc>
        <w:tc>
          <w:tcPr>
            <w:tcW w:w="1444" w:type="dxa"/>
            <w:shd w:val="clear" w:color="auto" w:fill="FFFFFF"/>
            <w:tcMar>
              <w:left w:w="108" w:type="dxa"/>
              <w:right w:w="108" w:type="dxa"/>
            </w:tcMar>
            <w:vAlign w:val="center"/>
          </w:tcPr>
          <w:p w14:paraId="527F2A0A">
            <w:pPr>
              <w:pStyle w:val="7"/>
              <w:keepNext w:val="0"/>
              <w:keepLines w:val="0"/>
              <w:pageBreakBefore w:val="0"/>
              <w:widowControl/>
              <w:kinsoku w:val="0"/>
              <w:wordWrap/>
              <w:overflowPunct/>
              <w:topLinePunct w:val="0"/>
              <w:autoSpaceDE w:val="0"/>
              <w:autoSpaceDN w:val="0"/>
              <w:bidi w:val="0"/>
              <w:adjustRightInd w:val="0"/>
              <w:snapToGrid w:val="0"/>
              <w:spacing w:line="260" w:lineRule="exact"/>
              <w:ind w:left="272" w:leftChars="0"/>
              <w:jc w:val="center"/>
              <w:textAlignment w:val="baseline"/>
              <w:rPr>
                <w:rFonts w:hint="eastAsia" w:ascii="仿宋_GB2312" w:hAnsi="仿宋_GB2312" w:eastAsia="仿宋_GB2312" w:cs="仿宋_GB2312"/>
                <w:b w:val="0"/>
                <w:bCs w:val="0"/>
                <w:snapToGrid w:val="0"/>
                <w:color w:val="000000"/>
                <w:kern w:val="0"/>
                <w:sz w:val="21"/>
                <w:szCs w:val="21"/>
              </w:rPr>
            </w:pPr>
            <w:r>
              <w:rPr>
                <w:rFonts w:hint="eastAsia" w:ascii="仿宋_GB2312" w:hAnsi="仿宋_GB2312" w:eastAsia="仿宋_GB2312" w:cs="仿宋_GB2312"/>
                <w:b w:val="0"/>
                <w:bCs w:val="0"/>
                <w:snapToGrid w:val="0"/>
                <w:color w:val="000000"/>
                <w:kern w:val="0"/>
                <w:sz w:val="21"/>
                <w:szCs w:val="21"/>
                <w:lang w:val="en-US" w:eastAsia="zh-CN"/>
              </w:rPr>
              <w:t>法规股</w:t>
            </w:r>
          </w:p>
        </w:tc>
        <w:tc>
          <w:tcPr>
            <w:tcW w:w="8616" w:type="dxa"/>
            <w:shd w:val="clear" w:color="auto" w:fill="FFFFFF"/>
            <w:tcMar>
              <w:left w:w="108" w:type="dxa"/>
              <w:right w:w="108" w:type="dxa"/>
            </w:tcMar>
            <w:vAlign w:val="center"/>
          </w:tcPr>
          <w:p w14:paraId="58024C67">
            <w:pPr>
              <w:pStyle w:val="7"/>
              <w:keepNext w:val="0"/>
              <w:keepLines w:val="0"/>
              <w:pageBreakBefore w:val="0"/>
              <w:widowControl/>
              <w:kinsoku w:val="0"/>
              <w:wordWrap/>
              <w:overflowPunct/>
              <w:topLinePunct w:val="0"/>
              <w:autoSpaceDE w:val="0"/>
              <w:autoSpaceDN w:val="0"/>
              <w:bidi w:val="0"/>
              <w:adjustRightInd w:val="0"/>
              <w:snapToGrid w:val="0"/>
              <w:spacing w:line="260" w:lineRule="exact"/>
              <w:ind w:left="272"/>
              <w:jc w:val="left"/>
              <w:textAlignment w:val="baseline"/>
              <w:rPr>
                <w:rFonts w:hint="eastAsia" w:ascii="仿宋_GB2312" w:hAnsi="仿宋_GB2312" w:eastAsia="仿宋_GB2312" w:cs="仿宋_GB2312"/>
                <w:b w:val="0"/>
                <w:bCs w:val="0"/>
                <w:snapToGrid w:val="0"/>
                <w:color w:val="000000"/>
                <w:kern w:val="0"/>
                <w:sz w:val="21"/>
                <w:szCs w:val="21"/>
              </w:rPr>
            </w:pPr>
            <w:r>
              <w:rPr>
                <w:rFonts w:hint="eastAsia" w:ascii="仿宋_GB2312" w:hAnsi="仿宋_GB2312" w:eastAsia="仿宋_GB2312" w:cs="仿宋_GB2312"/>
                <w:b w:val="0"/>
                <w:bCs w:val="0"/>
                <w:snapToGrid w:val="0"/>
                <w:color w:val="000000"/>
                <w:kern w:val="0"/>
                <w:sz w:val="21"/>
                <w:szCs w:val="21"/>
                <w:lang w:val="en-US" w:eastAsia="zh-CN"/>
              </w:rPr>
              <w:t>《湖南省公共资源交易监督管理办法》第十七条　行政监督部门应当监督公共资源交易项目响应方遵守公共资源交易活动规则和公共资源交易平台现场管理制度。响应方不得有以下行为：</w:t>
            </w:r>
            <w:r>
              <w:rPr>
                <w:rFonts w:hint="eastAsia" w:ascii="仿宋_GB2312" w:hAnsi="仿宋_GB2312" w:eastAsia="仿宋_GB2312" w:cs="仿宋_GB2312"/>
                <w:b w:val="0"/>
                <w:bCs w:val="0"/>
                <w:snapToGrid w:val="0"/>
                <w:color w:val="000000"/>
                <w:kern w:val="0"/>
                <w:sz w:val="21"/>
                <w:szCs w:val="21"/>
                <w:lang w:val="en-US" w:eastAsia="zh-CN"/>
              </w:rPr>
              <w:br w:type="textWrapping"/>
            </w:r>
            <w:r>
              <w:rPr>
                <w:rFonts w:hint="eastAsia" w:ascii="仿宋_GB2312" w:hAnsi="仿宋_GB2312" w:eastAsia="仿宋_GB2312" w:cs="仿宋_GB2312"/>
                <w:b w:val="0"/>
                <w:bCs w:val="0"/>
                <w:snapToGrid w:val="0"/>
                <w:color w:val="000000"/>
                <w:kern w:val="0"/>
                <w:sz w:val="21"/>
                <w:szCs w:val="21"/>
                <w:lang w:val="en-US" w:eastAsia="zh-CN"/>
              </w:rPr>
              <w:t>（一）冒用、借用他人名义交易或者以其他方式弄虚作假骗取项目竞得；</w:t>
            </w:r>
            <w:r>
              <w:rPr>
                <w:rFonts w:hint="eastAsia" w:ascii="仿宋_GB2312" w:hAnsi="仿宋_GB2312" w:eastAsia="仿宋_GB2312" w:cs="仿宋_GB2312"/>
                <w:b w:val="0"/>
                <w:bCs w:val="0"/>
                <w:snapToGrid w:val="0"/>
                <w:color w:val="000000"/>
                <w:kern w:val="0"/>
                <w:sz w:val="21"/>
                <w:szCs w:val="21"/>
                <w:lang w:val="en-US" w:eastAsia="zh-CN"/>
              </w:rPr>
              <w:br w:type="textWrapping"/>
            </w:r>
            <w:r>
              <w:rPr>
                <w:rFonts w:hint="eastAsia" w:ascii="仿宋_GB2312" w:hAnsi="仿宋_GB2312" w:eastAsia="仿宋_GB2312" w:cs="仿宋_GB2312"/>
                <w:b w:val="0"/>
                <w:bCs w:val="0"/>
                <w:snapToGrid w:val="0"/>
                <w:color w:val="000000"/>
                <w:kern w:val="0"/>
                <w:sz w:val="21"/>
                <w:szCs w:val="21"/>
                <w:lang w:val="en-US" w:eastAsia="zh-CN"/>
              </w:rPr>
              <w:t>（二）串通或者通过行贿等违法手段谋取竞得；</w:t>
            </w:r>
            <w:r>
              <w:rPr>
                <w:rFonts w:hint="eastAsia" w:ascii="仿宋_GB2312" w:hAnsi="仿宋_GB2312" w:eastAsia="仿宋_GB2312" w:cs="仿宋_GB2312"/>
                <w:b w:val="0"/>
                <w:bCs w:val="0"/>
                <w:snapToGrid w:val="0"/>
                <w:color w:val="000000"/>
                <w:kern w:val="0"/>
                <w:sz w:val="21"/>
                <w:szCs w:val="21"/>
                <w:lang w:val="en-US" w:eastAsia="zh-CN"/>
              </w:rPr>
              <w:br w:type="textWrapping"/>
            </w:r>
            <w:r>
              <w:rPr>
                <w:rFonts w:hint="eastAsia" w:ascii="仿宋_GB2312" w:hAnsi="仿宋_GB2312" w:eastAsia="仿宋_GB2312" w:cs="仿宋_GB2312"/>
                <w:b w:val="0"/>
                <w:bCs w:val="0"/>
                <w:snapToGrid w:val="0"/>
                <w:color w:val="000000"/>
                <w:kern w:val="0"/>
                <w:sz w:val="21"/>
                <w:szCs w:val="21"/>
                <w:lang w:val="en-US" w:eastAsia="zh-CN"/>
              </w:rPr>
              <w:t>（三）虚假、恶意投诉排挤竞争对手，阻碍公共资源交易活动正常进行；</w:t>
            </w:r>
            <w:r>
              <w:rPr>
                <w:rFonts w:hint="eastAsia" w:ascii="仿宋_GB2312" w:hAnsi="仿宋_GB2312" w:eastAsia="仿宋_GB2312" w:cs="仿宋_GB2312"/>
                <w:b w:val="0"/>
                <w:bCs w:val="0"/>
                <w:snapToGrid w:val="0"/>
                <w:color w:val="000000"/>
                <w:kern w:val="0"/>
                <w:sz w:val="21"/>
                <w:szCs w:val="21"/>
                <w:lang w:val="en-US" w:eastAsia="zh-CN"/>
              </w:rPr>
              <w:br w:type="textWrapping"/>
            </w:r>
            <w:r>
              <w:rPr>
                <w:rFonts w:hint="eastAsia" w:ascii="仿宋_GB2312" w:hAnsi="仿宋_GB2312" w:eastAsia="仿宋_GB2312" w:cs="仿宋_GB2312"/>
                <w:b w:val="0"/>
                <w:bCs w:val="0"/>
                <w:snapToGrid w:val="0"/>
                <w:color w:val="000000"/>
                <w:kern w:val="0"/>
                <w:sz w:val="21"/>
                <w:szCs w:val="21"/>
                <w:lang w:val="en-US" w:eastAsia="zh-CN"/>
              </w:rPr>
              <w:t>（四）其他违反法律、法规、规章的行为。</w:t>
            </w:r>
            <w:r>
              <w:rPr>
                <w:rFonts w:hint="eastAsia" w:ascii="仿宋_GB2312" w:hAnsi="仿宋_GB2312" w:eastAsia="仿宋_GB2312" w:cs="仿宋_GB2312"/>
                <w:b w:val="0"/>
                <w:bCs w:val="0"/>
                <w:snapToGrid w:val="0"/>
                <w:color w:val="000000"/>
                <w:kern w:val="0"/>
                <w:sz w:val="21"/>
                <w:szCs w:val="21"/>
                <w:lang w:val="en-US" w:eastAsia="zh-CN"/>
              </w:rPr>
              <w:br w:type="textWrapping"/>
            </w:r>
            <w:r>
              <w:rPr>
                <w:rFonts w:hint="eastAsia" w:ascii="仿宋_GB2312" w:hAnsi="仿宋_GB2312" w:eastAsia="仿宋_GB2312" w:cs="仿宋_GB2312"/>
                <w:b w:val="0"/>
                <w:bCs w:val="0"/>
                <w:snapToGrid w:val="0"/>
                <w:color w:val="000000"/>
                <w:kern w:val="0"/>
                <w:sz w:val="21"/>
                <w:szCs w:val="21"/>
                <w:lang w:val="en-US" w:eastAsia="zh-CN"/>
              </w:rPr>
              <w:t>第二十七条　公共资源交易项目发起方、响应方违反本办法第十六条、第十七条规定的，由相关行政监督部门责令改正；情节严重的，给予警告，可以处10000元以上50000元以下罚款，依法追究直接负责的主管人员和直接责任人员的责任；构成犯罪的，依法追究刑事责任。</w:t>
            </w:r>
          </w:p>
        </w:tc>
        <w:tc>
          <w:tcPr>
            <w:tcW w:w="817" w:type="dxa"/>
            <w:shd w:val="clear" w:color="auto" w:fill="FFFFFF"/>
            <w:noWrap/>
            <w:tcMar>
              <w:left w:w="108" w:type="dxa"/>
              <w:right w:w="108" w:type="dxa"/>
            </w:tcMar>
            <w:vAlign w:val="center"/>
          </w:tcPr>
          <w:p w14:paraId="55708809">
            <w:pPr>
              <w:pStyle w:val="7"/>
              <w:keepNext w:val="0"/>
              <w:keepLines w:val="0"/>
              <w:pageBreakBefore w:val="0"/>
              <w:widowControl/>
              <w:kinsoku w:val="0"/>
              <w:wordWrap/>
              <w:overflowPunct/>
              <w:topLinePunct w:val="0"/>
              <w:autoSpaceDE w:val="0"/>
              <w:autoSpaceDN w:val="0"/>
              <w:bidi w:val="0"/>
              <w:adjustRightInd w:val="0"/>
              <w:snapToGrid w:val="0"/>
              <w:spacing w:line="260" w:lineRule="exact"/>
              <w:ind w:left="272"/>
              <w:jc w:val="center"/>
              <w:textAlignment w:val="baseline"/>
              <w:rPr>
                <w:rFonts w:hint="eastAsia" w:ascii="仿宋_GB2312" w:hAnsi="仿宋_GB2312" w:eastAsia="仿宋_GB2312" w:cs="仿宋_GB2312"/>
                <w:b w:val="0"/>
                <w:bCs w:val="0"/>
                <w:snapToGrid w:val="0"/>
                <w:color w:val="000000"/>
                <w:kern w:val="0"/>
                <w:sz w:val="21"/>
                <w:szCs w:val="21"/>
              </w:rPr>
            </w:pPr>
          </w:p>
        </w:tc>
      </w:tr>
      <w:tr w14:paraId="04ECE9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89" w:hRule="atLeast"/>
        </w:trPr>
        <w:tc>
          <w:tcPr>
            <w:tcW w:w="745" w:type="dxa"/>
            <w:shd w:val="clear" w:color="auto" w:fill="FFFFFF"/>
            <w:tcMar>
              <w:left w:w="108" w:type="dxa"/>
              <w:right w:w="108" w:type="dxa"/>
            </w:tcMar>
            <w:vAlign w:val="center"/>
          </w:tcPr>
          <w:p w14:paraId="69FD8B33">
            <w:pPr>
              <w:pStyle w:val="7"/>
              <w:keepNext w:val="0"/>
              <w:keepLines w:val="0"/>
              <w:pageBreakBefore w:val="0"/>
              <w:widowControl/>
              <w:kinsoku w:val="0"/>
              <w:wordWrap/>
              <w:overflowPunct/>
              <w:topLinePunct w:val="0"/>
              <w:autoSpaceDE w:val="0"/>
              <w:autoSpaceDN w:val="0"/>
              <w:bidi w:val="0"/>
              <w:adjustRightInd w:val="0"/>
              <w:snapToGrid w:val="0"/>
              <w:spacing w:line="260" w:lineRule="exact"/>
              <w:ind w:left="272"/>
              <w:jc w:val="center"/>
              <w:textAlignment w:val="baseline"/>
              <w:rPr>
                <w:rFonts w:hint="default" w:ascii="仿宋_GB2312" w:hAnsi="仿宋_GB2312" w:eastAsia="仿宋_GB2312" w:cs="仿宋_GB2312"/>
                <w:b w:val="0"/>
                <w:bCs w:val="0"/>
                <w:snapToGrid w:val="0"/>
                <w:color w:val="000000"/>
                <w:kern w:val="0"/>
                <w:sz w:val="21"/>
                <w:szCs w:val="21"/>
                <w:lang w:val="en-US"/>
              </w:rPr>
            </w:pPr>
            <w:r>
              <w:rPr>
                <w:rFonts w:hint="eastAsia" w:ascii="仿宋_GB2312" w:hAnsi="仿宋_GB2312" w:eastAsia="仿宋_GB2312" w:cs="仿宋_GB2312"/>
                <w:b w:val="0"/>
                <w:bCs w:val="0"/>
                <w:snapToGrid w:val="0"/>
                <w:color w:val="000000"/>
                <w:kern w:val="0"/>
                <w:sz w:val="21"/>
                <w:szCs w:val="21"/>
                <w:lang w:val="en-US" w:eastAsia="zh-CN"/>
              </w:rPr>
              <w:t>34</w:t>
            </w:r>
          </w:p>
        </w:tc>
        <w:tc>
          <w:tcPr>
            <w:tcW w:w="1334" w:type="dxa"/>
            <w:shd w:val="clear" w:color="auto" w:fill="FFFFFF"/>
            <w:tcMar>
              <w:left w:w="108" w:type="dxa"/>
              <w:right w:w="108" w:type="dxa"/>
            </w:tcMar>
            <w:vAlign w:val="center"/>
          </w:tcPr>
          <w:p w14:paraId="7E3497BA">
            <w:pPr>
              <w:pStyle w:val="7"/>
              <w:keepNext w:val="0"/>
              <w:keepLines w:val="0"/>
              <w:pageBreakBefore w:val="0"/>
              <w:widowControl/>
              <w:kinsoku w:val="0"/>
              <w:wordWrap/>
              <w:overflowPunct/>
              <w:topLinePunct w:val="0"/>
              <w:autoSpaceDE w:val="0"/>
              <w:autoSpaceDN w:val="0"/>
              <w:bidi w:val="0"/>
              <w:adjustRightInd w:val="0"/>
              <w:snapToGrid w:val="0"/>
              <w:spacing w:line="260" w:lineRule="exact"/>
              <w:ind w:left="272"/>
              <w:jc w:val="center"/>
              <w:textAlignment w:val="baseline"/>
              <w:rPr>
                <w:rFonts w:hint="eastAsia" w:ascii="仿宋_GB2312" w:hAnsi="仿宋_GB2312" w:eastAsia="仿宋_GB2312" w:cs="仿宋_GB2312"/>
                <w:b w:val="0"/>
                <w:bCs w:val="0"/>
                <w:snapToGrid w:val="0"/>
                <w:color w:val="000000"/>
                <w:kern w:val="0"/>
                <w:sz w:val="21"/>
                <w:szCs w:val="21"/>
              </w:rPr>
            </w:pPr>
            <w:r>
              <w:rPr>
                <w:rFonts w:hint="eastAsia" w:ascii="仿宋_GB2312" w:hAnsi="仿宋_GB2312" w:eastAsia="仿宋_GB2312" w:cs="仿宋_GB2312"/>
                <w:b w:val="0"/>
                <w:bCs w:val="0"/>
                <w:snapToGrid w:val="0"/>
                <w:color w:val="000000"/>
                <w:kern w:val="0"/>
                <w:sz w:val="21"/>
                <w:szCs w:val="21"/>
                <w:lang w:val="en-US" w:eastAsia="zh-CN"/>
              </w:rPr>
              <w:t>对公共资源交易中介机构违法参与公共资源交易活动的处罚</w:t>
            </w:r>
          </w:p>
        </w:tc>
        <w:tc>
          <w:tcPr>
            <w:tcW w:w="1085" w:type="dxa"/>
            <w:shd w:val="clear" w:color="auto" w:fill="FFFFFF"/>
            <w:tcMar>
              <w:left w:w="108" w:type="dxa"/>
              <w:right w:w="108" w:type="dxa"/>
            </w:tcMar>
            <w:vAlign w:val="center"/>
          </w:tcPr>
          <w:p w14:paraId="6D033346">
            <w:pPr>
              <w:pStyle w:val="7"/>
              <w:keepNext w:val="0"/>
              <w:keepLines w:val="0"/>
              <w:pageBreakBefore w:val="0"/>
              <w:widowControl/>
              <w:kinsoku w:val="0"/>
              <w:wordWrap/>
              <w:overflowPunct/>
              <w:topLinePunct w:val="0"/>
              <w:autoSpaceDE w:val="0"/>
              <w:autoSpaceDN w:val="0"/>
              <w:bidi w:val="0"/>
              <w:adjustRightInd w:val="0"/>
              <w:snapToGrid w:val="0"/>
              <w:spacing w:line="260" w:lineRule="exact"/>
              <w:ind w:left="272"/>
              <w:jc w:val="center"/>
              <w:textAlignment w:val="baseline"/>
              <w:rPr>
                <w:rFonts w:hint="eastAsia" w:ascii="仿宋_GB2312" w:hAnsi="仿宋_GB2312" w:eastAsia="仿宋_GB2312" w:cs="仿宋_GB2312"/>
                <w:b w:val="0"/>
                <w:bCs w:val="0"/>
                <w:snapToGrid w:val="0"/>
                <w:color w:val="000000"/>
                <w:kern w:val="0"/>
                <w:sz w:val="21"/>
                <w:szCs w:val="21"/>
              </w:rPr>
            </w:pPr>
            <w:r>
              <w:rPr>
                <w:rFonts w:hint="eastAsia" w:ascii="仿宋_GB2312" w:hAnsi="仿宋_GB2312" w:eastAsia="仿宋_GB2312" w:cs="仿宋_GB2312"/>
                <w:b w:val="0"/>
                <w:bCs w:val="0"/>
                <w:snapToGrid w:val="0"/>
                <w:color w:val="000000"/>
                <w:kern w:val="0"/>
                <w:sz w:val="21"/>
                <w:szCs w:val="21"/>
                <w:lang w:val="en-US" w:eastAsia="zh-CN"/>
              </w:rPr>
              <w:t>行政处罚</w:t>
            </w:r>
          </w:p>
        </w:tc>
        <w:tc>
          <w:tcPr>
            <w:tcW w:w="1179" w:type="dxa"/>
            <w:shd w:val="clear" w:color="auto" w:fill="FFFFFF"/>
            <w:tcMar>
              <w:left w:w="108" w:type="dxa"/>
              <w:right w:w="108" w:type="dxa"/>
            </w:tcMar>
            <w:vAlign w:val="center"/>
          </w:tcPr>
          <w:p w14:paraId="0121038B">
            <w:pPr>
              <w:pStyle w:val="7"/>
              <w:keepNext w:val="0"/>
              <w:keepLines w:val="0"/>
              <w:pageBreakBefore w:val="0"/>
              <w:widowControl/>
              <w:kinsoku w:val="0"/>
              <w:wordWrap/>
              <w:overflowPunct/>
              <w:topLinePunct w:val="0"/>
              <w:autoSpaceDE w:val="0"/>
              <w:autoSpaceDN w:val="0"/>
              <w:bidi w:val="0"/>
              <w:adjustRightInd w:val="0"/>
              <w:snapToGrid w:val="0"/>
              <w:spacing w:line="260" w:lineRule="exact"/>
              <w:ind w:left="272" w:leftChars="0"/>
              <w:jc w:val="center"/>
              <w:textAlignment w:val="baseline"/>
              <w:rPr>
                <w:rFonts w:hint="eastAsia" w:ascii="仿宋_GB2312" w:hAnsi="仿宋_GB2312" w:eastAsia="仿宋_GB2312" w:cs="仿宋_GB2312"/>
                <w:b w:val="0"/>
                <w:bCs w:val="0"/>
                <w:snapToGrid w:val="0"/>
                <w:color w:val="000000"/>
                <w:kern w:val="0"/>
                <w:sz w:val="21"/>
                <w:szCs w:val="21"/>
              </w:rPr>
            </w:pPr>
            <w:r>
              <w:rPr>
                <w:rFonts w:hint="eastAsia" w:ascii="仿宋_GB2312" w:hAnsi="仿宋_GB2312" w:eastAsia="仿宋_GB2312" w:cs="仿宋_GB2312"/>
                <w:b w:val="0"/>
                <w:bCs w:val="0"/>
                <w:snapToGrid w:val="0"/>
                <w:color w:val="000000"/>
                <w:kern w:val="0"/>
                <w:sz w:val="21"/>
                <w:szCs w:val="21"/>
                <w:lang w:val="en-US" w:eastAsia="zh-CN"/>
              </w:rPr>
              <w:t>零陵区发改局</w:t>
            </w:r>
          </w:p>
        </w:tc>
        <w:tc>
          <w:tcPr>
            <w:tcW w:w="1444" w:type="dxa"/>
            <w:shd w:val="clear" w:color="auto" w:fill="FFFFFF"/>
            <w:tcMar>
              <w:left w:w="108" w:type="dxa"/>
              <w:right w:w="108" w:type="dxa"/>
            </w:tcMar>
            <w:vAlign w:val="center"/>
          </w:tcPr>
          <w:p w14:paraId="30C02C6D">
            <w:pPr>
              <w:pStyle w:val="7"/>
              <w:keepNext w:val="0"/>
              <w:keepLines w:val="0"/>
              <w:pageBreakBefore w:val="0"/>
              <w:widowControl/>
              <w:kinsoku w:val="0"/>
              <w:wordWrap/>
              <w:overflowPunct/>
              <w:topLinePunct w:val="0"/>
              <w:autoSpaceDE w:val="0"/>
              <w:autoSpaceDN w:val="0"/>
              <w:bidi w:val="0"/>
              <w:adjustRightInd w:val="0"/>
              <w:snapToGrid w:val="0"/>
              <w:spacing w:line="260" w:lineRule="exact"/>
              <w:ind w:left="272" w:leftChars="0"/>
              <w:jc w:val="center"/>
              <w:textAlignment w:val="baseline"/>
              <w:rPr>
                <w:rFonts w:hint="eastAsia" w:ascii="仿宋_GB2312" w:hAnsi="仿宋_GB2312" w:eastAsia="仿宋_GB2312" w:cs="仿宋_GB2312"/>
                <w:b w:val="0"/>
                <w:bCs w:val="0"/>
                <w:snapToGrid w:val="0"/>
                <w:color w:val="000000"/>
                <w:kern w:val="0"/>
                <w:sz w:val="21"/>
                <w:szCs w:val="21"/>
              </w:rPr>
            </w:pPr>
            <w:r>
              <w:rPr>
                <w:rFonts w:hint="eastAsia" w:ascii="仿宋_GB2312" w:hAnsi="仿宋_GB2312" w:eastAsia="仿宋_GB2312" w:cs="仿宋_GB2312"/>
                <w:b w:val="0"/>
                <w:bCs w:val="0"/>
                <w:snapToGrid w:val="0"/>
                <w:color w:val="000000"/>
                <w:kern w:val="0"/>
                <w:sz w:val="21"/>
                <w:szCs w:val="21"/>
                <w:lang w:val="en-US" w:eastAsia="zh-CN"/>
              </w:rPr>
              <w:t>法规股</w:t>
            </w:r>
          </w:p>
        </w:tc>
        <w:tc>
          <w:tcPr>
            <w:tcW w:w="8616" w:type="dxa"/>
            <w:shd w:val="clear" w:color="auto" w:fill="FFFFFF"/>
            <w:tcMar>
              <w:left w:w="108" w:type="dxa"/>
              <w:right w:w="108" w:type="dxa"/>
            </w:tcMar>
            <w:vAlign w:val="center"/>
          </w:tcPr>
          <w:p w14:paraId="517CD399">
            <w:pPr>
              <w:pStyle w:val="7"/>
              <w:keepNext w:val="0"/>
              <w:keepLines w:val="0"/>
              <w:pageBreakBefore w:val="0"/>
              <w:widowControl/>
              <w:kinsoku w:val="0"/>
              <w:wordWrap/>
              <w:overflowPunct/>
              <w:topLinePunct w:val="0"/>
              <w:autoSpaceDE w:val="0"/>
              <w:autoSpaceDN w:val="0"/>
              <w:bidi w:val="0"/>
              <w:adjustRightInd w:val="0"/>
              <w:snapToGrid w:val="0"/>
              <w:spacing w:line="260" w:lineRule="exact"/>
              <w:ind w:left="272"/>
              <w:jc w:val="left"/>
              <w:textAlignment w:val="baseline"/>
              <w:rPr>
                <w:rFonts w:hint="eastAsia" w:ascii="仿宋_GB2312" w:hAnsi="仿宋_GB2312" w:eastAsia="仿宋_GB2312" w:cs="仿宋_GB2312"/>
                <w:b w:val="0"/>
                <w:bCs w:val="0"/>
                <w:snapToGrid w:val="0"/>
                <w:color w:val="000000"/>
                <w:kern w:val="0"/>
                <w:sz w:val="21"/>
                <w:szCs w:val="21"/>
              </w:rPr>
            </w:pPr>
            <w:r>
              <w:rPr>
                <w:rFonts w:hint="eastAsia" w:ascii="仿宋_GB2312" w:hAnsi="仿宋_GB2312" w:eastAsia="仿宋_GB2312" w:cs="仿宋_GB2312"/>
                <w:b w:val="0"/>
                <w:bCs w:val="0"/>
                <w:snapToGrid w:val="0"/>
                <w:color w:val="000000"/>
                <w:kern w:val="0"/>
                <w:sz w:val="21"/>
                <w:szCs w:val="21"/>
                <w:lang w:val="en-US" w:eastAsia="zh-CN"/>
              </w:rPr>
              <w:t>《湖南省公共资源交易监督管理办法》第十八条　行政监督部门应当监督公共资源交易中介机构依法参与公共资源交易活动。中介机构不得有以下行为：</w:t>
            </w:r>
            <w:r>
              <w:rPr>
                <w:rFonts w:hint="eastAsia" w:ascii="仿宋_GB2312" w:hAnsi="仿宋_GB2312" w:eastAsia="仿宋_GB2312" w:cs="仿宋_GB2312"/>
                <w:b w:val="0"/>
                <w:bCs w:val="0"/>
                <w:snapToGrid w:val="0"/>
                <w:color w:val="000000"/>
                <w:kern w:val="0"/>
                <w:sz w:val="21"/>
                <w:szCs w:val="21"/>
                <w:lang w:val="en-US" w:eastAsia="zh-CN"/>
              </w:rPr>
              <w:br w:type="textWrapping"/>
            </w:r>
            <w:r>
              <w:rPr>
                <w:rFonts w:hint="eastAsia" w:ascii="仿宋_GB2312" w:hAnsi="仿宋_GB2312" w:eastAsia="仿宋_GB2312" w:cs="仿宋_GB2312"/>
                <w:b w:val="0"/>
                <w:bCs w:val="0"/>
                <w:snapToGrid w:val="0"/>
                <w:color w:val="000000"/>
                <w:kern w:val="0"/>
                <w:sz w:val="21"/>
                <w:szCs w:val="21"/>
                <w:lang w:val="en-US" w:eastAsia="zh-CN"/>
              </w:rPr>
              <w:t>（一）泄露应当保密的与公共资源交易活动有关的情况和资料；</w:t>
            </w:r>
            <w:r>
              <w:rPr>
                <w:rFonts w:hint="eastAsia" w:ascii="仿宋_GB2312" w:hAnsi="仿宋_GB2312" w:eastAsia="仿宋_GB2312" w:cs="仿宋_GB2312"/>
                <w:b w:val="0"/>
                <w:bCs w:val="0"/>
                <w:snapToGrid w:val="0"/>
                <w:color w:val="000000"/>
                <w:kern w:val="0"/>
                <w:sz w:val="21"/>
                <w:szCs w:val="21"/>
                <w:lang w:val="en-US" w:eastAsia="zh-CN"/>
              </w:rPr>
              <w:br w:type="textWrapping"/>
            </w:r>
            <w:r>
              <w:rPr>
                <w:rFonts w:hint="eastAsia" w:ascii="仿宋_GB2312" w:hAnsi="仿宋_GB2312" w:eastAsia="仿宋_GB2312" w:cs="仿宋_GB2312"/>
                <w:b w:val="0"/>
                <w:bCs w:val="0"/>
                <w:snapToGrid w:val="0"/>
                <w:color w:val="000000"/>
                <w:kern w:val="0"/>
                <w:sz w:val="21"/>
                <w:szCs w:val="21"/>
                <w:lang w:val="en-US" w:eastAsia="zh-CN"/>
              </w:rPr>
              <w:t>（二）与公共资源交易项目发起方或者项目响应方串通损害国家利益、社会公共利益或者他人合法权益；</w:t>
            </w:r>
            <w:r>
              <w:rPr>
                <w:rFonts w:hint="eastAsia" w:ascii="仿宋_GB2312" w:hAnsi="仿宋_GB2312" w:eastAsia="仿宋_GB2312" w:cs="仿宋_GB2312"/>
                <w:b w:val="0"/>
                <w:bCs w:val="0"/>
                <w:snapToGrid w:val="0"/>
                <w:color w:val="000000"/>
                <w:kern w:val="0"/>
                <w:sz w:val="21"/>
                <w:szCs w:val="21"/>
                <w:lang w:val="en-US" w:eastAsia="zh-CN"/>
              </w:rPr>
              <w:br w:type="textWrapping"/>
            </w:r>
            <w:r>
              <w:rPr>
                <w:rFonts w:hint="eastAsia" w:ascii="仿宋_GB2312" w:hAnsi="仿宋_GB2312" w:eastAsia="仿宋_GB2312" w:cs="仿宋_GB2312"/>
                <w:b w:val="0"/>
                <w:bCs w:val="0"/>
                <w:snapToGrid w:val="0"/>
                <w:color w:val="000000"/>
                <w:kern w:val="0"/>
                <w:sz w:val="21"/>
                <w:szCs w:val="21"/>
                <w:lang w:val="en-US" w:eastAsia="zh-CN"/>
              </w:rPr>
              <w:t>（三）在交易过程中行贿、接受贿赂或者获取其他不正当利益；</w:t>
            </w:r>
            <w:r>
              <w:rPr>
                <w:rFonts w:hint="eastAsia" w:ascii="仿宋_GB2312" w:hAnsi="仿宋_GB2312" w:eastAsia="仿宋_GB2312" w:cs="仿宋_GB2312"/>
                <w:b w:val="0"/>
                <w:bCs w:val="0"/>
                <w:snapToGrid w:val="0"/>
                <w:color w:val="000000"/>
                <w:kern w:val="0"/>
                <w:sz w:val="21"/>
                <w:szCs w:val="21"/>
                <w:lang w:val="en-US" w:eastAsia="zh-CN"/>
              </w:rPr>
              <w:br w:type="textWrapping"/>
            </w:r>
            <w:r>
              <w:rPr>
                <w:rFonts w:hint="eastAsia" w:ascii="仿宋_GB2312" w:hAnsi="仿宋_GB2312" w:eastAsia="仿宋_GB2312" w:cs="仿宋_GB2312"/>
                <w:b w:val="0"/>
                <w:bCs w:val="0"/>
                <w:snapToGrid w:val="0"/>
                <w:color w:val="000000"/>
                <w:kern w:val="0"/>
                <w:sz w:val="21"/>
                <w:szCs w:val="21"/>
                <w:lang w:val="en-US" w:eastAsia="zh-CN"/>
              </w:rPr>
              <w:t>（四）其他违反法律、法规、规章的行为。</w:t>
            </w:r>
            <w:r>
              <w:rPr>
                <w:rFonts w:hint="eastAsia" w:ascii="仿宋_GB2312" w:hAnsi="仿宋_GB2312" w:eastAsia="仿宋_GB2312" w:cs="仿宋_GB2312"/>
                <w:b w:val="0"/>
                <w:bCs w:val="0"/>
                <w:snapToGrid w:val="0"/>
                <w:color w:val="000000"/>
                <w:kern w:val="0"/>
                <w:sz w:val="21"/>
                <w:szCs w:val="21"/>
                <w:lang w:val="en-US" w:eastAsia="zh-CN"/>
              </w:rPr>
              <w:br w:type="textWrapping"/>
            </w:r>
            <w:r>
              <w:rPr>
                <w:rFonts w:hint="eastAsia" w:ascii="仿宋_GB2312" w:hAnsi="仿宋_GB2312" w:eastAsia="仿宋_GB2312" w:cs="仿宋_GB2312"/>
                <w:b w:val="0"/>
                <w:bCs w:val="0"/>
                <w:snapToGrid w:val="0"/>
                <w:color w:val="000000"/>
                <w:kern w:val="0"/>
                <w:sz w:val="21"/>
                <w:szCs w:val="21"/>
                <w:lang w:val="en-US" w:eastAsia="zh-CN"/>
              </w:rPr>
              <w:t>第二十八条　中介机构违反本办法第十八条规定的，由相关行政监督部门责令改正；对交易结果造成实质性影响的，给予警告，无违法所得的，可以处10000元以上50000元以下罚款，有违法所得的，可以处50000元以上150000元以下罚款，依法追究直接负责的主管人员和直接责任人员的责任；构成犯罪的，依法追究刑事责任。</w:t>
            </w:r>
          </w:p>
        </w:tc>
        <w:tc>
          <w:tcPr>
            <w:tcW w:w="817" w:type="dxa"/>
            <w:shd w:val="clear" w:color="auto" w:fill="FFFFFF"/>
            <w:noWrap/>
            <w:tcMar>
              <w:left w:w="108" w:type="dxa"/>
              <w:right w:w="108" w:type="dxa"/>
            </w:tcMar>
            <w:vAlign w:val="center"/>
          </w:tcPr>
          <w:p w14:paraId="41568995">
            <w:pPr>
              <w:pStyle w:val="7"/>
              <w:keepNext w:val="0"/>
              <w:keepLines w:val="0"/>
              <w:pageBreakBefore w:val="0"/>
              <w:widowControl/>
              <w:kinsoku w:val="0"/>
              <w:wordWrap/>
              <w:overflowPunct/>
              <w:topLinePunct w:val="0"/>
              <w:autoSpaceDE w:val="0"/>
              <w:autoSpaceDN w:val="0"/>
              <w:bidi w:val="0"/>
              <w:adjustRightInd w:val="0"/>
              <w:snapToGrid w:val="0"/>
              <w:spacing w:line="260" w:lineRule="exact"/>
              <w:ind w:left="272"/>
              <w:jc w:val="center"/>
              <w:textAlignment w:val="baseline"/>
              <w:rPr>
                <w:rFonts w:hint="eastAsia" w:ascii="仿宋_GB2312" w:hAnsi="仿宋_GB2312" w:eastAsia="仿宋_GB2312" w:cs="仿宋_GB2312"/>
                <w:b w:val="0"/>
                <w:bCs w:val="0"/>
                <w:snapToGrid w:val="0"/>
                <w:color w:val="000000"/>
                <w:kern w:val="0"/>
                <w:sz w:val="21"/>
                <w:szCs w:val="21"/>
              </w:rPr>
            </w:pPr>
          </w:p>
        </w:tc>
      </w:tr>
      <w:tr w14:paraId="681F75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367" w:hRule="atLeast"/>
        </w:trPr>
        <w:tc>
          <w:tcPr>
            <w:tcW w:w="745" w:type="dxa"/>
            <w:shd w:val="clear" w:color="auto" w:fill="FFFFFF"/>
            <w:tcMar>
              <w:left w:w="108" w:type="dxa"/>
              <w:right w:w="108" w:type="dxa"/>
            </w:tcMar>
            <w:vAlign w:val="center"/>
          </w:tcPr>
          <w:p w14:paraId="19D6185D">
            <w:pPr>
              <w:pStyle w:val="7"/>
              <w:keepNext w:val="0"/>
              <w:keepLines w:val="0"/>
              <w:pageBreakBefore w:val="0"/>
              <w:widowControl/>
              <w:kinsoku w:val="0"/>
              <w:wordWrap/>
              <w:overflowPunct/>
              <w:topLinePunct w:val="0"/>
              <w:autoSpaceDE w:val="0"/>
              <w:autoSpaceDN w:val="0"/>
              <w:bidi w:val="0"/>
              <w:adjustRightInd w:val="0"/>
              <w:snapToGrid w:val="0"/>
              <w:spacing w:line="260" w:lineRule="exact"/>
              <w:ind w:left="272"/>
              <w:jc w:val="center"/>
              <w:textAlignment w:val="baseline"/>
              <w:rPr>
                <w:rFonts w:hint="default" w:ascii="仿宋_GB2312" w:hAnsi="仿宋_GB2312" w:eastAsia="仿宋_GB2312" w:cs="仿宋_GB2312"/>
                <w:b w:val="0"/>
                <w:bCs w:val="0"/>
                <w:snapToGrid w:val="0"/>
                <w:color w:val="000000"/>
                <w:kern w:val="0"/>
                <w:sz w:val="21"/>
                <w:szCs w:val="21"/>
                <w:lang w:val="en-US"/>
              </w:rPr>
            </w:pPr>
            <w:r>
              <w:rPr>
                <w:rFonts w:hint="eastAsia" w:ascii="仿宋_GB2312" w:hAnsi="仿宋_GB2312" w:eastAsia="仿宋_GB2312" w:cs="仿宋_GB2312"/>
                <w:b w:val="0"/>
                <w:bCs w:val="0"/>
                <w:snapToGrid w:val="0"/>
                <w:color w:val="000000"/>
                <w:kern w:val="0"/>
                <w:sz w:val="21"/>
                <w:szCs w:val="21"/>
                <w:lang w:val="en-US" w:eastAsia="zh-CN"/>
              </w:rPr>
              <w:t>35</w:t>
            </w:r>
          </w:p>
        </w:tc>
        <w:tc>
          <w:tcPr>
            <w:tcW w:w="1334" w:type="dxa"/>
            <w:shd w:val="clear" w:color="auto" w:fill="FFFFFF"/>
            <w:tcMar>
              <w:left w:w="108" w:type="dxa"/>
              <w:right w:w="108" w:type="dxa"/>
            </w:tcMar>
            <w:vAlign w:val="center"/>
          </w:tcPr>
          <w:p w14:paraId="63292F1D">
            <w:pPr>
              <w:pStyle w:val="7"/>
              <w:keepNext w:val="0"/>
              <w:keepLines w:val="0"/>
              <w:pageBreakBefore w:val="0"/>
              <w:widowControl/>
              <w:kinsoku w:val="0"/>
              <w:wordWrap/>
              <w:overflowPunct/>
              <w:topLinePunct w:val="0"/>
              <w:autoSpaceDE w:val="0"/>
              <w:autoSpaceDN w:val="0"/>
              <w:bidi w:val="0"/>
              <w:adjustRightInd w:val="0"/>
              <w:snapToGrid w:val="0"/>
              <w:spacing w:line="260" w:lineRule="exact"/>
              <w:ind w:left="272"/>
              <w:jc w:val="center"/>
              <w:textAlignment w:val="baseline"/>
              <w:rPr>
                <w:rFonts w:hint="eastAsia" w:ascii="仿宋_GB2312" w:hAnsi="仿宋_GB2312" w:eastAsia="仿宋_GB2312" w:cs="仿宋_GB2312"/>
                <w:b w:val="0"/>
                <w:bCs w:val="0"/>
                <w:snapToGrid w:val="0"/>
                <w:color w:val="000000"/>
                <w:kern w:val="0"/>
                <w:sz w:val="21"/>
                <w:szCs w:val="21"/>
              </w:rPr>
            </w:pPr>
            <w:r>
              <w:rPr>
                <w:rFonts w:hint="eastAsia" w:ascii="仿宋_GB2312" w:hAnsi="仿宋_GB2312" w:eastAsia="仿宋_GB2312" w:cs="仿宋_GB2312"/>
                <w:b w:val="0"/>
                <w:bCs w:val="0"/>
                <w:snapToGrid w:val="0"/>
                <w:color w:val="000000"/>
                <w:kern w:val="0"/>
                <w:sz w:val="21"/>
                <w:szCs w:val="21"/>
                <w:lang w:val="en-US" w:eastAsia="zh-CN"/>
              </w:rPr>
              <w:t>节能监察和检查</w:t>
            </w:r>
          </w:p>
        </w:tc>
        <w:tc>
          <w:tcPr>
            <w:tcW w:w="1085" w:type="dxa"/>
            <w:shd w:val="clear" w:color="auto" w:fill="FFFFFF"/>
            <w:tcMar>
              <w:left w:w="108" w:type="dxa"/>
              <w:right w:w="108" w:type="dxa"/>
            </w:tcMar>
            <w:vAlign w:val="center"/>
          </w:tcPr>
          <w:p w14:paraId="2ADCBCB3">
            <w:pPr>
              <w:pStyle w:val="7"/>
              <w:keepNext w:val="0"/>
              <w:keepLines w:val="0"/>
              <w:pageBreakBefore w:val="0"/>
              <w:widowControl/>
              <w:kinsoku w:val="0"/>
              <w:wordWrap/>
              <w:overflowPunct/>
              <w:topLinePunct w:val="0"/>
              <w:autoSpaceDE w:val="0"/>
              <w:autoSpaceDN w:val="0"/>
              <w:bidi w:val="0"/>
              <w:adjustRightInd w:val="0"/>
              <w:snapToGrid w:val="0"/>
              <w:spacing w:line="260" w:lineRule="exact"/>
              <w:ind w:left="272"/>
              <w:jc w:val="center"/>
              <w:textAlignment w:val="baseline"/>
              <w:rPr>
                <w:rFonts w:hint="eastAsia" w:ascii="仿宋_GB2312" w:hAnsi="仿宋_GB2312" w:eastAsia="仿宋_GB2312" w:cs="仿宋_GB2312"/>
                <w:b w:val="0"/>
                <w:bCs w:val="0"/>
                <w:snapToGrid w:val="0"/>
                <w:color w:val="000000"/>
                <w:kern w:val="0"/>
                <w:sz w:val="21"/>
                <w:szCs w:val="21"/>
              </w:rPr>
            </w:pPr>
            <w:r>
              <w:rPr>
                <w:rFonts w:hint="eastAsia" w:ascii="仿宋_GB2312" w:hAnsi="仿宋_GB2312" w:eastAsia="仿宋_GB2312" w:cs="仿宋_GB2312"/>
                <w:b w:val="0"/>
                <w:bCs w:val="0"/>
                <w:snapToGrid w:val="0"/>
                <w:color w:val="000000"/>
                <w:kern w:val="0"/>
                <w:sz w:val="21"/>
                <w:szCs w:val="21"/>
                <w:lang w:val="en-US" w:eastAsia="zh-CN"/>
              </w:rPr>
              <w:t>行政检查</w:t>
            </w:r>
          </w:p>
        </w:tc>
        <w:tc>
          <w:tcPr>
            <w:tcW w:w="1179" w:type="dxa"/>
            <w:shd w:val="clear" w:color="auto" w:fill="FFFFFF"/>
            <w:tcMar>
              <w:left w:w="108" w:type="dxa"/>
              <w:right w:w="108" w:type="dxa"/>
            </w:tcMar>
            <w:vAlign w:val="center"/>
          </w:tcPr>
          <w:p w14:paraId="09D5D872">
            <w:pPr>
              <w:pStyle w:val="7"/>
              <w:keepNext w:val="0"/>
              <w:keepLines w:val="0"/>
              <w:pageBreakBefore w:val="0"/>
              <w:widowControl/>
              <w:kinsoku w:val="0"/>
              <w:wordWrap/>
              <w:overflowPunct/>
              <w:topLinePunct w:val="0"/>
              <w:autoSpaceDE w:val="0"/>
              <w:autoSpaceDN w:val="0"/>
              <w:bidi w:val="0"/>
              <w:adjustRightInd w:val="0"/>
              <w:snapToGrid w:val="0"/>
              <w:spacing w:line="260" w:lineRule="exact"/>
              <w:ind w:left="272" w:leftChars="0"/>
              <w:jc w:val="center"/>
              <w:textAlignment w:val="baseline"/>
              <w:rPr>
                <w:rFonts w:hint="eastAsia" w:ascii="仿宋_GB2312" w:hAnsi="仿宋_GB2312" w:eastAsia="仿宋_GB2312" w:cs="仿宋_GB2312"/>
                <w:b w:val="0"/>
                <w:bCs w:val="0"/>
                <w:snapToGrid w:val="0"/>
                <w:color w:val="000000"/>
                <w:kern w:val="0"/>
                <w:sz w:val="21"/>
                <w:szCs w:val="21"/>
              </w:rPr>
            </w:pPr>
            <w:r>
              <w:rPr>
                <w:rFonts w:hint="eastAsia" w:ascii="仿宋_GB2312" w:hAnsi="仿宋_GB2312" w:eastAsia="仿宋_GB2312" w:cs="仿宋_GB2312"/>
                <w:b w:val="0"/>
                <w:bCs w:val="0"/>
                <w:snapToGrid w:val="0"/>
                <w:color w:val="000000"/>
                <w:kern w:val="0"/>
                <w:sz w:val="21"/>
                <w:szCs w:val="21"/>
                <w:lang w:val="en-US" w:eastAsia="zh-CN"/>
              </w:rPr>
              <w:t>零陵区发改局</w:t>
            </w:r>
          </w:p>
        </w:tc>
        <w:tc>
          <w:tcPr>
            <w:tcW w:w="1444" w:type="dxa"/>
            <w:shd w:val="clear" w:color="auto" w:fill="FFFFFF"/>
            <w:tcMar>
              <w:left w:w="108" w:type="dxa"/>
              <w:right w:w="108" w:type="dxa"/>
            </w:tcMar>
            <w:vAlign w:val="center"/>
          </w:tcPr>
          <w:p w14:paraId="7D52A969">
            <w:pPr>
              <w:pStyle w:val="7"/>
              <w:keepNext w:val="0"/>
              <w:keepLines w:val="0"/>
              <w:pageBreakBefore w:val="0"/>
              <w:widowControl/>
              <w:kinsoku w:val="0"/>
              <w:wordWrap/>
              <w:overflowPunct/>
              <w:topLinePunct w:val="0"/>
              <w:autoSpaceDE w:val="0"/>
              <w:autoSpaceDN w:val="0"/>
              <w:bidi w:val="0"/>
              <w:adjustRightInd w:val="0"/>
              <w:snapToGrid w:val="0"/>
              <w:spacing w:line="260" w:lineRule="exact"/>
              <w:ind w:left="272" w:leftChars="0"/>
              <w:jc w:val="center"/>
              <w:textAlignment w:val="baseline"/>
              <w:rPr>
                <w:rFonts w:hint="eastAsia" w:ascii="仿宋_GB2312" w:hAnsi="仿宋_GB2312" w:eastAsia="仿宋_GB2312" w:cs="仿宋_GB2312"/>
                <w:b w:val="0"/>
                <w:bCs w:val="0"/>
                <w:snapToGrid w:val="0"/>
                <w:color w:val="000000"/>
                <w:kern w:val="0"/>
                <w:sz w:val="21"/>
                <w:szCs w:val="21"/>
              </w:rPr>
            </w:pPr>
            <w:r>
              <w:rPr>
                <w:rFonts w:hint="eastAsia" w:ascii="仿宋_GB2312" w:hAnsi="仿宋_GB2312" w:eastAsia="仿宋_GB2312" w:cs="仿宋_GB2312"/>
                <w:b w:val="0"/>
                <w:bCs w:val="0"/>
                <w:snapToGrid w:val="0"/>
                <w:color w:val="000000"/>
                <w:kern w:val="0"/>
                <w:sz w:val="21"/>
                <w:szCs w:val="21"/>
                <w:lang w:val="en-US" w:eastAsia="zh-CN"/>
              </w:rPr>
              <w:t>环资股</w:t>
            </w:r>
          </w:p>
        </w:tc>
        <w:tc>
          <w:tcPr>
            <w:tcW w:w="8616" w:type="dxa"/>
            <w:shd w:val="clear" w:color="auto" w:fill="FFFFFF"/>
            <w:tcMar>
              <w:left w:w="108" w:type="dxa"/>
              <w:right w:w="108" w:type="dxa"/>
            </w:tcMar>
            <w:vAlign w:val="center"/>
          </w:tcPr>
          <w:p w14:paraId="2B0F6296">
            <w:pPr>
              <w:pStyle w:val="7"/>
              <w:keepNext w:val="0"/>
              <w:keepLines w:val="0"/>
              <w:pageBreakBefore w:val="0"/>
              <w:widowControl/>
              <w:kinsoku w:val="0"/>
              <w:wordWrap/>
              <w:overflowPunct/>
              <w:topLinePunct w:val="0"/>
              <w:autoSpaceDE w:val="0"/>
              <w:autoSpaceDN w:val="0"/>
              <w:bidi w:val="0"/>
              <w:adjustRightInd w:val="0"/>
              <w:snapToGrid w:val="0"/>
              <w:spacing w:line="260" w:lineRule="exact"/>
              <w:ind w:left="272"/>
              <w:jc w:val="left"/>
              <w:textAlignment w:val="baseline"/>
              <w:rPr>
                <w:rFonts w:hint="eastAsia" w:ascii="仿宋_GB2312" w:hAnsi="仿宋_GB2312" w:eastAsia="仿宋_GB2312" w:cs="仿宋_GB2312"/>
                <w:b w:val="0"/>
                <w:bCs w:val="0"/>
                <w:snapToGrid w:val="0"/>
                <w:color w:val="000000"/>
                <w:kern w:val="0"/>
                <w:sz w:val="21"/>
                <w:szCs w:val="21"/>
              </w:rPr>
            </w:pPr>
            <w:r>
              <w:rPr>
                <w:rFonts w:hint="eastAsia" w:ascii="仿宋_GB2312" w:hAnsi="仿宋_GB2312" w:eastAsia="仿宋_GB2312" w:cs="仿宋_GB2312"/>
                <w:b w:val="0"/>
                <w:bCs w:val="0"/>
                <w:snapToGrid w:val="0"/>
                <w:color w:val="000000"/>
                <w:kern w:val="0"/>
                <w:sz w:val="21"/>
                <w:szCs w:val="21"/>
                <w:lang w:val="en-US" w:eastAsia="zh-CN"/>
              </w:rPr>
              <w:t>1.《中华人民共和国节约能源法》（中华人民共和国主席令〔2018〕第16号）第十条  国务院管理节能工作的部门主管全国的节能监督管理工作。国务院有关部门在各自的职责范围内负责节能监督管理工作，并接受国务院管理节能工作的部门的指导。 县级以上地方各级人民政府管理节能工作的部门负责本行政区域内的节能监督管理工作。县级以上地方各级人民政府有关部门在各自的职责范围内负责节能监督管理工作，并接受同级管理节能工作的部门的指导。第十二条  县级以上人民政府管理节能工作的部门和有关部门应当在各自的职责范围内，加强对节能法律、法规和节能标准执行情况的监督检查，依法查处违法用能行为。 履行节能监督管理职责不得向监督管理对象收取费用。</w:t>
            </w:r>
            <w:r>
              <w:rPr>
                <w:rFonts w:hint="eastAsia" w:ascii="仿宋_GB2312" w:hAnsi="仿宋_GB2312" w:eastAsia="仿宋_GB2312" w:cs="仿宋_GB2312"/>
                <w:b w:val="0"/>
                <w:bCs w:val="0"/>
                <w:snapToGrid w:val="0"/>
                <w:color w:val="000000"/>
                <w:kern w:val="0"/>
                <w:sz w:val="21"/>
                <w:szCs w:val="21"/>
                <w:lang w:val="en-US" w:eastAsia="zh-CN"/>
              </w:rPr>
              <w:br w:type="textWrapping"/>
            </w:r>
            <w:r>
              <w:rPr>
                <w:rFonts w:hint="eastAsia" w:ascii="仿宋_GB2312" w:hAnsi="仿宋_GB2312" w:eastAsia="仿宋_GB2312" w:cs="仿宋_GB2312"/>
                <w:b w:val="0"/>
                <w:bCs w:val="0"/>
                <w:snapToGrid w:val="0"/>
                <w:color w:val="000000"/>
                <w:kern w:val="0"/>
                <w:sz w:val="21"/>
                <w:szCs w:val="21"/>
                <w:lang w:val="en-US" w:eastAsia="zh-CN"/>
              </w:rPr>
              <w:t>2.《固定资产投资项目节能审查办法》（国家发展改革委令〔2023〕第2号）第十九条  节能审查机关应会同相关行业主管部门强化节能审查事中事后监管，组织对项目节能审查意见落实、节能验收等情况进行监督检查。日常监督检查工作应按照“双随机一公开”原则开展。第二十条   管理节能工作的部门要依法依规履行节能监督管理职责，将节能审查实施情况作为节能监察的重点内容。各级管理节能工作的部门应加强节能审查信息的统计分析，定期调度已投产项目能源消费、能效水平等情况，作为研判节能形势、开展节能工作的重要参考。</w:t>
            </w:r>
            <w:r>
              <w:rPr>
                <w:rFonts w:hint="eastAsia" w:ascii="仿宋_GB2312" w:hAnsi="仿宋_GB2312" w:eastAsia="仿宋_GB2312" w:cs="仿宋_GB2312"/>
                <w:b w:val="0"/>
                <w:bCs w:val="0"/>
                <w:snapToGrid w:val="0"/>
                <w:color w:val="000000"/>
                <w:kern w:val="0"/>
                <w:sz w:val="21"/>
                <w:szCs w:val="21"/>
                <w:lang w:val="en-US" w:eastAsia="zh-CN"/>
              </w:rPr>
              <w:br w:type="textWrapping"/>
            </w:r>
            <w:r>
              <w:rPr>
                <w:rFonts w:hint="eastAsia" w:ascii="仿宋_GB2312" w:hAnsi="仿宋_GB2312" w:eastAsia="仿宋_GB2312" w:cs="仿宋_GB2312"/>
                <w:b w:val="0"/>
                <w:bCs w:val="0"/>
                <w:snapToGrid w:val="0"/>
                <w:color w:val="000000"/>
                <w:kern w:val="0"/>
                <w:sz w:val="21"/>
                <w:szCs w:val="21"/>
                <w:lang w:val="en-US" w:eastAsia="zh-CN"/>
              </w:rPr>
              <w:t>3.《节能监察办法》（国家发展改革委令〔2016〕第33号）第三条  国家发展和改革委员会负责全国节能监察工作的统筹协调和指导。县级以上地方人民政府管理节能工作的部门负责本行政区域内节能监察工作的统筹协调和指导。</w:t>
            </w:r>
          </w:p>
        </w:tc>
        <w:tc>
          <w:tcPr>
            <w:tcW w:w="817" w:type="dxa"/>
            <w:shd w:val="clear" w:color="auto" w:fill="FFFFFF"/>
            <w:noWrap/>
            <w:tcMar>
              <w:left w:w="108" w:type="dxa"/>
              <w:right w:w="108" w:type="dxa"/>
            </w:tcMar>
            <w:vAlign w:val="center"/>
          </w:tcPr>
          <w:p w14:paraId="56C7F454">
            <w:pPr>
              <w:pStyle w:val="7"/>
              <w:keepNext w:val="0"/>
              <w:keepLines w:val="0"/>
              <w:pageBreakBefore w:val="0"/>
              <w:widowControl/>
              <w:kinsoku w:val="0"/>
              <w:wordWrap/>
              <w:overflowPunct/>
              <w:topLinePunct w:val="0"/>
              <w:autoSpaceDE w:val="0"/>
              <w:autoSpaceDN w:val="0"/>
              <w:bidi w:val="0"/>
              <w:adjustRightInd w:val="0"/>
              <w:snapToGrid w:val="0"/>
              <w:spacing w:line="260" w:lineRule="exact"/>
              <w:ind w:left="272"/>
              <w:jc w:val="center"/>
              <w:textAlignment w:val="baseline"/>
              <w:rPr>
                <w:rFonts w:hint="eastAsia" w:ascii="仿宋_GB2312" w:hAnsi="仿宋_GB2312" w:eastAsia="仿宋_GB2312" w:cs="仿宋_GB2312"/>
                <w:b w:val="0"/>
                <w:bCs w:val="0"/>
                <w:snapToGrid w:val="0"/>
                <w:color w:val="000000"/>
                <w:kern w:val="0"/>
                <w:sz w:val="21"/>
                <w:szCs w:val="21"/>
              </w:rPr>
            </w:pPr>
          </w:p>
        </w:tc>
      </w:tr>
      <w:tr w14:paraId="1AE8F6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10" w:hRule="atLeast"/>
        </w:trPr>
        <w:tc>
          <w:tcPr>
            <w:tcW w:w="745" w:type="dxa"/>
            <w:shd w:val="clear" w:color="auto" w:fill="FFFFFF"/>
            <w:tcMar>
              <w:left w:w="108" w:type="dxa"/>
              <w:right w:w="108" w:type="dxa"/>
            </w:tcMar>
            <w:vAlign w:val="center"/>
          </w:tcPr>
          <w:p w14:paraId="73E3AE8E">
            <w:pPr>
              <w:pStyle w:val="7"/>
              <w:keepNext w:val="0"/>
              <w:keepLines w:val="0"/>
              <w:pageBreakBefore w:val="0"/>
              <w:widowControl/>
              <w:kinsoku w:val="0"/>
              <w:wordWrap/>
              <w:overflowPunct/>
              <w:topLinePunct w:val="0"/>
              <w:autoSpaceDE w:val="0"/>
              <w:autoSpaceDN w:val="0"/>
              <w:bidi w:val="0"/>
              <w:adjustRightInd w:val="0"/>
              <w:snapToGrid w:val="0"/>
              <w:spacing w:line="260" w:lineRule="exact"/>
              <w:ind w:left="272"/>
              <w:jc w:val="center"/>
              <w:textAlignment w:val="baseline"/>
              <w:rPr>
                <w:rFonts w:hint="default" w:ascii="仿宋_GB2312" w:hAnsi="仿宋_GB2312" w:eastAsia="仿宋_GB2312" w:cs="仿宋_GB2312"/>
                <w:b w:val="0"/>
                <w:bCs w:val="0"/>
                <w:snapToGrid w:val="0"/>
                <w:color w:val="000000"/>
                <w:kern w:val="0"/>
                <w:sz w:val="21"/>
                <w:szCs w:val="21"/>
                <w:lang w:val="en-US"/>
              </w:rPr>
            </w:pPr>
            <w:r>
              <w:rPr>
                <w:rFonts w:hint="eastAsia" w:ascii="仿宋_GB2312" w:hAnsi="仿宋_GB2312" w:eastAsia="仿宋_GB2312" w:cs="仿宋_GB2312"/>
                <w:b w:val="0"/>
                <w:bCs w:val="0"/>
                <w:snapToGrid w:val="0"/>
                <w:color w:val="000000"/>
                <w:kern w:val="0"/>
                <w:sz w:val="21"/>
                <w:szCs w:val="21"/>
                <w:lang w:val="en-US" w:eastAsia="zh-CN"/>
              </w:rPr>
              <w:t>36</w:t>
            </w:r>
          </w:p>
        </w:tc>
        <w:tc>
          <w:tcPr>
            <w:tcW w:w="1334" w:type="dxa"/>
            <w:shd w:val="clear" w:color="auto" w:fill="FFFFFF"/>
            <w:tcMar>
              <w:left w:w="108" w:type="dxa"/>
              <w:right w:w="108" w:type="dxa"/>
            </w:tcMar>
            <w:vAlign w:val="center"/>
          </w:tcPr>
          <w:p w14:paraId="0E622D56">
            <w:pPr>
              <w:pStyle w:val="7"/>
              <w:keepNext w:val="0"/>
              <w:keepLines w:val="0"/>
              <w:pageBreakBefore w:val="0"/>
              <w:widowControl/>
              <w:kinsoku w:val="0"/>
              <w:wordWrap/>
              <w:overflowPunct/>
              <w:topLinePunct w:val="0"/>
              <w:autoSpaceDE w:val="0"/>
              <w:autoSpaceDN w:val="0"/>
              <w:bidi w:val="0"/>
              <w:adjustRightInd w:val="0"/>
              <w:snapToGrid w:val="0"/>
              <w:spacing w:line="260" w:lineRule="exact"/>
              <w:ind w:left="272"/>
              <w:jc w:val="center"/>
              <w:textAlignment w:val="baseline"/>
              <w:rPr>
                <w:rFonts w:hint="eastAsia" w:ascii="仿宋_GB2312" w:hAnsi="仿宋_GB2312" w:eastAsia="仿宋_GB2312" w:cs="仿宋_GB2312"/>
                <w:b w:val="0"/>
                <w:bCs w:val="0"/>
                <w:snapToGrid w:val="0"/>
                <w:color w:val="000000"/>
                <w:kern w:val="0"/>
                <w:sz w:val="21"/>
                <w:szCs w:val="21"/>
              </w:rPr>
            </w:pPr>
            <w:r>
              <w:rPr>
                <w:rFonts w:hint="eastAsia" w:ascii="仿宋_GB2312" w:hAnsi="仿宋_GB2312" w:eastAsia="仿宋_GB2312" w:cs="仿宋_GB2312"/>
                <w:b w:val="0"/>
                <w:bCs w:val="0"/>
                <w:snapToGrid w:val="0"/>
                <w:color w:val="000000"/>
                <w:kern w:val="0"/>
                <w:sz w:val="21"/>
                <w:szCs w:val="21"/>
                <w:lang w:val="en-US" w:eastAsia="zh-CN"/>
              </w:rPr>
              <w:t>对工业项目及按规定履行监管职责项目招标投标活动的监督检查</w:t>
            </w:r>
          </w:p>
        </w:tc>
        <w:tc>
          <w:tcPr>
            <w:tcW w:w="1085" w:type="dxa"/>
            <w:shd w:val="clear" w:color="auto" w:fill="FFFFFF"/>
            <w:tcMar>
              <w:left w:w="108" w:type="dxa"/>
              <w:right w:w="108" w:type="dxa"/>
            </w:tcMar>
            <w:vAlign w:val="center"/>
          </w:tcPr>
          <w:p w14:paraId="584C3434">
            <w:pPr>
              <w:pStyle w:val="7"/>
              <w:keepNext w:val="0"/>
              <w:keepLines w:val="0"/>
              <w:pageBreakBefore w:val="0"/>
              <w:widowControl/>
              <w:kinsoku w:val="0"/>
              <w:wordWrap/>
              <w:overflowPunct/>
              <w:topLinePunct w:val="0"/>
              <w:autoSpaceDE w:val="0"/>
              <w:autoSpaceDN w:val="0"/>
              <w:bidi w:val="0"/>
              <w:adjustRightInd w:val="0"/>
              <w:snapToGrid w:val="0"/>
              <w:spacing w:line="260" w:lineRule="exact"/>
              <w:ind w:left="272"/>
              <w:jc w:val="center"/>
              <w:textAlignment w:val="baseline"/>
              <w:rPr>
                <w:rFonts w:hint="eastAsia" w:ascii="仿宋_GB2312" w:hAnsi="仿宋_GB2312" w:eastAsia="仿宋_GB2312" w:cs="仿宋_GB2312"/>
                <w:b w:val="0"/>
                <w:bCs w:val="0"/>
                <w:snapToGrid w:val="0"/>
                <w:color w:val="000000"/>
                <w:kern w:val="0"/>
                <w:sz w:val="21"/>
                <w:szCs w:val="21"/>
              </w:rPr>
            </w:pPr>
            <w:r>
              <w:rPr>
                <w:rFonts w:hint="eastAsia" w:ascii="仿宋_GB2312" w:hAnsi="仿宋_GB2312" w:eastAsia="仿宋_GB2312" w:cs="仿宋_GB2312"/>
                <w:b w:val="0"/>
                <w:bCs w:val="0"/>
                <w:snapToGrid w:val="0"/>
                <w:color w:val="000000"/>
                <w:kern w:val="0"/>
                <w:sz w:val="21"/>
                <w:szCs w:val="21"/>
                <w:lang w:val="en-US" w:eastAsia="zh-CN"/>
              </w:rPr>
              <w:t>行政检查</w:t>
            </w:r>
          </w:p>
        </w:tc>
        <w:tc>
          <w:tcPr>
            <w:tcW w:w="1179" w:type="dxa"/>
            <w:shd w:val="clear" w:color="auto" w:fill="FFFFFF"/>
            <w:tcMar>
              <w:left w:w="108" w:type="dxa"/>
              <w:right w:w="108" w:type="dxa"/>
            </w:tcMar>
            <w:vAlign w:val="center"/>
          </w:tcPr>
          <w:p w14:paraId="03CF4F51">
            <w:pPr>
              <w:pStyle w:val="7"/>
              <w:keepNext w:val="0"/>
              <w:keepLines w:val="0"/>
              <w:pageBreakBefore w:val="0"/>
              <w:widowControl/>
              <w:kinsoku w:val="0"/>
              <w:wordWrap/>
              <w:overflowPunct/>
              <w:topLinePunct w:val="0"/>
              <w:autoSpaceDE w:val="0"/>
              <w:autoSpaceDN w:val="0"/>
              <w:bidi w:val="0"/>
              <w:adjustRightInd w:val="0"/>
              <w:snapToGrid w:val="0"/>
              <w:spacing w:line="260" w:lineRule="exact"/>
              <w:ind w:left="272" w:leftChars="0"/>
              <w:jc w:val="center"/>
              <w:textAlignment w:val="baseline"/>
              <w:rPr>
                <w:rFonts w:hint="eastAsia" w:ascii="仿宋_GB2312" w:hAnsi="仿宋_GB2312" w:eastAsia="仿宋_GB2312" w:cs="仿宋_GB2312"/>
                <w:b w:val="0"/>
                <w:bCs w:val="0"/>
                <w:snapToGrid w:val="0"/>
                <w:color w:val="000000"/>
                <w:kern w:val="0"/>
                <w:sz w:val="21"/>
                <w:szCs w:val="21"/>
              </w:rPr>
            </w:pPr>
            <w:r>
              <w:rPr>
                <w:rFonts w:hint="eastAsia" w:ascii="仿宋_GB2312" w:hAnsi="仿宋_GB2312" w:eastAsia="仿宋_GB2312" w:cs="仿宋_GB2312"/>
                <w:b w:val="0"/>
                <w:bCs w:val="0"/>
                <w:snapToGrid w:val="0"/>
                <w:color w:val="000000"/>
                <w:kern w:val="0"/>
                <w:sz w:val="21"/>
                <w:szCs w:val="21"/>
                <w:lang w:val="en-US" w:eastAsia="zh-CN"/>
              </w:rPr>
              <w:t>零陵区发改局</w:t>
            </w:r>
          </w:p>
        </w:tc>
        <w:tc>
          <w:tcPr>
            <w:tcW w:w="1444" w:type="dxa"/>
            <w:shd w:val="clear" w:color="auto" w:fill="FFFFFF"/>
            <w:tcMar>
              <w:left w:w="108" w:type="dxa"/>
              <w:right w:w="108" w:type="dxa"/>
            </w:tcMar>
            <w:vAlign w:val="center"/>
          </w:tcPr>
          <w:p w14:paraId="5F200ADD">
            <w:pPr>
              <w:pStyle w:val="7"/>
              <w:keepNext w:val="0"/>
              <w:keepLines w:val="0"/>
              <w:pageBreakBefore w:val="0"/>
              <w:widowControl/>
              <w:kinsoku w:val="0"/>
              <w:wordWrap/>
              <w:overflowPunct/>
              <w:topLinePunct w:val="0"/>
              <w:autoSpaceDE w:val="0"/>
              <w:autoSpaceDN w:val="0"/>
              <w:bidi w:val="0"/>
              <w:adjustRightInd w:val="0"/>
              <w:snapToGrid w:val="0"/>
              <w:spacing w:line="260" w:lineRule="exact"/>
              <w:ind w:left="272" w:leftChars="0"/>
              <w:jc w:val="center"/>
              <w:textAlignment w:val="baseline"/>
              <w:rPr>
                <w:rFonts w:hint="eastAsia" w:ascii="仿宋_GB2312" w:hAnsi="仿宋_GB2312" w:eastAsia="仿宋_GB2312" w:cs="仿宋_GB2312"/>
                <w:b w:val="0"/>
                <w:bCs w:val="0"/>
                <w:snapToGrid w:val="0"/>
                <w:color w:val="000000"/>
                <w:kern w:val="0"/>
                <w:sz w:val="21"/>
                <w:szCs w:val="21"/>
              </w:rPr>
            </w:pPr>
            <w:r>
              <w:rPr>
                <w:rFonts w:hint="eastAsia" w:ascii="仿宋_GB2312" w:hAnsi="仿宋_GB2312" w:eastAsia="仿宋_GB2312" w:cs="仿宋_GB2312"/>
                <w:b w:val="0"/>
                <w:bCs w:val="0"/>
                <w:snapToGrid w:val="0"/>
                <w:color w:val="000000"/>
                <w:kern w:val="0"/>
                <w:sz w:val="21"/>
                <w:szCs w:val="21"/>
                <w:lang w:val="en-US" w:eastAsia="zh-CN"/>
              </w:rPr>
              <w:t>法规股</w:t>
            </w:r>
          </w:p>
        </w:tc>
        <w:tc>
          <w:tcPr>
            <w:tcW w:w="8616" w:type="dxa"/>
            <w:shd w:val="clear" w:color="auto" w:fill="FFFFFF"/>
            <w:tcMar>
              <w:left w:w="108" w:type="dxa"/>
              <w:right w:w="108" w:type="dxa"/>
            </w:tcMar>
            <w:vAlign w:val="center"/>
          </w:tcPr>
          <w:p w14:paraId="2AC48DFD">
            <w:pPr>
              <w:pStyle w:val="7"/>
              <w:keepNext w:val="0"/>
              <w:keepLines w:val="0"/>
              <w:pageBreakBefore w:val="0"/>
              <w:widowControl/>
              <w:kinsoku w:val="0"/>
              <w:wordWrap/>
              <w:overflowPunct/>
              <w:topLinePunct w:val="0"/>
              <w:autoSpaceDE w:val="0"/>
              <w:autoSpaceDN w:val="0"/>
              <w:bidi w:val="0"/>
              <w:adjustRightInd w:val="0"/>
              <w:snapToGrid w:val="0"/>
              <w:spacing w:line="260" w:lineRule="exact"/>
              <w:ind w:left="272"/>
              <w:jc w:val="left"/>
              <w:textAlignment w:val="baseline"/>
              <w:rPr>
                <w:rFonts w:hint="eastAsia" w:ascii="仿宋_GB2312" w:hAnsi="仿宋_GB2312" w:eastAsia="仿宋_GB2312" w:cs="仿宋_GB2312"/>
                <w:b w:val="0"/>
                <w:bCs w:val="0"/>
                <w:snapToGrid w:val="0"/>
                <w:color w:val="000000"/>
                <w:kern w:val="0"/>
                <w:sz w:val="21"/>
                <w:szCs w:val="21"/>
              </w:rPr>
            </w:pPr>
            <w:r>
              <w:rPr>
                <w:rFonts w:hint="eastAsia" w:ascii="仿宋_GB2312" w:hAnsi="仿宋_GB2312" w:eastAsia="仿宋_GB2312" w:cs="仿宋_GB2312"/>
                <w:b w:val="0"/>
                <w:bCs w:val="0"/>
                <w:snapToGrid w:val="0"/>
                <w:color w:val="000000"/>
                <w:kern w:val="0"/>
                <w:sz w:val="21"/>
                <w:szCs w:val="21"/>
                <w:lang w:val="en-US" w:eastAsia="zh-CN"/>
              </w:rPr>
              <w:t>1.《中华人民共和国招标投标法》（中华人民共和国主席令〔2017〕第86号）第七条  招标投标活动及其当事人应当接受依法实施的监督。 有关行政监督部门依法对招标投标活动实施监督，依法查处招标投标活动中的违法行为。 对招标投标活动的行政监督及有关部门的具体职权划分，由国务院规定。</w:t>
            </w:r>
            <w:r>
              <w:rPr>
                <w:rFonts w:hint="eastAsia" w:ascii="仿宋_GB2312" w:hAnsi="仿宋_GB2312" w:eastAsia="仿宋_GB2312" w:cs="仿宋_GB2312"/>
                <w:b w:val="0"/>
                <w:bCs w:val="0"/>
                <w:snapToGrid w:val="0"/>
                <w:color w:val="000000"/>
                <w:kern w:val="0"/>
                <w:sz w:val="21"/>
                <w:szCs w:val="21"/>
                <w:lang w:val="en-US" w:eastAsia="zh-CN"/>
              </w:rPr>
              <w:br w:type="textWrapping"/>
            </w:r>
            <w:r>
              <w:rPr>
                <w:rFonts w:hint="eastAsia" w:ascii="仿宋_GB2312" w:hAnsi="仿宋_GB2312" w:eastAsia="仿宋_GB2312" w:cs="仿宋_GB2312"/>
                <w:b w:val="0"/>
                <w:bCs w:val="0"/>
                <w:snapToGrid w:val="0"/>
                <w:color w:val="000000"/>
                <w:kern w:val="0"/>
                <w:sz w:val="21"/>
                <w:szCs w:val="21"/>
                <w:lang w:val="en-US" w:eastAsia="zh-CN"/>
              </w:rPr>
              <w:t>2.《中华人民共和国招标投标法实施条例》第四条　国务院发展改革部门指导和协调全国招标投标工作，对国家重大建设项目的工程招标投标活动实施监督检查。国务院工业和信息化、住房城乡建设、交通运输、铁道、水利、商务等部门，按照规定的职责分工对有关招标投标活动实施监督。</w:t>
            </w:r>
            <w:r>
              <w:rPr>
                <w:rFonts w:hint="eastAsia" w:ascii="仿宋_GB2312" w:hAnsi="仿宋_GB2312" w:eastAsia="仿宋_GB2312" w:cs="仿宋_GB2312"/>
                <w:b w:val="0"/>
                <w:bCs w:val="0"/>
                <w:snapToGrid w:val="0"/>
                <w:color w:val="000000"/>
                <w:kern w:val="0"/>
                <w:sz w:val="21"/>
                <w:szCs w:val="21"/>
                <w:lang w:val="en-US" w:eastAsia="zh-CN"/>
              </w:rPr>
              <w:br w:type="textWrapping"/>
            </w:r>
            <w:r>
              <w:rPr>
                <w:rFonts w:hint="eastAsia" w:ascii="仿宋_GB2312" w:hAnsi="仿宋_GB2312" w:eastAsia="仿宋_GB2312" w:cs="仿宋_GB2312"/>
                <w:b w:val="0"/>
                <w:bCs w:val="0"/>
                <w:snapToGrid w:val="0"/>
                <w:color w:val="000000"/>
                <w:kern w:val="0"/>
                <w:sz w:val="21"/>
                <w:szCs w:val="21"/>
                <w:lang w:val="en-US" w:eastAsia="zh-CN"/>
              </w:rPr>
              <w:t>县级以上地方人民政府发展改革部门指导和协调本行政区域的招标投标工作。县级以上地方人民政府有关部门按照规定的职责分工，对招标投标活动实施监督，依法查处招标投标活动中的违法行为。县级以上地方人民政府对其所属部门有关招标投标活动的监督职责分工另有规定的，从其规定。</w:t>
            </w:r>
            <w:r>
              <w:rPr>
                <w:rFonts w:hint="eastAsia" w:ascii="仿宋_GB2312" w:hAnsi="仿宋_GB2312" w:eastAsia="仿宋_GB2312" w:cs="仿宋_GB2312"/>
                <w:b w:val="0"/>
                <w:bCs w:val="0"/>
                <w:snapToGrid w:val="0"/>
                <w:color w:val="000000"/>
                <w:kern w:val="0"/>
                <w:sz w:val="21"/>
                <w:szCs w:val="21"/>
                <w:lang w:val="en-US" w:eastAsia="zh-CN"/>
              </w:rPr>
              <w:br w:type="textWrapping"/>
            </w:r>
            <w:r>
              <w:rPr>
                <w:rFonts w:hint="eastAsia" w:ascii="仿宋_GB2312" w:hAnsi="仿宋_GB2312" w:eastAsia="仿宋_GB2312" w:cs="仿宋_GB2312"/>
                <w:b w:val="0"/>
                <w:bCs w:val="0"/>
                <w:snapToGrid w:val="0"/>
                <w:color w:val="000000"/>
                <w:kern w:val="0"/>
                <w:sz w:val="21"/>
                <w:szCs w:val="21"/>
                <w:lang w:val="en-US" w:eastAsia="zh-CN"/>
              </w:rPr>
              <w:t>3.《湖南省人民政府办公厅《关于建立健全招标投标监管长效机制规范招标投标活动的意见》（湘政办发〔2021〕77号）  (一)合理划分招标投标活动监管职责。各级发展改革部门负责指导和协调本行政区域内的招标投标工作，按照职责权限对工业项目(含能源)、代建单位招标投标实施监督。对没有行业主管部门或确实难以协调明确监管职责的项目，由发展改革部门实施监督和查处违法违规行为，避免出现管理空白和监督缺位。</w:t>
            </w:r>
          </w:p>
        </w:tc>
        <w:tc>
          <w:tcPr>
            <w:tcW w:w="817" w:type="dxa"/>
            <w:shd w:val="clear" w:color="auto" w:fill="FFFFFF"/>
            <w:noWrap/>
            <w:tcMar>
              <w:left w:w="108" w:type="dxa"/>
              <w:right w:w="108" w:type="dxa"/>
            </w:tcMar>
            <w:vAlign w:val="center"/>
          </w:tcPr>
          <w:p w14:paraId="1D7A7565">
            <w:pPr>
              <w:pStyle w:val="7"/>
              <w:keepNext w:val="0"/>
              <w:keepLines w:val="0"/>
              <w:pageBreakBefore w:val="0"/>
              <w:widowControl/>
              <w:kinsoku w:val="0"/>
              <w:wordWrap/>
              <w:overflowPunct/>
              <w:topLinePunct w:val="0"/>
              <w:autoSpaceDE w:val="0"/>
              <w:autoSpaceDN w:val="0"/>
              <w:bidi w:val="0"/>
              <w:adjustRightInd w:val="0"/>
              <w:snapToGrid w:val="0"/>
              <w:spacing w:line="260" w:lineRule="exact"/>
              <w:ind w:left="272"/>
              <w:jc w:val="center"/>
              <w:textAlignment w:val="baseline"/>
              <w:rPr>
                <w:rFonts w:hint="eastAsia" w:ascii="仿宋_GB2312" w:hAnsi="仿宋_GB2312" w:eastAsia="仿宋_GB2312" w:cs="仿宋_GB2312"/>
                <w:b w:val="0"/>
                <w:bCs w:val="0"/>
                <w:snapToGrid w:val="0"/>
                <w:color w:val="000000"/>
                <w:kern w:val="0"/>
                <w:sz w:val="21"/>
                <w:szCs w:val="21"/>
              </w:rPr>
            </w:pPr>
          </w:p>
        </w:tc>
      </w:tr>
      <w:tr w14:paraId="332509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66" w:hRule="atLeast"/>
        </w:trPr>
        <w:tc>
          <w:tcPr>
            <w:tcW w:w="745" w:type="dxa"/>
            <w:shd w:val="clear" w:color="auto" w:fill="FFFFFF"/>
            <w:tcMar>
              <w:left w:w="108" w:type="dxa"/>
              <w:right w:w="108" w:type="dxa"/>
            </w:tcMar>
            <w:vAlign w:val="center"/>
          </w:tcPr>
          <w:p w14:paraId="0AB399AB">
            <w:pPr>
              <w:pStyle w:val="7"/>
              <w:keepNext w:val="0"/>
              <w:keepLines w:val="0"/>
              <w:pageBreakBefore w:val="0"/>
              <w:widowControl/>
              <w:kinsoku w:val="0"/>
              <w:wordWrap/>
              <w:overflowPunct/>
              <w:topLinePunct w:val="0"/>
              <w:autoSpaceDE w:val="0"/>
              <w:autoSpaceDN w:val="0"/>
              <w:bidi w:val="0"/>
              <w:adjustRightInd w:val="0"/>
              <w:snapToGrid w:val="0"/>
              <w:spacing w:line="260" w:lineRule="exact"/>
              <w:ind w:left="272"/>
              <w:jc w:val="center"/>
              <w:textAlignment w:val="baseline"/>
              <w:rPr>
                <w:rFonts w:hint="default" w:ascii="仿宋_GB2312" w:hAnsi="仿宋_GB2312" w:eastAsia="仿宋_GB2312" w:cs="仿宋_GB2312"/>
                <w:b w:val="0"/>
                <w:bCs w:val="0"/>
                <w:snapToGrid w:val="0"/>
                <w:color w:val="000000"/>
                <w:kern w:val="0"/>
                <w:sz w:val="21"/>
                <w:szCs w:val="21"/>
                <w:lang w:val="en-US"/>
              </w:rPr>
            </w:pPr>
            <w:r>
              <w:rPr>
                <w:rFonts w:hint="eastAsia" w:ascii="仿宋_GB2312" w:hAnsi="仿宋_GB2312" w:eastAsia="仿宋_GB2312" w:cs="仿宋_GB2312"/>
                <w:b w:val="0"/>
                <w:bCs w:val="0"/>
                <w:snapToGrid w:val="0"/>
                <w:color w:val="000000"/>
                <w:kern w:val="0"/>
                <w:sz w:val="21"/>
                <w:szCs w:val="21"/>
                <w:lang w:val="en-US" w:eastAsia="zh-CN"/>
              </w:rPr>
              <w:t>37</w:t>
            </w:r>
          </w:p>
        </w:tc>
        <w:tc>
          <w:tcPr>
            <w:tcW w:w="1334" w:type="dxa"/>
            <w:shd w:val="clear" w:color="auto" w:fill="FFFFFF"/>
            <w:tcMar>
              <w:left w:w="108" w:type="dxa"/>
              <w:right w:w="108" w:type="dxa"/>
            </w:tcMar>
            <w:vAlign w:val="center"/>
          </w:tcPr>
          <w:p w14:paraId="1CC34740">
            <w:pPr>
              <w:pStyle w:val="7"/>
              <w:keepNext w:val="0"/>
              <w:keepLines w:val="0"/>
              <w:pageBreakBefore w:val="0"/>
              <w:widowControl/>
              <w:kinsoku w:val="0"/>
              <w:wordWrap/>
              <w:overflowPunct/>
              <w:topLinePunct w:val="0"/>
              <w:autoSpaceDE w:val="0"/>
              <w:autoSpaceDN w:val="0"/>
              <w:bidi w:val="0"/>
              <w:adjustRightInd w:val="0"/>
              <w:snapToGrid w:val="0"/>
              <w:spacing w:line="260" w:lineRule="exact"/>
              <w:ind w:left="272"/>
              <w:jc w:val="center"/>
              <w:textAlignment w:val="baseline"/>
              <w:rPr>
                <w:rFonts w:hint="eastAsia" w:ascii="仿宋_GB2312" w:hAnsi="仿宋_GB2312" w:eastAsia="仿宋_GB2312" w:cs="仿宋_GB2312"/>
                <w:b w:val="0"/>
                <w:bCs w:val="0"/>
                <w:snapToGrid w:val="0"/>
                <w:color w:val="000000"/>
                <w:kern w:val="0"/>
                <w:sz w:val="21"/>
                <w:szCs w:val="21"/>
              </w:rPr>
            </w:pPr>
            <w:r>
              <w:rPr>
                <w:rFonts w:hint="eastAsia" w:ascii="仿宋_GB2312" w:hAnsi="仿宋_GB2312" w:eastAsia="仿宋_GB2312" w:cs="仿宋_GB2312"/>
                <w:b w:val="0"/>
                <w:bCs w:val="0"/>
                <w:snapToGrid w:val="0"/>
                <w:color w:val="000000"/>
                <w:kern w:val="0"/>
                <w:sz w:val="21"/>
                <w:szCs w:val="21"/>
                <w:lang w:val="en-US" w:eastAsia="zh-CN"/>
              </w:rPr>
              <w:t>中央投资项目实施情况监督检查</w:t>
            </w:r>
          </w:p>
        </w:tc>
        <w:tc>
          <w:tcPr>
            <w:tcW w:w="1085" w:type="dxa"/>
            <w:shd w:val="clear" w:color="auto" w:fill="FFFFFF"/>
            <w:tcMar>
              <w:left w:w="108" w:type="dxa"/>
              <w:right w:w="108" w:type="dxa"/>
            </w:tcMar>
            <w:vAlign w:val="center"/>
          </w:tcPr>
          <w:p w14:paraId="764FB64A">
            <w:pPr>
              <w:pStyle w:val="7"/>
              <w:keepNext w:val="0"/>
              <w:keepLines w:val="0"/>
              <w:pageBreakBefore w:val="0"/>
              <w:widowControl/>
              <w:kinsoku w:val="0"/>
              <w:wordWrap/>
              <w:overflowPunct/>
              <w:topLinePunct w:val="0"/>
              <w:autoSpaceDE w:val="0"/>
              <w:autoSpaceDN w:val="0"/>
              <w:bidi w:val="0"/>
              <w:adjustRightInd w:val="0"/>
              <w:snapToGrid w:val="0"/>
              <w:spacing w:line="260" w:lineRule="exact"/>
              <w:ind w:left="272"/>
              <w:jc w:val="center"/>
              <w:textAlignment w:val="baseline"/>
              <w:rPr>
                <w:rFonts w:hint="eastAsia" w:ascii="仿宋_GB2312" w:hAnsi="仿宋_GB2312" w:eastAsia="仿宋_GB2312" w:cs="仿宋_GB2312"/>
                <w:b w:val="0"/>
                <w:bCs w:val="0"/>
                <w:snapToGrid w:val="0"/>
                <w:color w:val="000000"/>
                <w:kern w:val="0"/>
                <w:sz w:val="21"/>
                <w:szCs w:val="21"/>
              </w:rPr>
            </w:pPr>
            <w:r>
              <w:rPr>
                <w:rFonts w:hint="eastAsia" w:ascii="仿宋_GB2312" w:hAnsi="仿宋_GB2312" w:eastAsia="仿宋_GB2312" w:cs="仿宋_GB2312"/>
                <w:b w:val="0"/>
                <w:bCs w:val="0"/>
                <w:snapToGrid w:val="0"/>
                <w:color w:val="000000"/>
                <w:kern w:val="0"/>
                <w:sz w:val="21"/>
                <w:szCs w:val="21"/>
                <w:lang w:val="en-US" w:eastAsia="zh-CN"/>
              </w:rPr>
              <w:t>行政检查</w:t>
            </w:r>
          </w:p>
        </w:tc>
        <w:tc>
          <w:tcPr>
            <w:tcW w:w="1179" w:type="dxa"/>
            <w:shd w:val="clear" w:color="auto" w:fill="FFFFFF"/>
            <w:tcMar>
              <w:left w:w="108" w:type="dxa"/>
              <w:right w:w="108" w:type="dxa"/>
            </w:tcMar>
            <w:vAlign w:val="center"/>
          </w:tcPr>
          <w:p w14:paraId="4EF19AA7">
            <w:pPr>
              <w:pStyle w:val="7"/>
              <w:keepNext w:val="0"/>
              <w:keepLines w:val="0"/>
              <w:pageBreakBefore w:val="0"/>
              <w:widowControl/>
              <w:kinsoku w:val="0"/>
              <w:wordWrap/>
              <w:overflowPunct/>
              <w:topLinePunct w:val="0"/>
              <w:autoSpaceDE w:val="0"/>
              <w:autoSpaceDN w:val="0"/>
              <w:bidi w:val="0"/>
              <w:adjustRightInd w:val="0"/>
              <w:snapToGrid w:val="0"/>
              <w:spacing w:line="260" w:lineRule="exact"/>
              <w:ind w:left="272"/>
              <w:jc w:val="center"/>
              <w:textAlignment w:val="baseline"/>
              <w:rPr>
                <w:rFonts w:hint="default" w:ascii="仿宋_GB2312" w:hAnsi="仿宋_GB2312" w:eastAsia="仿宋_GB2312" w:cs="仿宋_GB2312"/>
                <w:b w:val="0"/>
                <w:bCs w:val="0"/>
                <w:snapToGrid w:val="0"/>
                <w:color w:val="000000"/>
                <w:kern w:val="0"/>
                <w:sz w:val="21"/>
                <w:szCs w:val="21"/>
                <w:lang w:val="en-US"/>
              </w:rPr>
            </w:pPr>
            <w:r>
              <w:rPr>
                <w:rFonts w:hint="eastAsia" w:ascii="仿宋_GB2312" w:hAnsi="仿宋_GB2312" w:eastAsia="仿宋_GB2312" w:cs="仿宋_GB2312"/>
                <w:b w:val="0"/>
                <w:bCs w:val="0"/>
                <w:snapToGrid w:val="0"/>
                <w:color w:val="000000"/>
                <w:kern w:val="0"/>
                <w:sz w:val="21"/>
                <w:szCs w:val="21"/>
                <w:lang w:val="en-US" w:eastAsia="zh-CN"/>
              </w:rPr>
              <w:t>零陵区发改局</w:t>
            </w:r>
          </w:p>
        </w:tc>
        <w:tc>
          <w:tcPr>
            <w:tcW w:w="1444" w:type="dxa"/>
            <w:shd w:val="clear" w:color="auto" w:fill="FFFFFF"/>
            <w:tcMar>
              <w:left w:w="108" w:type="dxa"/>
              <w:right w:w="108" w:type="dxa"/>
            </w:tcMar>
            <w:vAlign w:val="center"/>
          </w:tcPr>
          <w:p w14:paraId="3B330313">
            <w:pPr>
              <w:pStyle w:val="7"/>
              <w:keepNext w:val="0"/>
              <w:keepLines w:val="0"/>
              <w:pageBreakBefore w:val="0"/>
              <w:widowControl/>
              <w:kinsoku w:val="0"/>
              <w:wordWrap/>
              <w:overflowPunct/>
              <w:topLinePunct w:val="0"/>
              <w:autoSpaceDE w:val="0"/>
              <w:autoSpaceDN w:val="0"/>
              <w:bidi w:val="0"/>
              <w:adjustRightInd w:val="0"/>
              <w:snapToGrid w:val="0"/>
              <w:spacing w:line="260" w:lineRule="exact"/>
              <w:ind w:left="272"/>
              <w:jc w:val="center"/>
              <w:textAlignment w:val="baseline"/>
              <w:rPr>
                <w:rFonts w:hint="eastAsia" w:ascii="仿宋_GB2312" w:hAnsi="仿宋_GB2312" w:eastAsia="仿宋_GB2312" w:cs="仿宋_GB2312"/>
                <w:b w:val="0"/>
                <w:bCs w:val="0"/>
                <w:snapToGrid w:val="0"/>
                <w:color w:val="000000"/>
                <w:kern w:val="0"/>
                <w:sz w:val="21"/>
                <w:szCs w:val="21"/>
              </w:rPr>
            </w:pPr>
            <w:r>
              <w:rPr>
                <w:rFonts w:hint="eastAsia" w:ascii="仿宋_GB2312" w:hAnsi="仿宋_GB2312" w:eastAsia="仿宋_GB2312" w:cs="仿宋_GB2312"/>
                <w:b w:val="0"/>
                <w:bCs w:val="0"/>
                <w:snapToGrid w:val="0"/>
                <w:color w:val="000000"/>
                <w:kern w:val="0"/>
                <w:sz w:val="21"/>
                <w:szCs w:val="21"/>
                <w:lang w:val="en-US" w:eastAsia="zh-CN"/>
              </w:rPr>
              <w:t>投资股、社发股、财贸股、能源股、地区经济股、工高股、农经股、等业务股室</w:t>
            </w:r>
          </w:p>
        </w:tc>
        <w:tc>
          <w:tcPr>
            <w:tcW w:w="8616" w:type="dxa"/>
            <w:shd w:val="clear" w:color="auto" w:fill="FFFFFF"/>
            <w:tcMar>
              <w:left w:w="108" w:type="dxa"/>
              <w:right w:w="108" w:type="dxa"/>
            </w:tcMar>
            <w:vAlign w:val="center"/>
          </w:tcPr>
          <w:p w14:paraId="5909E476">
            <w:pPr>
              <w:pStyle w:val="7"/>
              <w:keepNext w:val="0"/>
              <w:keepLines w:val="0"/>
              <w:pageBreakBefore w:val="0"/>
              <w:widowControl/>
              <w:kinsoku w:val="0"/>
              <w:wordWrap/>
              <w:overflowPunct/>
              <w:topLinePunct w:val="0"/>
              <w:autoSpaceDE w:val="0"/>
              <w:autoSpaceDN w:val="0"/>
              <w:bidi w:val="0"/>
              <w:adjustRightInd w:val="0"/>
              <w:snapToGrid w:val="0"/>
              <w:spacing w:line="260" w:lineRule="exact"/>
              <w:ind w:left="272"/>
              <w:jc w:val="left"/>
              <w:textAlignment w:val="baseline"/>
              <w:rPr>
                <w:rFonts w:hint="eastAsia" w:ascii="仿宋_GB2312" w:hAnsi="仿宋_GB2312" w:eastAsia="仿宋_GB2312" w:cs="仿宋_GB2312"/>
                <w:b w:val="0"/>
                <w:bCs w:val="0"/>
                <w:snapToGrid w:val="0"/>
                <w:color w:val="000000"/>
                <w:kern w:val="0"/>
                <w:sz w:val="21"/>
                <w:szCs w:val="21"/>
              </w:rPr>
            </w:pPr>
            <w:r>
              <w:rPr>
                <w:rFonts w:hint="eastAsia" w:ascii="仿宋_GB2312" w:hAnsi="仿宋_GB2312" w:eastAsia="仿宋_GB2312" w:cs="仿宋_GB2312"/>
                <w:b w:val="0"/>
                <w:bCs w:val="0"/>
                <w:snapToGrid w:val="0"/>
                <w:color w:val="000000"/>
                <w:kern w:val="0"/>
                <w:sz w:val="21"/>
                <w:szCs w:val="21"/>
                <w:lang w:val="en-US" w:eastAsia="zh-CN"/>
              </w:rPr>
              <w:t>《中央预算内投资项目监督管理办法》（中华人民共和国国家发展和改革委员会令第10号）   第六条   地方各级发展改革部门、有关行业主管部门根据职责分工，对投资项目履行属地监督管理责任，建立健全有关监督管理工作机制，组织实施对本地区投资项目的日常调度、在线监测和监督检查等。</w:t>
            </w:r>
          </w:p>
        </w:tc>
        <w:tc>
          <w:tcPr>
            <w:tcW w:w="817" w:type="dxa"/>
            <w:shd w:val="clear" w:color="auto" w:fill="FFFFFF"/>
            <w:noWrap/>
            <w:tcMar>
              <w:left w:w="108" w:type="dxa"/>
              <w:right w:w="108" w:type="dxa"/>
            </w:tcMar>
            <w:vAlign w:val="center"/>
          </w:tcPr>
          <w:p w14:paraId="3AC9551A">
            <w:pPr>
              <w:pStyle w:val="7"/>
              <w:keepNext w:val="0"/>
              <w:keepLines w:val="0"/>
              <w:pageBreakBefore w:val="0"/>
              <w:widowControl/>
              <w:kinsoku w:val="0"/>
              <w:wordWrap/>
              <w:overflowPunct/>
              <w:topLinePunct w:val="0"/>
              <w:autoSpaceDE w:val="0"/>
              <w:autoSpaceDN w:val="0"/>
              <w:bidi w:val="0"/>
              <w:adjustRightInd w:val="0"/>
              <w:snapToGrid w:val="0"/>
              <w:spacing w:line="260" w:lineRule="exact"/>
              <w:ind w:left="272"/>
              <w:jc w:val="center"/>
              <w:textAlignment w:val="baseline"/>
              <w:rPr>
                <w:rFonts w:hint="eastAsia" w:ascii="仿宋_GB2312" w:hAnsi="仿宋_GB2312" w:eastAsia="仿宋_GB2312" w:cs="仿宋_GB2312"/>
                <w:b w:val="0"/>
                <w:bCs w:val="0"/>
                <w:snapToGrid w:val="0"/>
                <w:color w:val="000000"/>
                <w:kern w:val="0"/>
                <w:sz w:val="21"/>
                <w:szCs w:val="21"/>
              </w:rPr>
            </w:pPr>
          </w:p>
        </w:tc>
      </w:tr>
      <w:tr w14:paraId="5F8B54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18" w:hRule="atLeast"/>
        </w:trPr>
        <w:tc>
          <w:tcPr>
            <w:tcW w:w="745" w:type="dxa"/>
            <w:shd w:val="clear" w:color="auto" w:fill="FFFFFF"/>
            <w:tcMar>
              <w:left w:w="108" w:type="dxa"/>
              <w:right w:w="108" w:type="dxa"/>
            </w:tcMar>
            <w:vAlign w:val="center"/>
          </w:tcPr>
          <w:p w14:paraId="491D3892">
            <w:pPr>
              <w:pStyle w:val="7"/>
              <w:keepNext w:val="0"/>
              <w:keepLines w:val="0"/>
              <w:pageBreakBefore w:val="0"/>
              <w:widowControl/>
              <w:kinsoku w:val="0"/>
              <w:wordWrap/>
              <w:overflowPunct/>
              <w:topLinePunct w:val="0"/>
              <w:autoSpaceDE w:val="0"/>
              <w:autoSpaceDN w:val="0"/>
              <w:bidi w:val="0"/>
              <w:adjustRightInd w:val="0"/>
              <w:snapToGrid w:val="0"/>
              <w:spacing w:line="260" w:lineRule="exact"/>
              <w:ind w:left="272"/>
              <w:jc w:val="center"/>
              <w:textAlignment w:val="baseline"/>
              <w:rPr>
                <w:rFonts w:hint="default" w:ascii="仿宋_GB2312" w:hAnsi="仿宋_GB2312" w:eastAsia="仿宋_GB2312" w:cs="仿宋_GB2312"/>
                <w:b w:val="0"/>
                <w:bCs w:val="0"/>
                <w:snapToGrid w:val="0"/>
                <w:color w:val="000000"/>
                <w:kern w:val="0"/>
                <w:sz w:val="21"/>
                <w:szCs w:val="21"/>
                <w:lang w:val="en-US"/>
              </w:rPr>
            </w:pPr>
            <w:r>
              <w:rPr>
                <w:rFonts w:hint="eastAsia" w:ascii="仿宋_GB2312" w:hAnsi="仿宋_GB2312" w:eastAsia="仿宋_GB2312" w:cs="仿宋_GB2312"/>
                <w:b w:val="0"/>
                <w:bCs w:val="0"/>
                <w:snapToGrid w:val="0"/>
                <w:color w:val="000000"/>
                <w:kern w:val="0"/>
                <w:sz w:val="21"/>
                <w:szCs w:val="21"/>
                <w:lang w:val="en-US" w:eastAsia="zh-CN"/>
              </w:rPr>
              <w:t>38</w:t>
            </w:r>
          </w:p>
        </w:tc>
        <w:tc>
          <w:tcPr>
            <w:tcW w:w="1334" w:type="dxa"/>
            <w:shd w:val="clear" w:color="auto" w:fill="FFFFFF"/>
            <w:tcMar>
              <w:left w:w="108" w:type="dxa"/>
              <w:right w:w="108" w:type="dxa"/>
            </w:tcMar>
            <w:vAlign w:val="center"/>
          </w:tcPr>
          <w:p w14:paraId="70D62CDD">
            <w:pPr>
              <w:pStyle w:val="7"/>
              <w:keepNext w:val="0"/>
              <w:keepLines w:val="0"/>
              <w:pageBreakBefore w:val="0"/>
              <w:widowControl/>
              <w:kinsoku w:val="0"/>
              <w:wordWrap/>
              <w:overflowPunct/>
              <w:topLinePunct w:val="0"/>
              <w:autoSpaceDE w:val="0"/>
              <w:autoSpaceDN w:val="0"/>
              <w:bidi w:val="0"/>
              <w:adjustRightInd w:val="0"/>
              <w:snapToGrid w:val="0"/>
              <w:spacing w:line="260" w:lineRule="exact"/>
              <w:ind w:left="272"/>
              <w:jc w:val="center"/>
              <w:textAlignment w:val="baseline"/>
              <w:rPr>
                <w:rFonts w:hint="eastAsia" w:ascii="仿宋_GB2312" w:hAnsi="仿宋_GB2312" w:eastAsia="仿宋_GB2312" w:cs="仿宋_GB2312"/>
                <w:b w:val="0"/>
                <w:bCs w:val="0"/>
                <w:snapToGrid w:val="0"/>
                <w:color w:val="000000"/>
                <w:kern w:val="0"/>
                <w:sz w:val="21"/>
                <w:szCs w:val="21"/>
              </w:rPr>
            </w:pPr>
            <w:r>
              <w:rPr>
                <w:rFonts w:hint="eastAsia" w:ascii="仿宋_GB2312" w:hAnsi="仿宋_GB2312" w:eastAsia="仿宋_GB2312" w:cs="仿宋_GB2312"/>
                <w:b w:val="0"/>
                <w:bCs w:val="0"/>
                <w:snapToGrid w:val="0"/>
                <w:color w:val="000000"/>
                <w:kern w:val="0"/>
                <w:sz w:val="21"/>
                <w:szCs w:val="21"/>
                <w:lang w:val="en-US" w:eastAsia="zh-CN"/>
              </w:rPr>
              <w:t>对本级政府投资代建项目实施的监督检查</w:t>
            </w:r>
          </w:p>
        </w:tc>
        <w:tc>
          <w:tcPr>
            <w:tcW w:w="1085" w:type="dxa"/>
            <w:shd w:val="clear" w:color="auto" w:fill="FFFFFF"/>
            <w:tcMar>
              <w:left w:w="108" w:type="dxa"/>
              <w:right w:w="108" w:type="dxa"/>
            </w:tcMar>
            <w:vAlign w:val="center"/>
          </w:tcPr>
          <w:p w14:paraId="3E01C150">
            <w:pPr>
              <w:pStyle w:val="7"/>
              <w:keepNext w:val="0"/>
              <w:keepLines w:val="0"/>
              <w:pageBreakBefore w:val="0"/>
              <w:widowControl/>
              <w:kinsoku w:val="0"/>
              <w:wordWrap/>
              <w:overflowPunct/>
              <w:topLinePunct w:val="0"/>
              <w:autoSpaceDE w:val="0"/>
              <w:autoSpaceDN w:val="0"/>
              <w:bidi w:val="0"/>
              <w:adjustRightInd w:val="0"/>
              <w:snapToGrid w:val="0"/>
              <w:spacing w:line="260" w:lineRule="exact"/>
              <w:ind w:left="272"/>
              <w:jc w:val="center"/>
              <w:textAlignment w:val="baseline"/>
              <w:rPr>
                <w:rFonts w:hint="eastAsia" w:ascii="仿宋_GB2312" w:hAnsi="仿宋_GB2312" w:eastAsia="仿宋_GB2312" w:cs="仿宋_GB2312"/>
                <w:b w:val="0"/>
                <w:bCs w:val="0"/>
                <w:snapToGrid w:val="0"/>
                <w:color w:val="000000"/>
                <w:kern w:val="0"/>
                <w:sz w:val="21"/>
                <w:szCs w:val="21"/>
              </w:rPr>
            </w:pPr>
            <w:r>
              <w:rPr>
                <w:rFonts w:hint="eastAsia" w:ascii="仿宋_GB2312" w:hAnsi="仿宋_GB2312" w:eastAsia="仿宋_GB2312" w:cs="仿宋_GB2312"/>
                <w:b w:val="0"/>
                <w:bCs w:val="0"/>
                <w:snapToGrid w:val="0"/>
                <w:color w:val="000000"/>
                <w:kern w:val="0"/>
                <w:sz w:val="21"/>
                <w:szCs w:val="21"/>
                <w:lang w:val="en-US" w:eastAsia="zh-CN"/>
              </w:rPr>
              <w:t>行政检查</w:t>
            </w:r>
          </w:p>
        </w:tc>
        <w:tc>
          <w:tcPr>
            <w:tcW w:w="1179" w:type="dxa"/>
            <w:shd w:val="clear" w:color="auto" w:fill="FFFFFF"/>
            <w:tcMar>
              <w:left w:w="108" w:type="dxa"/>
              <w:right w:w="108" w:type="dxa"/>
            </w:tcMar>
            <w:vAlign w:val="center"/>
          </w:tcPr>
          <w:p w14:paraId="4659A666">
            <w:pPr>
              <w:pStyle w:val="7"/>
              <w:keepNext w:val="0"/>
              <w:keepLines w:val="0"/>
              <w:pageBreakBefore w:val="0"/>
              <w:widowControl/>
              <w:kinsoku w:val="0"/>
              <w:wordWrap/>
              <w:overflowPunct/>
              <w:topLinePunct w:val="0"/>
              <w:autoSpaceDE w:val="0"/>
              <w:autoSpaceDN w:val="0"/>
              <w:bidi w:val="0"/>
              <w:adjustRightInd w:val="0"/>
              <w:snapToGrid w:val="0"/>
              <w:spacing w:line="260" w:lineRule="exact"/>
              <w:ind w:left="272" w:leftChars="0"/>
              <w:jc w:val="center"/>
              <w:textAlignment w:val="baseline"/>
              <w:rPr>
                <w:rFonts w:hint="eastAsia" w:ascii="仿宋_GB2312" w:hAnsi="仿宋_GB2312" w:eastAsia="仿宋_GB2312" w:cs="仿宋_GB2312"/>
                <w:b w:val="0"/>
                <w:bCs w:val="0"/>
                <w:snapToGrid w:val="0"/>
                <w:color w:val="000000"/>
                <w:kern w:val="0"/>
                <w:sz w:val="21"/>
                <w:szCs w:val="21"/>
              </w:rPr>
            </w:pPr>
            <w:r>
              <w:rPr>
                <w:rFonts w:hint="eastAsia" w:ascii="仿宋_GB2312" w:hAnsi="仿宋_GB2312" w:eastAsia="仿宋_GB2312" w:cs="仿宋_GB2312"/>
                <w:b w:val="0"/>
                <w:bCs w:val="0"/>
                <w:snapToGrid w:val="0"/>
                <w:color w:val="000000"/>
                <w:kern w:val="0"/>
                <w:sz w:val="21"/>
                <w:szCs w:val="21"/>
                <w:lang w:val="en-US" w:eastAsia="zh-CN"/>
              </w:rPr>
              <w:t>零陵区发改局</w:t>
            </w:r>
          </w:p>
        </w:tc>
        <w:tc>
          <w:tcPr>
            <w:tcW w:w="1444" w:type="dxa"/>
            <w:shd w:val="clear" w:color="auto" w:fill="FFFFFF"/>
            <w:tcMar>
              <w:left w:w="108" w:type="dxa"/>
              <w:right w:w="108" w:type="dxa"/>
            </w:tcMar>
            <w:vAlign w:val="center"/>
          </w:tcPr>
          <w:p w14:paraId="2C330474">
            <w:pPr>
              <w:pStyle w:val="7"/>
              <w:keepNext w:val="0"/>
              <w:keepLines w:val="0"/>
              <w:pageBreakBefore w:val="0"/>
              <w:widowControl/>
              <w:kinsoku w:val="0"/>
              <w:wordWrap/>
              <w:overflowPunct/>
              <w:topLinePunct w:val="0"/>
              <w:autoSpaceDE w:val="0"/>
              <w:autoSpaceDN w:val="0"/>
              <w:bidi w:val="0"/>
              <w:adjustRightInd w:val="0"/>
              <w:snapToGrid w:val="0"/>
              <w:spacing w:line="260" w:lineRule="exact"/>
              <w:ind w:left="272" w:leftChars="0"/>
              <w:jc w:val="center"/>
              <w:textAlignment w:val="baseline"/>
              <w:rPr>
                <w:rFonts w:hint="eastAsia" w:ascii="仿宋_GB2312" w:hAnsi="仿宋_GB2312" w:eastAsia="仿宋_GB2312" w:cs="仿宋_GB2312"/>
                <w:b w:val="0"/>
                <w:bCs w:val="0"/>
                <w:snapToGrid w:val="0"/>
                <w:color w:val="000000"/>
                <w:kern w:val="0"/>
                <w:sz w:val="21"/>
                <w:szCs w:val="21"/>
              </w:rPr>
            </w:pPr>
            <w:r>
              <w:rPr>
                <w:rFonts w:hint="eastAsia" w:ascii="仿宋_GB2312" w:hAnsi="仿宋_GB2312" w:eastAsia="仿宋_GB2312" w:cs="仿宋_GB2312"/>
                <w:b w:val="0"/>
                <w:bCs w:val="0"/>
                <w:snapToGrid w:val="0"/>
                <w:color w:val="000000"/>
                <w:kern w:val="0"/>
                <w:sz w:val="21"/>
                <w:szCs w:val="21"/>
                <w:lang w:val="en-US" w:eastAsia="zh-CN"/>
              </w:rPr>
              <w:t>投资股  法规股</w:t>
            </w:r>
          </w:p>
        </w:tc>
        <w:tc>
          <w:tcPr>
            <w:tcW w:w="8616" w:type="dxa"/>
            <w:shd w:val="clear" w:color="auto" w:fill="FFFFFF"/>
            <w:tcMar>
              <w:left w:w="108" w:type="dxa"/>
              <w:right w:w="108" w:type="dxa"/>
            </w:tcMar>
            <w:vAlign w:val="center"/>
          </w:tcPr>
          <w:p w14:paraId="65E367B0">
            <w:pPr>
              <w:pStyle w:val="7"/>
              <w:keepNext w:val="0"/>
              <w:keepLines w:val="0"/>
              <w:pageBreakBefore w:val="0"/>
              <w:widowControl/>
              <w:kinsoku w:val="0"/>
              <w:wordWrap/>
              <w:overflowPunct/>
              <w:topLinePunct w:val="0"/>
              <w:autoSpaceDE w:val="0"/>
              <w:autoSpaceDN w:val="0"/>
              <w:bidi w:val="0"/>
              <w:adjustRightInd w:val="0"/>
              <w:snapToGrid w:val="0"/>
              <w:spacing w:line="260" w:lineRule="exact"/>
              <w:ind w:left="272"/>
              <w:jc w:val="left"/>
              <w:textAlignment w:val="baseline"/>
              <w:rPr>
                <w:rFonts w:hint="eastAsia" w:ascii="仿宋_GB2312" w:hAnsi="仿宋_GB2312" w:eastAsia="仿宋_GB2312" w:cs="仿宋_GB2312"/>
                <w:b w:val="0"/>
                <w:bCs w:val="0"/>
                <w:snapToGrid w:val="0"/>
                <w:color w:val="000000"/>
                <w:kern w:val="0"/>
                <w:sz w:val="21"/>
                <w:szCs w:val="21"/>
              </w:rPr>
            </w:pPr>
            <w:r>
              <w:rPr>
                <w:rFonts w:hint="eastAsia" w:ascii="仿宋_GB2312" w:hAnsi="仿宋_GB2312" w:eastAsia="仿宋_GB2312" w:cs="仿宋_GB2312"/>
                <w:b w:val="0"/>
                <w:bCs w:val="0"/>
                <w:snapToGrid w:val="0"/>
                <w:color w:val="000000"/>
                <w:kern w:val="0"/>
                <w:sz w:val="21"/>
                <w:szCs w:val="21"/>
                <w:lang w:val="en-US" w:eastAsia="zh-CN"/>
              </w:rPr>
              <w:t>《湖南省政府投资项目代建制管理办法》（湖南省人民政府令第241号） 第十二条  发展改革部门可以采取以下方式，加强对政府投资代建制推行的指导、协调和监督管理：（二）参与监督项目工程招标代理机构选择及招标投标活动；（五）监督检查项目实施，制止或者纠正有关违规、违约行为，或者提请有关行政监督部门处理。</w:t>
            </w:r>
          </w:p>
        </w:tc>
        <w:tc>
          <w:tcPr>
            <w:tcW w:w="817" w:type="dxa"/>
            <w:shd w:val="clear" w:color="auto" w:fill="FFFFFF"/>
            <w:noWrap/>
            <w:tcMar>
              <w:left w:w="108" w:type="dxa"/>
              <w:right w:w="108" w:type="dxa"/>
            </w:tcMar>
            <w:vAlign w:val="center"/>
          </w:tcPr>
          <w:p w14:paraId="30E44F3D">
            <w:pPr>
              <w:pStyle w:val="7"/>
              <w:keepNext w:val="0"/>
              <w:keepLines w:val="0"/>
              <w:pageBreakBefore w:val="0"/>
              <w:widowControl/>
              <w:kinsoku w:val="0"/>
              <w:wordWrap/>
              <w:overflowPunct/>
              <w:topLinePunct w:val="0"/>
              <w:autoSpaceDE w:val="0"/>
              <w:autoSpaceDN w:val="0"/>
              <w:bidi w:val="0"/>
              <w:adjustRightInd w:val="0"/>
              <w:snapToGrid w:val="0"/>
              <w:spacing w:line="260" w:lineRule="exact"/>
              <w:ind w:left="272"/>
              <w:jc w:val="center"/>
              <w:textAlignment w:val="baseline"/>
              <w:rPr>
                <w:rFonts w:hint="eastAsia" w:ascii="仿宋_GB2312" w:hAnsi="仿宋_GB2312" w:eastAsia="仿宋_GB2312" w:cs="仿宋_GB2312"/>
                <w:b w:val="0"/>
                <w:bCs w:val="0"/>
                <w:snapToGrid w:val="0"/>
                <w:color w:val="000000"/>
                <w:kern w:val="0"/>
                <w:sz w:val="21"/>
                <w:szCs w:val="21"/>
              </w:rPr>
            </w:pPr>
          </w:p>
        </w:tc>
      </w:tr>
      <w:tr w14:paraId="499A32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95" w:hRule="atLeast"/>
        </w:trPr>
        <w:tc>
          <w:tcPr>
            <w:tcW w:w="745" w:type="dxa"/>
            <w:shd w:val="clear" w:color="auto" w:fill="FFFFFF"/>
            <w:tcMar>
              <w:left w:w="108" w:type="dxa"/>
              <w:right w:w="108" w:type="dxa"/>
            </w:tcMar>
            <w:vAlign w:val="center"/>
          </w:tcPr>
          <w:p w14:paraId="24BE78CA">
            <w:pPr>
              <w:pStyle w:val="7"/>
              <w:keepNext w:val="0"/>
              <w:keepLines w:val="0"/>
              <w:pageBreakBefore w:val="0"/>
              <w:widowControl/>
              <w:kinsoku w:val="0"/>
              <w:wordWrap/>
              <w:overflowPunct/>
              <w:topLinePunct w:val="0"/>
              <w:autoSpaceDE w:val="0"/>
              <w:autoSpaceDN w:val="0"/>
              <w:bidi w:val="0"/>
              <w:adjustRightInd w:val="0"/>
              <w:snapToGrid w:val="0"/>
              <w:spacing w:line="260" w:lineRule="exact"/>
              <w:ind w:left="272"/>
              <w:jc w:val="center"/>
              <w:textAlignment w:val="baseline"/>
              <w:rPr>
                <w:rFonts w:hint="default" w:ascii="仿宋_GB2312" w:hAnsi="仿宋_GB2312" w:eastAsia="仿宋_GB2312" w:cs="仿宋_GB2312"/>
                <w:b w:val="0"/>
                <w:bCs w:val="0"/>
                <w:snapToGrid w:val="0"/>
                <w:color w:val="000000"/>
                <w:kern w:val="0"/>
                <w:sz w:val="21"/>
                <w:szCs w:val="21"/>
                <w:lang w:val="en-US"/>
              </w:rPr>
            </w:pPr>
            <w:r>
              <w:rPr>
                <w:rFonts w:hint="eastAsia" w:ascii="仿宋_GB2312" w:hAnsi="仿宋_GB2312" w:eastAsia="仿宋_GB2312" w:cs="仿宋_GB2312"/>
                <w:b w:val="0"/>
                <w:bCs w:val="0"/>
                <w:snapToGrid w:val="0"/>
                <w:color w:val="000000"/>
                <w:kern w:val="0"/>
                <w:sz w:val="21"/>
                <w:szCs w:val="21"/>
                <w:lang w:val="en-US" w:eastAsia="zh-CN"/>
              </w:rPr>
              <w:t>39</w:t>
            </w:r>
          </w:p>
        </w:tc>
        <w:tc>
          <w:tcPr>
            <w:tcW w:w="1334" w:type="dxa"/>
            <w:shd w:val="clear" w:color="auto" w:fill="FFFFFF"/>
            <w:tcMar>
              <w:left w:w="108" w:type="dxa"/>
              <w:right w:w="108" w:type="dxa"/>
            </w:tcMar>
            <w:vAlign w:val="center"/>
          </w:tcPr>
          <w:p w14:paraId="234F4C99">
            <w:pPr>
              <w:pStyle w:val="7"/>
              <w:keepNext w:val="0"/>
              <w:keepLines w:val="0"/>
              <w:pageBreakBefore w:val="0"/>
              <w:widowControl/>
              <w:kinsoku w:val="0"/>
              <w:wordWrap/>
              <w:overflowPunct/>
              <w:topLinePunct w:val="0"/>
              <w:autoSpaceDE w:val="0"/>
              <w:autoSpaceDN w:val="0"/>
              <w:bidi w:val="0"/>
              <w:adjustRightInd w:val="0"/>
              <w:snapToGrid w:val="0"/>
              <w:spacing w:line="260" w:lineRule="exact"/>
              <w:ind w:left="272"/>
              <w:jc w:val="center"/>
              <w:textAlignment w:val="baseline"/>
              <w:rPr>
                <w:rFonts w:hint="eastAsia" w:ascii="仿宋_GB2312" w:hAnsi="仿宋_GB2312" w:eastAsia="仿宋_GB2312" w:cs="仿宋_GB2312"/>
                <w:b w:val="0"/>
                <w:bCs w:val="0"/>
                <w:snapToGrid w:val="0"/>
                <w:color w:val="000000"/>
                <w:kern w:val="0"/>
                <w:sz w:val="21"/>
                <w:szCs w:val="21"/>
              </w:rPr>
            </w:pPr>
            <w:r>
              <w:rPr>
                <w:rFonts w:hint="eastAsia" w:ascii="仿宋_GB2312" w:hAnsi="仿宋_GB2312" w:eastAsia="仿宋_GB2312" w:cs="仿宋_GB2312"/>
                <w:b w:val="0"/>
                <w:bCs w:val="0"/>
                <w:snapToGrid w:val="0"/>
                <w:color w:val="000000"/>
                <w:kern w:val="0"/>
                <w:sz w:val="21"/>
                <w:szCs w:val="21"/>
                <w:lang w:val="en-US" w:eastAsia="zh-CN"/>
              </w:rPr>
              <w:t>对招标代理机构的监督检查</w:t>
            </w:r>
          </w:p>
        </w:tc>
        <w:tc>
          <w:tcPr>
            <w:tcW w:w="1085" w:type="dxa"/>
            <w:shd w:val="clear" w:color="auto" w:fill="FFFFFF"/>
            <w:tcMar>
              <w:left w:w="108" w:type="dxa"/>
              <w:right w:w="108" w:type="dxa"/>
            </w:tcMar>
            <w:vAlign w:val="center"/>
          </w:tcPr>
          <w:p w14:paraId="2170BA68">
            <w:pPr>
              <w:pStyle w:val="7"/>
              <w:keepNext w:val="0"/>
              <w:keepLines w:val="0"/>
              <w:pageBreakBefore w:val="0"/>
              <w:widowControl/>
              <w:kinsoku w:val="0"/>
              <w:wordWrap/>
              <w:overflowPunct/>
              <w:topLinePunct w:val="0"/>
              <w:autoSpaceDE w:val="0"/>
              <w:autoSpaceDN w:val="0"/>
              <w:bidi w:val="0"/>
              <w:adjustRightInd w:val="0"/>
              <w:snapToGrid w:val="0"/>
              <w:spacing w:line="260" w:lineRule="exact"/>
              <w:ind w:left="272"/>
              <w:jc w:val="center"/>
              <w:textAlignment w:val="baseline"/>
              <w:rPr>
                <w:rFonts w:hint="eastAsia" w:ascii="仿宋_GB2312" w:hAnsi="仿宋_GB2312" w:eastAsia="仿宋_GB2312" w:cs="仿宋_GB2312"/>
                <w:b w:val="0"/>
                <w:bCs w:val="0"/>
                <w:snapToGrid w:val="0"/>
                <w:color w:val="000000"/>
                <w:kern w:val="0"/>
                <w:sz w:val="21"/>
                <w:szCs w:val="21"/>
              </w:rPr>
            </w:pPr>
            <w:r>
              <w:rPr>
                <w:rFonts w:hint="eastAsia" w:ascii="仿宋_GB2312" w:hAnsi="仿宋_GB2312" w:eastAsia="仿宋_GB2312" w:cs="仿宋_GB2312"/>
                <w:b w:val="0"/>
                <w:bCs w:val="0"/>
                <w:snapToGrid w:val="0"/>
                <w:color w:val="000000"/>
                <w:kern w:val="0"/>
                <w:sz w:val="21"/>
                <w:szCs w:val="21"/>
                <w:lang w:val="en-US" w:eastAsia="zh-CN"/>
              </w:rPr>
              <w:t>行政检查</w:t>
            </w:r>
          </w:p>
        </w:tc>
        <w:tc>
          <w:tcPr>
            <w:tcW w:w="1179" w:type="dxa"/>
            <w:shd w:val="clear" w:color="auto" w:fill="FFFFFF"/>
            <w:tcMar>
              <w:left w:w="108" w:type="dxa"/>
              <w:right w:w="108" w:type="dxa"/>
            </w:tcMar>
            <w:vAlign w:val="center"/>
          </w:tcPr>
          <w:p w14:paraId="0821C629">
            <w:pPr>
              <w:pStyle w:val="7"/>
              <w:keepNext w:val="0"/>
              <w:keepLines w:val="0"/>
              <w:pageBreakBefore w:val="0"/>
              <w:widowControl/>
              <w:kinsoku w:val="0"/>
              <w:wordWrap/>
              <w:overflowPunct/>
              <w:topLinePunct w:val="0"/>
              <w:autoSpaceDE w:val="0"/>
              <w:autoSpaceDN w:val="0"/>
              <w:bidi w:val="0"/>
              <w:adjustRightInd w:val="0"/>
              <w:snapToGrid w:val="0"/>
              <w:spacing w:line="260" w:lineRule="exact"/>
              <w:ind w:left="272" w:leftChars="0"/>
              <w:jc w:val="center"/>
              <w:textAlignment w:val="baseline"/>
              <w:rPr>
                <w:rFonts w:hint="eastAsia" w:ascii="仿宋_GB2312" w:hAnsi="仿宋_GB2312" w:eastAsia="仿宋_GB2312" w:cs="仿宋_GB2312"/>
                <w:b w:val="0"/>
                <w:bCs w:val="0"/>
                <w:snapToGrid w:val="0"/>
                <w:color w:val="000000"/>
                <w:kern w:val="0"/>
                <w:sz w:val="21"/>
                <w:szCs w:val="21"/>
              </w:rPr>
            </w:pPr>
            <w:r>
              <w:rPr>
                <w:rFonts w:hint="eastAsia" w:ascii="仿宋_GB2312" w:hAnsi="仿宋_GB2312" w:eastAsia="仿宋_GB2312" w:cs="仿宋_GB2312"/>
                <w:b w:val="0"/>
                <w:bCs w:val="0"/>
                <w:snapToGrid w:val="0"/>
                <w:color w:val="000000"/>
                <w:kern w:val="0"/>
                <w:sz w:val="21"/>
                <w:szCs w:val="21"/>
                <w:lang w:val="en-US" w:eastAsia="zh-CN"/>
              </w:rPr>
              <w:t>零陵区发改局</w:t>
            </w:r>
          </w:p>
        </w:tc>
        <w:tc>
          <w:tcPr>
            <w:tcW w:w="1444" w:type="dxa"/>
            <w:shd w:val="clear" w:color="auto" w:fill="FFFFFF"/>
            <w:tcMar>
              <w:left w:w="108" w:type="dxa"/>
              <w:right w:w="108" w:type="dxa"/>
            </w:tcMar>
            <w:vAlign w:val="center"/>
          </w:tcPr>
          <w:p w14:paraId="1F4F6ED0">
            <w:pPr>
              <w:pStyle w:val="7"/>
              <w:keepNext w:val="0"/>
              <w:keepLines w:val="0"/>
              <w:pageBreakBefore w:val="0"/>
              <w:widowControl/>
              <w:kinsoku w:val="0"/>
              <w:wordWrap/>
              <w:overflowPunct/>
              <w:topLinePunct w:val="0"/>
              <w:autoSpaceDE w:val="0"/>
              <w:autoSpaceDN w:val="0"/>
              <w:bidi w:val="0"/>
              <w:adjustRightInd w:val="0"/>
              <w:snapToGrid w:val="0"/>
              <w:spacing w:line="260" w:lineRule="exact"/>
              <w:ind w:left="272" w:leftChars="0"/>
              <w:jc w:val="center"/>
              <w:textAlignment w:val="baseline"/>
              <w:rPr>
                <w:rFonts w:hint="eastAsia" w:ascii="仿宋_GB2312" w:hAnsi="仿宋_GB2312" w:eastAsia="仿宋_GB2312" w:cs="仿宋_GB2312"/>
                <w:b w:val="0"/>
                <w:bCs w:val="0"/>
                <w:snapToGrid w:val="0"/>
                <w:color w:val="000000"/>
                <w:kern w:val="0"/>
                <w:sz w:val="21"/>
                <w:szCs w:val="21"/>
              </w:rPr>
            </w:pPr>
            <w:r>
              <w:rPr>
                <w:rFonts w:hint="eastAsia" w:ascii="仿宋_GB2312" w:hAnsi="仿宋_GB2312" w:eastAsia="仿宋_GB2312" w:cs="仿宋_GB2312"/>
                <w:b w:val="0"/>
                <w:bCs w:val="0"/>
                <w:snapToGrid w:val="0"/>
                <w:color w:val="000000"/>
                <w:kern w:val="0"/>
                <w:sz w:val="21"/>
                <w:szCs w:val="21"/>
                <w:lang w:val="en-US" w:eastAsia="zh-CN"/>
              </w:rPr>
              <w:t>法规股</w:t>
            </w:r>
          </w:p>
        </w:tc>
        <w:tc>
          <w:tcPr>
            <w:tcW w:w="8616" w:type="dxa"/>
            <w:shd w:val="clear" w:color="auto" w:fill="FFFFFF"/>
            <w:tcMar>
              <w:left w:w="108" w:type="dxa"/>
              <w:right w:w="108" w:type="dxa"/>
            </w:tcMar>
            <w:vAlign w:val="center"/>
          </w:tcPr>
          <w:p w14:paraId="06FA368F">
            <w:pPr>
              <w:pStyle w:val="7"/>
              <w:keepNext w:val="0"/>
              <w:keepLines w:val="0"/>
              <w:pageBreakBefore w:val="0"/>
              <w:widowControl/>
              <w:kinsoku w:val="0"/>
              <w:wordWrap/>
              <w:overflowPunct/>
              <w:topLinePunct w:val="0"/>
              <w:autoSpaceDE w:val="0"/>
              <w:autoSpaceDN w:val="0"/>
              <w:bidi w:val="0"/>
              <w:adjustRightInd w:val="0"/>
              <w:snapToGrid w:val="0"/>
              <w:spacing w:line="260" w:lineRule="exact"/>
              <w:ind w:left="272"/>
              <w:jc w:val="left"/>
              <w:textAlignment w:val="baseline"/>
              <w:rPr>
                <w:rFonts w:hint="eastAsia" w:ascii="仿宋_GB2312" w:hAnsi="仿宋_GB2312" w:eastAsia="仿宋_GB2312" w:cs="仿宋_GB2312"/>
                <w:b w:val="0"/>
                <w:bCs w:val="0"/>
                <w:snapToGrid w:val="0"/>
                <w:color w:val="000000"/>
                <w:kern w:val="0"/>
                <w:sz w:val="21"/>
                <w:szCs w:val="21"/>
              </w:rPr>
            </w:pPr>
            <w:r>
              <w:rPr>
                <w:rFonts w:hint="eastAsia" w:ascii="仿宋_GB2312" w:hAnsi="仿宋_GB2312" w:eastAsia="仿宋_GB2312" w:cs="仿宋_GB2312"/>
                <w:b w:val="0"/>
                <w:bCs w:val="0"/>
                <w:snapToGrid w:val="0"/>
                <w:color w:val="000000"/>
                <w:kern w:val="0"/>
                <w:sz w:val="21"/>
                <w:szCs w:val="21"/>
                <w:lang w:val="en-US" w:eastAsia="zh-CN"/>
              </w:rPr>
              <w:t>《湖南省实施&lt;中华人民共和国招标投标法&gt;办法》第十四条第五款  招标代理机构应当接受发展和改革部门和有关行政监督部门的监督检查。</w:t>
            </w:r>
          </w:p>
        </w:tc>
        <w:tc>
          <w:tcPr>
            <w:tcW w:w="817" w:type="dxa"/>
            <w:shd w:val="clear" w:color="auto" w:fill="FFFFFF"/>
            <w:noWrap/>
            <w:tcMar>
              <w:left w:w="108" w:type="dxa"/>
              <w:right w:w="108" w:type="dxa"/>
            </w:tcMar>
            <w:vAlign w:val="center"/>
          </w:tcPr>
          <w:p w14:paraId="4A0B56F6">
            <w:pPr>
              <w:pStyle w:val="7"/>
              <w:keepNext w:val="0"/>
              <w:keepLines w:val="0"/>
              <w:pageBreakBefore w:val="0"/>
              <w:widowControl/>
              <w:kinsoku w:val="0"/>
              <w:wordWrap/>
              <w:overflowPunct/>
              <w:topLinePunct w:val="0"/>
              <w:autoSpaceDE w:val="0"/>
              <w:autoSpaceDN w:val="0"/>
              <w:bidi w:val="0"/>
              <w:adjustRightInd w:val="0"/>
              <w:snapToGrid w:val="0"/>
              <w:spacing w:line="260" w:lineRule="exact"/>
              <w:ind w:left="272"/>
              <w:jc w:val="center"/>
              <w:textAlignment w:val="baseline"/>
              <w:rPr>
                <w:rFonts w:hint="eastAsia" w:ascii="仿宋_GB2312" w:hAnsi="仿宋_GB2312" w:eastAsia="仿宋_GB2312" w:cs="仿宋_GB2312"/>
                <w:b w:val="0"/>
                <w:bCs w:val="0"/>
                <w:snapToGrid w:val="0"/>
                <w:color w:val="000000"/>
                <w:kern w:val="0"/>
                <w:sz w:val="21"/>
                <w:szCs w:val="21"/>
              </w:rPr>
            </w:pPr>
          </w:p>
        </w:tc>
      </w:tr>
      <w:tr w14:paraId="23C097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35" w:hRule="atLeast"/>
        </w:trPr>
        <w:tc>
          <w:tcPr>
            <w:tcW w:w="745" w:type="dxa"/>
            <w:shd w:val="clear" w:color="auto" w:fill="FFFFFF"/>
            <w:tcMar>
              <w:left w:w="108" w:type="dxa"/>
              <w:right w:w="108" w:type="dxa"/>
            </w:tcMar>
            <w:vAlign w:val="center"/>
          </w:tcPr>
          <w:p w14:paraId="7718829D">
            <w:pPr>
              <w:pStyle w:val="7"/>
              <w:keepNext w:val="0"/>
              <w:keepLines w:val="0"/>
              <w:pageBreakBefore w:val="0"/>
              <w:widowControl/>
              <w:kinsoku w:val="0"/>
              <w:wordWrap/>
              <w:overflowPunct/>
              <w:topLinePunct w:val="0"/>
              <w:autoSpaceDE w:val="0"/>
              <w:autoSpaceDN w:val="0"/>
              <w:bidi w:val="0"/>
              <w:adjustRightInd w:val="0"/>
              <w:snapToGrid w:val="0"/>
              <w:spacing w:line="260" w:lineRule="exact"/>
              <w:ind w:left="272"/>
              <w:jc w:val="center"/>
              <w:textAlignment w:val="baseline"/>
              <w:rPr>
                <w:rFonts w:hint="default" w:ascii="仿宋_GB2312" w:hAnsi="仿宋_GB2312" w:eastAsia="仿宋_GB2312" w:cs="仿宋_GB2312"/>
                <w:b w:val="0"/>
                <w:bCs w:val="0"/>
                <w:snapToGrid w:val="0"/>
                <w:color w:val="000000"/>
                <w:kern w:val="0"/>
                <w:sz w:val="21"/>
                <w:szCs w:val="21"/>
                <w:lang w:val="en-US"/>
              </w:rPr>
            </w:pPr>
            <w:r>
              <w:rPr>
                <w:rFonts w:hint="eastAsia" w:ascii="仿宋_GB2312" w:hAnsi="仿宋_GB2312" w:eastAsia="仿宋_GB2312" w:cs="仿宋_GB2312"/>
                <w:b w:val="0"/>
                <w:bCs w:val="0"/>
                <w:snapToGrid w:val="0"/>
                <w:color w:val="000000"/>
                <w:kern w:val="0"/>
                <w:sz w:val="21"/>
                <w:szCs w:val="21"/>
                <w:lang w:val="en-US" w:eastAsia="zh-CN"/>
              </w:rPr>
              <w:t>40</w:t>
            </w:r>
          </w:p>
        </w:tc>
        <w:tc>
          <w:tcPr>
            <w:tcW w:w="1334" w:type="dxa"/>
            <w:shd w:val="clear" w:color="auto" w:fill="FFFFFF"/>
            <w:tcMar>
              <w:left w:w="108" w:type="dxa"/>
              <w:right w:w="108" w:type="dxa"/>
            </w:tcMar>
            <w:vAlign w:val="center"/>
          </w:tcPr>
          <w:p w14:paraId="24C15EDC">
            <w:pPr>
              <w:pStyle w:val="7"/>
              <w:keepNext w:val="0"/>
              <w:keepLines w:val="0"/>
              <w:pageBreakBefore w:val="0"/>
              <w:widowControl/>
              <w:kinsoku w:val="0"/>
              <w:wordWrap/>
              <w:overflowPunct/>
              <w:topLinePunct w:val="0"/>
              <w:autoSpaceDE w:val="0"/>
              <w:autoSpaceDN w:val="0"/>
              <w:bidi w:val="0"/>
              <w:adjustRightInd w:val="0"/>
              <w:snapToGrid w:val="0"/>
              <w:spacing w:line="260" w:lineRule="exact"/>
              <w:ind w:left="272"/>
              <w:jc w:val="center"/>
              <w:textAlignment w:val="baseline"/>
              <w:rPr>
                <w:rFonts w:hint="eastAsia" w:ascii="仿宋_GB2312" w:hAnsi="仿宋_GB2312" w:eastAsia="仿宋_GB2312" w:cs="仿宋_GB2312"/>
                <w:b w:val="0"/>
                <w:bCs w:val="0"/>
                <w:snapToGrid w:val="0"/>
                <w:color w:val="000000"/>
                <w:kern w:val="0"/>
                <w:sz w:val="21"/>
                <w:szCs w:val="21"/>
              </w:rPr>
            </w:pPr>
            <w:r>
              <w:rPr>
                <w:rFonts w:hint="eastAsia" w:ascii="仿宋_GB2312" w:hAnsi="仿宋_GB2312" w:eastAsia="仿宋_GB2312" w:cs="仿宋_GB2312"/>
                <w:b w:val="0"/>
                <w:bCs w:val="0"/>
                <w:snapToGrid w:val="0"/>
                <w:color w:val="000000"/>
                <w:kern w:val="0"/>
                <w:sz w:val="21"/>
                <w:szCs w:val="21"/>
                <w:lang w:val="en-US" w:eastAsia="zh-CN"/>
              </w:rPr>
              <w:t>油气长输管道保护检查</w:t>
            </w:r>
          </w:p>
        </w:tc>
        <w:tc>
          <w:tcPr>
            <w:tcW w:w="1085" w:type="dxa"/>
            <w:shd w:val="clear" w:color="auto" w:fill="FFFFFF"/>
            <w:tcMar>
              <w:left w:w="108" w:type="dxa"/>
              <w:right w:w="108" w:type="dxa"/>
            </w:tcMar>
            <w:vAlign w:val="center"/>
          </w:tcPr>
          <w:p w14:paraId="2CA8EF72">
            <w:pPr>
              <w:pStyle w:val="7"/>
              <w:keepNext w:val="0"/>
              <w:keepLines w:val="0"/>
              <w:pageBreakBefore w:val="0"/>
              <w:widowControl/>
              <w:kinsoku w:val="0"/>
              <w:wordWrap/>
              <w:overflowPunct/>
              <w:topLinePunct w:val="0"/>
              <w:autoSpaceDE w:val="0"/>
              <w:autoSpaceDN w:val="0"/>
              <w:bidi w:val="0"/>
              <w:adjustRightInd w:val="0"/>
              <w:snapToGrid w:val="0"/>
              <w:spacing w:line="260" w:lineRule="exact"/>
              <w:ind w:left="272"/>
              <w:jc w:val="center"/>
              <w:textAlignment w:val="baseline"/>
              <w:rPr>
                <w:rFonts w:hint="eastAsia" w:ascii="仿宋_GB2312" w:hAnsi="仿宋_GB2312" w:eastAsia="仿宋_GB2312" w:cs="仿宋_GB2312"/>
                <w:b w:val="0"/>
                <w:bCs w:val="0"/>
                <w:snapToGrid w:val="0"/>
                <w:color w:val="000000"/>
                <w:kern w:val="0"/>
                <w:sz w:val="21"/>
                <w:szCs w:val="21"/>
              </w:rPr>
            </w:pPr>
            <w:r>
              <w:rPr>
                <w:rFonts w:hint="eastAsia" w:ascii="仿宋_GB2312" w:hAnsi="仿宋_GB2312" w:eastAsia="仿宋_GB2312" w:cs="仿宋_GB2312"/>
                <w:b w:val="0"/>
                <w:bCs w:val="0"/>
                <w:snapToGrid w:val="0"/>
                <w:color w:val="000000"/>
                <w:kern w:val="0"/>
                <w:sz w:val="21"/>
                <w:szCs w:val="21"/>
                <w:lang w:val="en-US" w:eastAsia="zh-CN"/>
              </w:rPr>
              <w:t>行政检查</w:t>
            </w:r>
          </w:p>
        </w:tc>
        <w:tc>
          <w:tcPr>
            <w:tcW w:w="1179" w:type="dxa"/>
            <w:shd w:val="clear" w:color="auto" w:fill="FFFFFF"/>
            <w:tcMar>
              <w:left w:w="108" w:type="dxa"/>
              <w:right w:w="108" w:type="dxa"/>
            </w:tcMar>
            <w:vAlign w:val="center"/>
          </w:tcPr>
          <w:p w14:paraId="1C51B897">
            <w:pPr>
              <w:pStyle w:val="7"/>
              <w:keepNext w:val="0"/>
              <w:keepLines w:val="0"/>
              <w:pageBreakBefore w:val="0"/>
              <w:widowControl/>
              <w:kinsoku w:val="0"/>
              <w:wordWrap/>
              <w:overflowPunct/>
              <w:topLinePunct w:val="0"/>
              <w:autoSpaceDE w:val="0"/>
              <w:autoSpaceDN w:val="0"/>
              <w:bidi w:val="0"/>
              <w:adjustRightInd w:val="0"/>
              <w:snapToGrid w:val="0"/>
              <w:spacing w:line="260" w:lineRule="exact"/>
              <w:ind w:left="272" w:leftChars="0"/>
              <w:jc w:val="center"/>
              <w:textAlignment w:val="baseline"/>
              <w:rPr>
                <w:rFonts w:hint="eastAsia" w:ascii="仿宋_GB2312" w:hAnsi="仿宋_GB2312" w:eastAsia="仿宋_GB2312" w:cs="仿宋_GB2312"/>
                <w:b w:val="0"/>
                <w:bCs w:val="0"/>
                <w:snapToGrid w:val="0"/>
                <w:color w:val="000000"/>
                <w:kern w:val="0"/>
                <w:sz w:val="21"/>
                <w:szCs w:val="21"/>
              </w:rPr>
            </w:pPr>
            <w:r>
              <w:rPr>
                <w:rFonts w:hint="eastAsia" w:ascii="仿宋_GB2312" w:hAnsi="仿宋_GB2312" w:eastAsia="仿宋_GB2312" w:cs="仿宋_GB2312"/>
                <w:b w:val="0"/>
                <w:bCs w:val="0"/>
                <w:snapToGrid w:val="0"/>
                <w:color w:val="000000"/>
                <w:kern w:val="0"/>
                <w:sz w:val="21"/>
                <w:szCs w:val="21"/>
                <w:lang w:val="en-US" w:eastAsia="zh-CN"/>
              </w:rPr>
              <w:t>零陵区发改局</w:t>
            </w:r>
          </w:p>
        </w:tc>
        <w:tc>
          <w:tcPr>
            <w:tcW w:w="1444" w:type="dxa"/>
            <w:shd w:val="clear" w:color="auto" w:fill="FFFFFF"/>
            <w:tcMar>
              <w:left w:w="108" w:type="dxa"/>
              <w:right w:w="108" w:type="dxa"/>
            </w:tcMar>
            <w:vAlign w:val="center"/>
          </w:tcPr>
          <w:p w14:paraId="73A9D1D0">
            <w:pPr>
              <w:pStyle w:val="7"/>
              <w:keepNext w:val="0"/>
              <w:keepLines w:val="0"/>
              <w:pageBreakBefore w:val="0"/>
              <w:widowControl/>
              <w:kinsoku w:val="0"/>
              <w:wordWrap/>
              <w:overflowPunct/>
              <w:topLinePunct w:val="0"/>
              <w:autoSpaceDE w:val="0"/>
              <w:autoSpaceDN w:val="0"/>
              <w:bidi w:val="0"/>
              <w:adjustRightInd w:val="0"/>
              <w:snapToGrid w:val="0"/>
              <w:spacing w:line="260" w:lineRule="exact"/>
              <w:ind w:left="272" w:leftChars="0"/>
              <w:jc w:val="center"/>
              <w:textAlignment w:val="baseline"/>
              <w:rPr>
                <w:rFonts w:hint="eastAsia" w:ascii="仿宋_GB2312" w:hAnsi="仿宋_GB2312" w:eastAsia="仿宋_GB2312" w:cs="仿宋_GB2312"/>
                <w:b w:val="0"/>
                <w:bCs w:val="0"/>
                <w:snapToGrid w:val="0"/>
                <w:color w:val="000000"/>
                <w:kern w:val="0"/>
                <w:sz w:val="21"/>
                <w:szCs w:val="21"/>
              </w:rPr>
            </w:pPr>
            <w:r>
              <w:rPr>
                <w:rFonts w:hint="eastAsia" w:ascii="仿宋_GB2312" w:hAnsi="仿宋_GB2312" w:eastAsia="仿宋_GB2312" w:cs="仿宋_GB2312"/>
                <w:b w:val="0"/>
                <w:bCs w:val="0"/>
                <w:snapToGrid w:val="0"/>
                <w:color w:val="000000"/>
                <w:kern w:val="0"/>
                <w:sz w:val="21"/>
                <w:szCs w:val="21"/>
                <w:lang w:val="en-US" w:eastAsia="zh-CN"/>
              </w:rPr>
              <w:t>能源股</w:t>
            </w:r>
          </w:p>
        </w:tc>
        <w:tc>
          <w:tcPr>
            <w:tcW w:w="8616" w:type="dxa"/>
            <w:shd w:val="clear" w:color="auto" w:fill="FFFFFF"/>
            <w:tcMar>
              <w:left w:w="108" w:type="dxa"/>
              <w:right w:w="108" w:type="dxa"/>
            </w:tcMar>
            <w:vAlign w:val="center"/>
          </w:tcPr>
          <w:p w14:paraId="2AF477B6">
            <w:pPr>
              <w:pStyle w:val="7"/>
              <w:keepNext w:val="0"/>
              <w:keepLines w:val="0"/>
              <w:pageBreakBefore w:val="0"/>
              <w:widowControl/>
              <w:kinsoku w:val="0"/>
              <w:wordWrap/>
              <w:overflowPunct/>
              <w:topLinePunct w:val="0"/>
              <w:autoSpaceDE w:val="0"/>
              <w:autoSpaceDN w:val="0"/>
              <w:bidi w:val="0"/>
              <w:adjustRightInd w:val="0"/>
              <w:snapToGrid w:val="0"/>
              <w:spacing w:line="260" w:lineRule="exact"/>
              <w:ind w:left="272"/>
              <w:jc w:val="left"/>
              <w:textAlignment w:val="baseline"/>
              <w:rPr>
                <w:rFonts w:hint="eastAsia" w:ascii="仿宋_GB2312" w:hAnsi="仿宋_GB2312" w:eastAsia="仿宋_GB2312" w:cs="仿宋_GB2312"/>
                <w:b w:val="0"/>
                <w:bCs w:val="0"/>
                <w:snapToGrid w:val="0"/>
                <w:color w:val="000000"/>
                <w:kern w:val="0"/>
                <w:sz w:val="21"/>
                <w:szCs w:val="21"/>
              </w:rPr>
            </w:pPr>
            <w:r>
              <w:rPr>
                <w:rFonts w:hint="eastAsia" w:ascii="仿宋_GB2312" w:hAnsi="仿宋_GB2312" w:eastAsia="仿宋_GB2312" w:cs="仿宋_GB2312"/>
                <w:b w:val="0"/>
                <w:bCs w:val="0"/>
                <w:snapToGrid w:val="0"/>
                <w:color w:val="000000"/>
                <w:kern w:val="0"/>
                <w:sz w:val="21"/>
                <w:szCs w:val="21"/>
                <w:lang w:val="en-US" w:eastAsia="zh-CN"/>
              </w:rPr>
              <w:t>《中华人民共和国石油天然气管道保护法》第四条  国务院能源主管部门依照本法规定主管全国管道保护工作，负责组织编制并实施全国管道发展规划，统筹协调全国管道发展规划与其他专项规划的衔接，协调跨省、自治区、直辖市管道保护的重大问题。国务院其他有关部门依照有关法律、行政法规的规定，在各自职责范围内负责管道保护的相关工作。第五条  省、自治区、直辖市人民政府能源主管部门和设区的市级、县级人民政府指定的部门，依照本法规定主管本行政区域的管道保护工作，协调处理本行政区域管道保护的重大问题，指导、监督有关单位履行管道保护义务，依法查处危害管道安全的违法行为。县级以上地方人民政府其他有关部门依照有关法律、行政法规的规定，在各自职责范围内负责管道保护的相关工作。省、自治区、直辖市人民政府能源主管部门和设区的市级、县级人民政府指定的部门，统称县级以上地方人民政府主管管道保护工作的部门。第六条 县级以上地方人民政府应当加强对本行政区域管道保护工作的领导，督促、检查有关部门依法履行管道保护职责，组织排除管道的重大外部安全隐患。</w:t>
            </w:r>
          </w:p>
        </w:tc>
        <w:tc>
          <w:tcPr>
            <w:tcW w:w="817" w:type="dxa"/>
            <w:shd w:val="clear" w:color="auto" w:fill="FFFFFF"/>
            <w:noWrap/>
            <w:tcMar>
              <w:left w:w="108" w:type="dxa"/>
              <w:right w:w="108" w:type="dxa"/>
            </w:tcMar>
            <w:vAlign w:val="center"/>
          </w:tcPr>
          <w:p w14:paraId="549CFFCB">
            <w:pPr>
              <w:pStyle w:val="7"/>
              <w:keepNext w:val="0"/>
              <w:keepLines w:val="0"/>
              <w:pageBreakBefore w:val="0"/>
              <w:widowControl/>
              <w:kinsoku w:val="0"/>
              <w:wordWrap/>
              <w:overflowPunct/>
              <w:topLinePunct w:val="0"/>
              <w:autoSpaceDE w:val="0"/>
              <w:autoSpaceDN w:val="0"/>
              <w:bidi w:val="0"/>
              <w:adjustRightInd w:val="0"/>
              <w:snapToGrid w:val="0"/>
              <w:spacing w:line="260" w:lineRule="exact"/>
              <w:ind w:left="272"/>
              <w:jc w:val="center"/>
              <w:textAlignment w:val="baseline"/>
              <w:rPr>
                <w:rFonts w:hint="eastAsia" w:ascii="仿宋_GB2312" w:hAnsi="仿宋_GB2312" w:eastAsia="仿宋_GB2312" w:cs="仿宋_GB2312"/>
                <w:b w:val="0"/>
                <w:bCs w:val="0"/>
                <w:snapToGrid w:val="0"/>
                <w:color w:val="000000"/>
                <w:kern w:val="0"/>
                <w:sz w:val="21"/>
                <w:szCs w:val="21"/>
              </w:rPr>
            </w:pPr>
          </w:p>
        </w:tc>
      </w:tr>
      <w:tr w14:paraId="3DD18A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66" w:hRule="atLeast"/>
        </w:trPr>
        <w:tc>
          <w:tcPr>
            <w:tcW w:w="745" w:type="dxa"/>
            <w:shd w:val="clear" w:color="auto" w:fill="FFFFFF"/>
            <w:tcMar>
              <w:left w:w="108" w:type="dxa"/>
              <w:right w:w="108" w:type="dxa"/>
            </w:tcMar>
            <w:vAlign w:val="center"/>
          </w:tcPr>
          <w:p w14:paraId="588048E3">
            <w:pPr>
              <w:pStyle w:val="7"/>
              <w:keepNext w:val="0"/>
              <w:keepLines w:val="0"/>
              <w:pageBreakBefore w:val="0"/>
              <w:widowControl/>
              <w:kinsoku w:val="0"/>
              <w:wordWrap/>
              <w:overflowPunct/>
              <w:topLinePunct w:val="0"/>
              <w:autoSpaceDE w:val="0"/>
              <w:autoSpaceDN w:val="0"/>
              <w:bidi w:val="0"/>
              <w:adjustRightInd w:val="0"/>
              <w:snapToGrid w:val="0"/>
              <w:spacing w:line="260" w:lineRule="exact"/>
              <w:ind w:left="272"/>
              <w:jc w:val="center"/>
              <w:textAlignment w:val="baseline"/>
              <w:rPr>
                <w:rFonts w:hint="default" w:ascii="仿宋_GB2312" w:hAnsi="仿宋_GB2312" w:eastAsia="仿宋_GB2312" w:cs="仿宋_GB2312"/>
                <w:b w:val="0"/>
                <w:bCs w:val="0"/>
                <w:snapToGrid w:val="0"/>
                <w:color w:val="000000"/>
                <w:kern w:val="0"/>
                <w:sz w:val="21"/>
                <w:szCs w:val="21"/>
                <w:lang w:val="en-US"/>
              </w:rPr>
            </w:pPr>
            <w:r>
              <w:rPr>
                <w:rFonts w:hint="eastAsia" w:ascii="仿宋_GB2312" w:hAnsi="仿宋_GB2312" w:eastAsia="仿宋_GB2312" w:cs="仿宋_GB2312"/>
                <w:b w:val="0"/>
                <w:bCs w:val="0"/>
                <w:snapToGrid w:val="0"/>
                <w:color w:val="000000"/>
                <w:kern w:val="0"/>
                <w:sz w:val="21"/>
                <w:szCs w:val="21"/>
                <w:lang w:val="en-US" w:eastAsia="zh-CN"/>
              </w:rPr>
              <w:t>41</w:t>
            </w:r>
          </w:p>
        </w:tc>
        <w:tc>
          <w:tcPr>
            <w:tcW w:w="1334" w:type="dxa"/>
            <w:shd w:val="clear" w:color="auto" w:fill="FFFFFF"/>
            <w:tcMar>
              <w:left w:w="108" w:type="dxa"/>
              <w:right w:w="108" w:type="dxa"/>
            </w:tcMar>
            <w:vAlign w:val="center"/>
          </w:tcPr>
          <w:p w14:paraId="496B06BF">
            <w:pPr>
              <w:pStyle w:val="7"/>
              <w:keepNext w:val="0"/>
              <w:keepLines w:val="0"/>
              <w:pageBreakBefore w:val="0"/>
              <w:widowControl/>
              <w:kinsoku w:val="0"/>
              <w:wordWrap/>
              <w:overflowPunct/>
              <w:topLinePunct w:val="0"/>
              <w:autoSpaceDE w:val="0"/>
              <w:autoSpaceDN w:val="0"/>
              <w:bidi w:val="0"/>
              <w:adjustRightInd w:val="0"/>
              <w:snapToGrid w:val="0"/>
              <w:spacing w:line="260" w:lineRule="exact"/>
              <w:ind w:left="272"/>
              <w:jc w:val="center"/>
              <w:textAlignment w:val="baseline"/>
              <w:rPr>
                <w:rFonts w:hint="eastAsia" w:ascii="仿宋_GB2312" w:hAnsi="仿宋_GB2312" w:eastAsia="仿宋_GB2312" w:cs="仿宋_GB2312"/>
                <w:b w:val="0"/>
                <w:bCs w:val="0"/>
                <w:snapToGrid w:val="0"/>
                <w:color w:val="000000"/>
                <w:kern w:val="0"/>
                <w:sz w:val="21"/>
                <w:szCs w:val="21"/>
              </w:rPr>
            </w:pPr>
            <w:r>
              <w:rPr>
                <w:rFonts w:hint="eastAsia" w:ascii="仿宋_GB2312" w:hAnsi="仿宋_GB2312" w:eastAsia="仿宋_GB2312" w:cs="仿宋_GB2312"/>
                <w:b w:val="0"/>
                <w:bCs w:val="0"/>
                <w:snapToGrid w:val="0"/>
                <w:color w:val="000000"/>
                <w:kern w:val="0"/>
                <w:sz w:val="21"/>
                <w:szCs w:val="21"/>
                <w:lang w:val="en-US" w:eastAsia="zh-CN"/>
              </w:rPr>
              <w:t>对企业投资项目的监督检查</w:t>
            </w:r>
          </w:p>
        </w:tc>
        <w:tc>
          <w:tcPr>
            <w:tcW w:w="1085" w:type="dxa"/>
            <w:shd w:val="clear" w:color="auto" w:fill="FFFFFF"/>
            <w:tcMar>
              <w:left w:w="108" w:type="dxa"/>
              <w:right w:w="108" w:type="dxa"/>
            </w:tcMar>
            <w:vAlign w:val="center"/>
          </w:tcPr>
          <w:p w14:paraId="2A48CCE8">
            <w:pPr>
              <w:pStyle w:val="7"/>
              <w:keepNext w:val="0"/>
              <w:keepLines w:val="0"/>
              <w:pageBreakBefore w:val="0"/>
              <w:widowControl/>
              <w:kinsoku w:val="0"/>
              <w:wordWrap/>
              <w:overflowPunct/>
              <w:topLinePunct w:val="0"/>
              <w:autoSpaceDE w:val="0"/>
              <w:autoSpaceDN w:val="0"/>
              <w:bidi w:val="0"/>
              <w:adjustRightInd w:val="0"/>
              <w:snapToGrid w:val="0"/>
              <w:spacing w:line="260" w:lineRule="exact"/>
              <w:ind w:left="272"/>
              <w:jc w:val="center"/>
              <w:textAlignment w:val="baseline"/>
              <w:rPr>
                <w:rFonts w:hint="eastAsia" w:ascii="仿宋_GB2312" w:hAnsi="仿宋_GB2312" w:eastAsia="仿宋_GB2312" w:cs="仿宋_GB2312"/>
                <w:b w:val="0"/>
                <w:bCs w:val="0"/>
                <w:snapToGrid w:val="0"/>
                <w:color w:val="000000"/>
                <w:kern w:val="0"/>
                <w:sz w:val="21"/>
                <w:szCs w:val="21"/>
              </w:rPr>
            </w:pPr>
            <w:r>
              <w:rPr>
                <w:rFonts w:hint="eastAsia" w:ascii="仿宋_GB2312" w:hAnsi="仿宋_GB2312" w:eastAsia="仿宋_GB2312" w:cs="仿宋_GB2312"/>
                <w:b w:val="0"/>
                <w:bCs w:val="0"/>
                <w:snapToGrid w:val="0"/>
                <w:color w:val="000000"/>
                <w:kern w:val="0"/>
                <w:sz w:val="21"/>
                <w:szCs w:val="21"/>
                <w:lang w:val="en-US" w:eastAsia="zh-CN"/>
              </w:rPr>
              <w:t>行政检查</w:t>
            </w:r>
          </w:p>
        </w:tc>
        <w:tc>
          <w:tcPr>
            <w:tcW w:w="1179" w:type="dxa"/>
            <w:shd w:val="clear" w:color="auto" w:fill="FFFFFF"/>
            <w:tcMar>
              <w:left w:w="108" w:type="dxa"/>
              <w:right w:w="108" w:type="dxa"/>
            </w:tcMar>
            <w:vAlign w:val="center"/>
          </w:tcPr>
          <w:p w14:paraId="0FBFE819">
            <w:pPr>
              <w:pStyle w:val="7"/>
              <w:keepNext w:val="0"/>
              <w:keepLines w:val="0"/>
              <w:pageBreakBefore w:val="0"/>
              <w:widowControl/>
              <w:kinsoku w:val="0"/>
              <w:wordWrap/>
              <w:overflowPunct/>
              <w:topLinePunct w:val="0"/>
              <w:autoSpaceDE w:val="0"/>
              <w:autoSpaceDN w:val="0"/>
              <w:bidi w:val="0"/>
              <w:adjustRightInd w:val="0"/>
              <w:snapToGrid w:val="0"/>
              <w:spacing w:line="260" w:lineRule="exact"/>
              <w:ind w:left="272"/>
              <w:jc w:val="center"/>
              <w:textAlignment w:val="baseline"/>
              <w:rPr>
                <w:rFonts w:hint="default" w:ascii="仿宋_GB2312" w:hAnsi="仿宋_GB2312" w:eastAsia="仿宋_GB2312" w:cs="仿宋_GB2312"/>
                <w:b w:val="0"/>
                <w:bCs w:val="0"/>
                <w:snapToGrid w:val="0"/>
                <w:color w:val="000000"/>
                <w:kern w:val="0"/>
                <w:sz w:val="21"/>
                <w:szCs w:val="21"/>
                <w:lang w:val="en-US"/>
              </w:rPr>
            </w:pPr>
            <w:r>
              <w:rPr>
                <w:rFonts w:hint="eastAsia" w:ascii="仿宋_GB2312" w:hAnsi="仿宋_GB2312" w:eastAsia="仿宋_GB2312" w:cs="仿宋_GB2312"/>
                <w:b w:val="0"/>
                <w:bCs w:val="0"/>
                <w:snapToGrid w:val="0"/>
                <w:color w:val="000000"/>
                <w:kern w:val="0"/>
                <w:sz w:val="21"/>
                <w:szCs w:val="21"/>
                <w:lang w:val="en-US" w:eastAsia="zh-CN"/>
              </w:rPr>
              <w:t>零陵区发改局</w:t>
            </w:r>
          </w:p>
        </w:tc>
        <w:tc>
          <w:tcPr>
            <w:tcW w:w="1444" w:type="dxa"/>
            <w:shd w:val="clear" w:color="auto" w:fill="FFFFFF"/>
            <w:tcMar>
              <w:left w:w="108" w:type="dxa"/>
              <w:right w:w="108" w:type="dxa"/>
            </w:tcMar>
            <w:vAlign w:val="center"/>
          </w:tcPr>
          <w:p w14:paraId="4F236427">
            <w:pPr>
              <w:pStyle w:val="7"/>
              <w:keepNext w:val="0"/>
              <w:keepLines w:val="0"/>
              <w:pageBreakBefore w:val="0"/>
              <w:widowControl/>
              <w:kinsoku w:val="0"/>
              <w:wordWrap/>
              <w:overflowPunct/>
              <w:topLinePunct w:val="0"/>
              <w:autoSpaceDE w:val="0"/>
              <w:autoSpaceDN w:val="0"/>
              <w:bidi w:val="0"/>
              <w:adjustRightInd w:val="0"/>
              <w:snapToGrid w:val="0"/>
              <w:spacing w:line="260" w:lineRule="exact"/>
              <w:ind w:left="272"/>
              <w:jc w:val="center"/>
              <w:textAlignment w:val="baseline"/>
              <w:rPr>
                <w:rFonts w:hint="eastAsia" w:ascii="仿宋_GB2312" w:hAnsi="仿宋_GB2312" w:eastAsia="仿宋_GB2312" w:cs="仿宋_GB2312"/>
                <w:b w:val="0"/>
                <w:bCs w:val="0"/>
                <w:snapToGrid w:val="0"/>
                <w:color w:val="000000"/>
                <w:kern w:val="0"/>
                <w:sz w:val="21"/>
                <w:szCs w:val="21"/>
              </w:rPr>
            </w:pPr>
            <w:r>
              <w:rPr>
                <w:rFonts w:hint="eastAsia" w:ascii="仿宋_GB2312" w:hAnsi="仿宋_GB2312" w:eastAsia="仿宋_GB2312" w:cs="仿宋_GB2312"/>
                <w:b w:val="0"/>
                <w:bCs w:val="0"/>
                <w:snapToGrid w:val="0"/>
                <w:color w:val="000000"/>
                <w:kern w:val="0"/>
                <w:sz w:val="21"/>
                <w:szCs w:val="21"/>
                <w:lang w:val="en-US" w:eastAsia="zh-CN"/>
              </w:rPr>
              <w:t>投资股、社发股、财贸股、能源股、地区经济股、工高股、农经股、等业务股室</w:t>
            </w:r>
          </w:p>
        </w:tc>
        <w:tc>
          <w:tcPr>
            <w:tcW w:w="8616" w:type="dxa"/>
            <w:shd w:val="clear" w:color="auto" w:fill="FFFFFF"/>
            <w:tcMar>
              <w:left w:w="108" w:type="dxa"/>
              <w:right w:w="108" w:type="dxa"/>
            </w:tcMar>
            <w:vAlign w:val="center"/>
          </w:tcPr>
          <w:p w14:paraId="797E079D">
            <w:pPr>
              <w:pStyle w:val="7"/>
              <w:keepNext w:val="0"/>
              <w:keepLines w:val="0"/>
              <w:pageBreakBefore w:val="0"/>
              <w:widowControl/>
              <w:kinsoku w:val="0"/>
              <w:wordWrap/>
              <w:overflowPunct/>
              <w:topLinePunct w:val="0"/>
              <w:autoSpaceDE w:val="0"/>
              <w:autoSpaceDN w:val="0"/>
              <w:bidi w:val="0"/>
              <w:adjustRightInd w:val="0"/>
              <w:snapToGrid w:val="0"/>
              <w:spacing w:line="260" w:lineRule="exact"/>
              <w:ind w:left="272"/>
              <w:jc w:val="left"/>
              <w:textAlignment w:val="baseline"/>
              <w:rPr>
                <w:rFonts w:hint="eastAsia" w:ascii="仿宋_GB2312" w:hAnsi="仿宋_GB2312" w:eastAsia="仿宋_GB2312" w:cs="仿宋_GB2312"/>
                <w:b w:val="0"/>
                <w:bCs w:val="0"/>
                <w:snapToGrid w:val="0"/>
                <w:color w:val="000000"/>
                <w:kern w:val="0"/>
                <w:sz w:val="21"/>
                <w:szCs w:val="21"/>
              </w:rPr>
            </w:pPr>
            <w:r>
              <w:rPr>
                <w:rFonts w:hint="eastAsia" w:ascii="仿宋_GB2312" w:hAnsi="仿宋_GB2312" w:eastAsia="仿宋_GB2312" w:cs="仿宋_GB2312"/>
                <w:b w:val="0"/>
                <w:bCs w:val="0"/>
                <w:snapToGrid w:val="0"/>
                <w:color w:val="000000"/>
                <w:kern w:val="0"/>
                <w:sz w:val="21"/>
                <w:szCs w:val="21"/>
                <w:lang w:val="en-US" w:eastAsia="zh-CN"/>
              </w:rPr>
              <w:t>《企业投资项目核准和备案管理条例》（中华人民共和国国务院令〔2016〕第673号）第十六条  核准机关、备案机关以及依法对项目负有监督管理职责的其他有关部门应当加强事中事后监管，按照谁审批谁监管、谁主管谁监管的原则，落实监管责任，采取在线监测、现场核查等方式，加强对项目实施的监督检查。企业应当通过在线平台如实报送项目开工建设、建设进度、竣工的基本信息。</w:t>
            </w:r>
          </w:p>
        </w:tc>
        <w:tc>
          <w:tcPr>
            <w:tcW w:w="817" w:type="dxa"/>
            <w:shd w:val="clear" w:color="auto" w:fill="FFFFFF"/>
            <w:noWrap/>
            <w:tcMar>
              <w:left w:w="108" w:type="dxa"/>
              <w:right w:w="108" w:type="dxa"/>
            </w:tcMar>
            <w:vAlign w:val="center"/>
          </w:tcPr>
          <w:p w14:paraId="2D1CA968">
            <w:pPr>
              <w:pStyle w:val="7"/>
              <w:keepNext w:val="0"/>
              <w:keepLines w:val="0"/>
              <w:pageBreakBefore w:val="0"/>
              <w:widowControl/>
              <w:kinsoku w:val="0"/>
              <w:wordWrap/>
              <w:overflowPunct/>
              <w:topLinePunct w:val="0"/>
              <w:autoSpaceDE w:val="0"/>
              <w:autoSpaceDN w:val="0"/>
              <w:bidi w:val="0"/>
              <w:adjustRightInd w:val="0"/>
              <w:snapToGrid w:val="0"/>
              <w:spacing w:line="260" w:lineRule="exact"/>
              <w:ind w:left="272"/>
              <w:jc w:val="center"/>
              <w:textAlignment w:val="baseline"/>
              <w:rPr>
                <w:rFonts w:hint="eastAsia" w:ascii="仿宋_GB2312" w:hAnsi="仿宋_GB2312" w:eastAsia="仿宋_GB2312" w:cs="仿宋_GB2312"/>
                <w:b w:val="0"/>
                <w:bCs w:val="0"/>
                <w:snapToGrid w:val="0"/>
                <w:color w:val="000000"/>
                <w:kern w:val="0"/>
                <w:sz w:val="21"/>
                <w:szCs w:val="21"/>
              </w:rPr>
            </w:pPr>
          </w:p>
        </w:tc>
      </w:tr>
      <w:bookmarkEnd w:id="1"/>
    </w:tbl>
    <w:p w14:paraId="5C42CF28">
      <w:pPr>
        <w:pStyle w:val="7"/>
        <w:widowControl/>
        <w:kinsoku w:val="0"/>
        <w:autoSpaceDE w:val="0"/>
        <w:autoSpaceDN w:val="0"/>
        <w:adjustRightInd w:val="0"/>
        <w:snapToGrid w:val="0"/>
        <w:spacing w:before="212" w:line="199" w:lineRule="auto"/>
        <w:ind w:left="274"/>
        <w:jc w:val="center"/>
        <w:textAlignment w:val="baseline"/>
        <w:rPr>
          <w:rFonts w:hint="default"/>
          <w:b/>
          <w:bCs/>
          <w:snapToGrid w:val="0"/>
          <w:color w:val="000000"/>
          <w:kern w:val="0"/>
          <w:lang w:val="en-US" w:eastAsia="zh-CN"/>
        </w:rPr>
      </w:pPr>
    </w:p>
    <w:p w14:paraId="20F2E9C1"/>
    <w:sectPr>
      <w:pgSz w:w="16838" w:h="11906" w:orient="landscape"/>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FC4CD1">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6377AAC">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6377AAC">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ZmZjUwOGRkM2ZmZTZjMDcyNTU1NjY4MDBiNDU2ZDkifQ=="/>
  </w:docVars>
  <w:rsids>
    <w:rsidRoot w:val="00000000"/>
    <w:rsid w:val="18D55B9B"/>
    <w:rsid w:val="1D317127"/>
    <w:rsid w:val="448A117E"/>
    <w:rsid w:val="6DA756C4"/>
    <w:rsid w:val="722A20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6">
    <w:name w:val="Hyperlink"/>
    <w:basedOn w:val="5"/>
    <w:uiPriority w:val="0"/>
    <w:rPr>
      <w:color w:val="0000FF"/>
      <w:u w:val="single"/>
    </w:rPr>
  </w:style>
  <w:style w:type="paragraph" w:customStyle="1" w:styleId="7">
    <w:name w:val="Table Text"/>
    <w:basedOn w:val="1"/>
    <w:semiHidden/>
    <w:qFormat/>
    <w:uiPriority w:val="0"/>
    <w:rPr>
      <w:rFonts w:ascii="宋体" w:hAnsi="宋体" w:eastAsia="宋体" w:cs="宋体"/>
      <w:sz w:val="21"/>
      <w:szCs w:val="21"/>
      <w:lang w:val="en-US" w:eastAsia="en-US" w:bidi="ar-SA"/>
    </w:rPr>
  </w:style>
  <w:style w:type="table" w:customStyle="1" w:styleId="8">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23</Pages>
  <Words>17359</Words>
  <Characters>17641</Characters>
  <Lines>0</Lines>
  <Paragraphs>0</Paragraphs>
  <TotalTime>5</TotalTime>
  <ScaleCrop>false</ScaleCrop>
  <LinksUpToDate>false</LinksUpToDate>
  <CharactersWithSpaces>17686</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2025-04-02T07:02:00Z</dcterms:created>
  <dc:creator>Administrator</dc:creator>
  <cp:lastModifiedBy>爱不单行</cp:lastModifiedBy>
  <dcterms:modified xsi:type="dcterms:W3CDTF">2025-05-06T20:48:33Z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AB6036B1CD494167A817760A52A64BBC_13</vt:lpwstr>
  </property>
  <property fmtid="{D5CDD505-2E9C-101B-9397-08002B2CF9AE}" pid="4" name="KSOTemplateDocerSaveRecord">
    <vt:lpwstr>eyJoZGlkIjoiMDc3NDAzOGFlYjA1NWVkZWRjMDI0MGY3NmQwNWYwZmEiLCJ1c2VySWQiOiIzMjkxNDI5MDEifQ==</vt:lpwstr>
  </property>
</Properties>
</file>