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7B7AE">
      <w:pPr>
        <w:adjustRightInd w:val="0"/>
        <w:snapToGrid w:val="0"/>
        <w:ind w:firstLine="0" w:firstLineChars="0"/>
        <w:jc w:val="center"/>
        <w:outlineLvl w:val="0"/>
        <w:rPr>
          <w:rFonts w:hint="eastAsia" w:ascii="方正小标宋_GBK" w:eastAsia="方正小标宋_GBK"/>
          <w:bCs/>
          <w:color w:val="000000" w:themeColor="text1"/>
          <w:sz w:val="72"/>
          <w:szCs w:val="72"/>
          <w14:textFill>
            <w14:solidFill>
              <w14:schemeClr w14:val="tx1"/>
            </w14:solidFill>
          </w14:textFill>
        </w:rPr>
      </w:pPr>
      <w:bookmarkStart w:id="0" w:name="_Toc16199"/>
      <w:bookmarkStart w:id="1" w:name="_Toc207"/>
      <w:r>
        <w:rPr>
          <w:rFonts w:hint="eastAsia" w:ascii="方正小标宋_GBK" w:eastAsia="方正小标宋_GBK"/>
          <w:bCs/>
          <w:color w:val="000000" w:themeColor="text1"/>
          <w:sz w:val="72"/>
          <w:szCs w:val="72"/>
          <w14:textFill>
            <w14:solidFill>
              <w14:schemeClr w14:val="tx1"/>
            </w14:solidFill>
          </w14:textFill>
        </w:rPr>
        <w:t>建设项目环境影响报告表</w:t>
      </w:r>
      <w:bookmarkEnd w:id="0"/>
      <w:bookmarkEnd w:id="1"/>
    </w:p>
    <w:p w14:paraId="6266C99D">
      <w:pPr>
        <w:adjustRightInd w:val="0"/>
        <w:snapToGrid w:val="0"/>
        <w:spacing w:before="192" w:beforeLines="80"/>
        <w:ind w:firstLine="0" w:firstLineChars="0"/>
        <w:jc w:val="center"/>
        <w:rPr>
          <w:rFonts w:hint="eastAsia"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14:paraId="6F7A4FB1">
      <w:pPr>
        <w:adjustRightInd w:val="0"/>
        <w:snapToGrid w:val="0"/>
        <w:spacing w:line="288" w:lineRule="auto"/>
        <w:ind w:firstLine="880"/>
        <w:jc w:val="center"/>
        <w:outlineLvl w:val="0"/>
        <w:rPr>
          <w:rFonts w:ascii="华文仿宋" w:hAnsi="华文仿宋" w:eastAsia="华文仿宋" w:cs="华文仿宋"/>
          <w:color w:val="000000" w:themeColor="text1"/>
          <w:kern w:val="44"/>
          <w:sz w:val="44"/>
          <w:szCs w:val="44"/>
          <w14:textFill>
            <w14:solidFill>
              <w14:schemeClr w14:val="tx1"/>
            </w14:solidFill>
          </w14:textFill>
        </w:rPr>
      </w:pPr>
    </w:p>
    <w:p w14:paraId="643342DE">
      <w:pPr>
        <w:ind w:firstLine="1040"/>
        <w:jc w:val="center"/>
        <w:rPr>
          <w:rFonts w:eastAsia="仿宋"/>
          <w:color w:val="000000" w:themeColor="text1"/>
          <w:sz w:val="52"/>
          <w:szCs w:val="52"/>
          <w14:textFill>
            <w14:solidFill>
              <w14:schemeClr w14:val="tx1"/>
            </w14:solidFill>
          </w14:textFill>
        </w:rPr>
      </w:pPr>
    </w:p>
    <w:p w14:paraId="41E8D1CB">
      <w:pPr>
        <w:ind w:firstLine="880"/>
        <w:rPr>
          <w:rFonts w:eastAsia="仿宋"/>
          <w:color w:val="000000" w:themeColor="text1"/>
          <w:sz w:val="44"/>
          <w:szCs w:val="44"/>
          <w14:textFill>
            <w14:solidFill>
              <w14:schemeClr w14:val="tx1"/>
            </w14:solidFill>
          </w14:textFill>
        </w:rPr>
      </w:pPr>
    </w:p>
    <w:p w14:paraId="45F3605E">
      <w:pPr>
        <w:ind w:firstLine="880"/>
        <w:rPr>
          <w:rFonts w:eastAsia="仿宋"/>
          <w:color w:val="000000" w:themeColor="text1"/>
          <w:sz w:val="44"/>
          <w:szCs w:val="44"/>
          <w14:textFill>
            <w14:solidFill>
              <w14:schemeClr w14:val="tx1"/>
            </w14:solidFill>
          </w14:textFill>
        </w:rPr>
      </w:pPr>
    </w:p>
    <w:p w14:paraId="5FDF0161">
      <w:pPr>
        <w:ind w:firstLine="880"/>
        <w:rPr>
          <w:rFonts w:eastAsia="仿宋"/>
          <w:color w:val="000000" w:themeColor="text1"/>
          <w:sz w:val="44"/>
          <w:szCs w:val="44"/>
          <w14:textFill>
            <w14:solidFill>
              <w14:schemeClr w14:val="tx1"/>
            </w14:solidFill>
          </w14:textFill>
        </w:rPr>
      </w:pPr>
    </w:p>
    <w:p w14:paraId="3F77FC2C">
      <w:pPr>
        <w:ind w:firstLine="880"/>
        <w:rPr>
          <w:rFonts w:hint="eastAsia" w:eastAsia="仿宋"/>
          <w:color w:val="000000" w:themeColor="text1"/>
          <w:sz w:val="44"/>
          <w:szCs w:val="44"/>
          <w:lang w:val="en-US" w:eastAsia="zh-CN"/>
          <w14:textFill>
            <w14:solidFill>
              <w14:schemeClr w14:val="tx1"/>
            </w14:solidFill>
          </w14:textFill>
        </w:rPr>
      </w:pPr>
      <w:r>
        <w:rPr>
          <w:rFonts w:hint="eastAsia" w:eastAsia="仿宋"/>
          <w:color w:val="000000" w:themeColor="text1"/>
          <w:sz w:val="44"/>
          <w:szCs w:val="44"/>
          <w:lang w:val="en-US" w:eastAsia="zh-CN"/>
          <w14:textFill>
            <w14:solidFill>
              <w14:schemeClr w14:val="tx1"/>
            </w14:solidFill>
          </w14:textFill>
        </w:rPr>
        <w:t xml:space="preserve"> </w:t>
      </w:r>
    </w:p>
    <w:p w14:paraId="667AF87B">
      <w:pPr>
        <w:adjustRightInd w:val="0"/>
        <w:snapToGrid w:val="0"/>
        <w:spacing w:line="288" w:lineRule="auto"/>
        <w:rPr>
          <w:rFonts w:hint="eastAsia"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 xml:space="preserve">项目名称： </w:t>
      </w:r>
      <w:r>
        <w:rPr>
          <w:rFonts w:hint="eastAsia" w:ascii="仿宋_GB2312" w:eastAsia="仿宋_GB2312"/>
          <w:color w:val="000000" w:themeColor="text1"/>
          <w:sz w:val="36"/>
          <w:szCs w:val="36"/>
          <w:u w:val="single"/>
          <w:lang w:eastAsia="zh-CN"/>
          <w14:textFill>
            <w14:solidFill>
              <w14:schemeClr w14:val="tx1"/>
            </w14:solidFill>
          </w14:textFill>
        </w:rPr>
        <w:t>北京现代汽车永通华悦特约销售服务店</w:t>
      </w:r>
      <w:r>
        <w:rPr>
          <w:rFonts w:hint="eastAsia" w:ascii="仿宋_GB2312" w:eastAsia="仿宋_GB2312"/>
          <w:color w:val="000000" w:themeColor="text1"/>
          <w:sz w:val="36"/>
          <w:szCs w:val="36"/>
          <w:u w:val="single"/>
          <w14:textFill>
            <w14:solidFill>
              <w14:schemeClr w14:val="tx1"/>
            </w14:solidFill>
          </w14:textFill>
        </w:rPr>
        <w:t xml:space="preserve"> </w:t>
      </w:r>
    </w:p>
    <w:p w14:paraId="402984C5">
      <w:pPr>
        <w:adjustRightInd w:val="0"/>
        <w:snapToGrid w:val="0"/>
        <w:spacing w:line="288" w:lineRule="auto"/>
        <w:rPr>
          <w:rFonts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建设单位（盖章）：</w:t>
      </w:r>
      <w:r>
        <w:rPr>
          <w:rFonts w:hint="eastAsia" w:ascii="仿宋_GB2312" w:eastAsia="仿宋_GB2312"/>
          <w:color w:val="000000" w:themeColor="text1"/>
          <w:sz w:val="36"/>
          <w:szCs w:val="36"/>
          <w:u w:val="single"/>
          <w:lang w:eastAsia="zh-CN"/>
          <w14:textFill>
            <w14:solidFill>
              <w14:schemeClr w14:val="tx1"/>
            </w14:solidFill>
          </w14:textFill>
        </w:rPr>
        <w:t>永州永通华悦汽车销售服务有限公司</w:t>
      </w:r>
      <w:r>
        <w:rPr>
          <w:rFonts w:hint="eastAsia" w:ascii="仿宋_GB2312" w:eastAsia="仿宋_GB2312"/>
          <w:color w:val="000000" w:themeColor="text1"/>
          <w:sz w:val="36"/>
          <w:szCs w:val="36"/>
          <w:u w:val="single"/>
          <w14:textFill>
            <w14:solidFill>
              <w14:schemeClr w14:val="tx1"/>
            </w14:solidFill>
          </w14:textFill>
        </w:rPr>
        <w:t xml:space="preserve"> </w:t>
      </w:r>
    </w:p>
    <w:p w14:paraId="4528CAF7">
      <w:pPr>
        <w:adjustRightInd w:val="0"/>
        <w:snapToGrid w:val="0"/>
        <w:spacing w:line="288" w:lineRule="auto"/>
        <w:rPr>
          <w:rFonts w:hint="eastAsia"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编制日期：</w:t>
      </w:r>
      <w:r>
        <w:rPr>
          <w:rFonts w:hint="eastAsia" w:ascii="仿宋_GB2312" w:eastAsia="仿宋_GB2312"/>
          <w:color w:val="000000" w:themeColor="text1"/>
          <w:sz w:val="36"/>
          <w:szCs w:val="36"/>
          <w:u w:val="single"/>
          <w14:textFill>
            <w14:solidFill>
              <w14:schemeClr w14:val="tx1"/>
            </w14:solidFill>
          </w14:textFill>
        </w:rPr>
        <w:t xml:space="preserve"> 202</w:t>
      </w:r>
      <w:r>
        <w:rPr>
          <w:rFonts w:hint="eastAsia" w:ascii="仿宋_GB2312" w:eastAsia="仿宋_GB2312"/>
          <w:color w:val="000000" w:themeColor="text1"/>
          <w:sz w:val="36"/>
          <w:szCs w:val="36"/>
          <w:u w:val="single"/>
          <w:lang w:val="en-US" w:eastAsia="zh-CN"/>
          <w14:textFill>
            <w14:solidFill>
              <w14:schemeClr w14:val="tx1"/>
            </w14:solidFill>
          </w14:textFill>
        </w:rPr>
        <w:t>4</w:t>
      </w:r>
      <w:r>
        <w:rPr>
          <w:rFonts w:hint="eastAsia" w:ascii="仿宋_GB2312" w:eastAsia="仿宋_GB2312"/>
          <w:color w:val="000000" w:themeColor="text1"/>
          <w:sz w:val="36"/>
          <w:szCs w:val="36"/>
          <w:u w:val="single"/>
          <w14:textFill>
            <w14:solidFill>
              <w14:schemeClr w14:val="tx1"/>
            </w14:solidFill>
          </w14:textFill>
        </w:rPr>
        <w:t>年</w:t>
      </w:r>
      <w:r>
        <w:rPr>
          <w:rFonts w:hint="eastAsia" w:ascii="仿宋_GB2312" w:eastAsia="仿宋_GB2312"/>
          <w:color w:val="000000" w:themeColor="text1"/>
          <w:sz w:val="36"/>
          <w:szCs w:val="36"/>
          <w:u w:val="single"/>
          <w:lang w:val="en-US" w:eastAsia="zh-CN"/>
          <w14:textFill>
            <w14:solidFill>
              <w14:schemeClr w14:val="tx1"/>
            </w14:solidFill>
          </w14:textFill>
        </w:rPr>
        <w:t>10</w:t>
      </w:r>
      <w:r>
        <w:rPr>
          <w:rFonts w:hint="eastAsia" w:ascii="仿宋_GB2312" w:eastAsia="仿宋_GB2312"/>
          <w:color w:val="000000" w:themeColor="text1"/>
          <w:sz w:val="36"/>
          <w:szCs w:val="36"/>
          <w:u w:val="single"/>
          <w14:textFill>
            <w14:solidFill>
              <w14:schemeClr w14:val="tx1"/>
            </w14:solidFill>
          </w14:textFill>
        </w:rPr>
        <w:t>月</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p>
    <w:p w14:paraId="44CDDB4F">
      <w:pPr>
        <w:adjustRightInd w:val="0"/>
        <w:snapToGrid w:val="0"/>
        <w:spacing w:line="288" w:lineRule="auto"/>
        <w:rPr>
          <w:rFonts w:ascii="仿宋_GB2312" w:eastAsia="仿宋_GB2312"/>
          <w:color w:val="000000" w:themeColor="text1"/>
          <w:sz w:val="36"/>
          <w:szCs w:val="36"/>
          <w:u w:val="single"/>
          <w14:textFill>
            <w14:solidFill>
              <w14:schemeClr w14:val="tx1"/>
            </w14:solidFill>
          </w14:textFill>
        </w:rPr>
      </w:pPr>
      <w:bookmarkStart w:id="2" w:name="_Hlk57884087"/>
    </w:p>
    <w:p w14:paraId="037D932E">
      <w:pPr>
        <w:adjustRightInd w:val="0"/>
        <w:snapToGrid w:val="0"/>
        <w:spacing w:line="288" w:lineRule="auto"/>
        <w:rPr>
          <w:rFonts w:ascii="仿宋_GB2312" w:eastAsia="仿宋_GB2312"/>
          <w:color w:val="000000" w:themeColor="text1"/>
          <w:sz w:val="36"/>
          <w:szCs w:val="36"/>
          <w14:textFill>
            <w14:solidFill>
              <w14:schemeClr w14:val="tx1"/>
            </w14:solidFill>
          </w14:textFill>
        </w:rPr>
      </w:pPr>
    </w:p>
    <w:p w14:paraId="078F7225">
      <w:pPr>
        <w:adjustRightInd w:val="0"/>
        <w:snapToGrid w:val="0"/>
        <w:spacing w:line="288" w:lineRule="auto"/>
        <w:rPr>
          <w:rFonts w:ascii="仿宋_GB2312" w:eastAsia="仿宋_GB2312"/>
          <w:color w:val="000000" w:themeColor="text1"/>
          <w:sz w:val="36"/>
          <w:szCs w:val="36"/>
          <w14:textFill>
            <w14:solidFill>
              <w14:schemeClr w14:val="tx1"/>
            </w14:solidFill>
          </w14:textFill>
        </w:rPr>
      </w:pPr>
    </w:p>
    <w:p w14:paraId="5242F98E">
      <w:pPr>
        <w:adjustRightInd w:val="0"/>
        <w:snapToGrid w:val="0"/>
        <w:spacing w:line="288" w:lineRule="auto"/>
        <w:rPr>
          <w:rFonts w:hint="eastAsia" w:ascii="仿宋_GB2312" w:eastAsia="仿宋_GB2312"/>
          <w:color w:val="000000" w:themeColor="text1"/>
          <w:sz w:val="36"/>
          <w:szCs w:val="36"/>
          <w14:textFill>
            <w14:solidFill>
              <w14:schemeClr w14:val="tx1"/>
            </w14:solidFill>
          </w14:textFill>
        </w:rPr>
      </w:pPr>
    </w:p>
    <w:p w14:paraId="1E9BB0E1">
      <w:pPr>
        <w:adjustRightInd w:val="0"/>
        <w:snapToGrid w:val="0"/>
        <w:spacing w:line="288" w:lineRule="auto"/>
        <w:rPr>
          <w:rFonts w:hint="eastAsia" w:ascii="仿宋_GB2312" w:eastAsia="仿宋_GB2312"/>
          <w:color w:val="000000" w:themeColor="text1"/>
          <w:sz w:val="36"/>
          <w:szCs w:val="36"/>
          <w14:textFill>
            <w14:solidFill>
              <w14:schemeClr w14:val="tx1"/>
            </w14:solidFill>
          </w14:textFill>
        </w:rPr>
      </w:pPr>
    </w:p>
    <w:bookmarkEnd w:id="2"/>
    <w:p w14:paraId="3BD82979">
      <w:pPr>
        <w:adjustRightInd w:val="0"/>
        <w:snapToGrid w:val="0"/>
        <w:spacing w:line="288" w:lineRule="auto"/>
        <w:jc w:val="center"/>
        <w:rPr>
          <w:rFonts w:hint="eastAsia"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14:paraId="14A6EAC7">
      <w:pPr>
        <w:pStyle w:val="22"/>
        <w:ind w:firstLine="600"/>
        <w:jc w:val="center"/>
        <w:outlineLvl w:val="0"/>
        <w:rPr>
          <w:rFonts w:hint="eastAsia" w:ascii="黑体" w:hAnsi="黑体" w:eastAsia="黑体"/>
          <w:snapToGrid w:val="0"/>
          <w:color w:val="000000" w:themeColor="text1"/>
          <w:sz w:val="30"/>
          <w:szCs w:val="30"/>
          <w14:textFill>
            <w14:solidFill>
              <w14:schemeClr w14:val="tx1"/>
            </w14:solidFill>
          </w14:textFill>
        </w:rPr>
      </w:pPr>
      <w:bookmarkStart w:id="3" w:name="_Toc26076"/>
      <w:bookmarkStart w:id="4" w:name="_Toc13590"/>
      <w:r>
        <w:rPr>
          <w:rFonts w:hint="eastAsia" w:ascii="黑体" w:hAnsi="黑体" w:eastAsia="黑体"/>
          <w:snapToGrid w:val="0"/>
          <w:color w:val="000000" w:themeColor="text1"/>
          <w:sz w:val="30"/>
          <w:szCs w:val="30"/>
          <w14:textFill>
            <w14:solidFill>
              <w14:schemeClr w14:val="tx1"/>
            </w14:solidFill>
          </w14:textFill>
        </w:rPr>
        <w:t>一、建设项目基本情况</w:t>
      </w:r>
      <w:bookmarkEnd w:id="3"/>
      <w:bookmarkEnd w:id="4"/>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2"/>
        <w:gridCol w:w="1226"/>
        <w:gridCol w:w="1788"/>
        <w:gridCol w:w="2257"/>
        <w:gridCol w:w="3037"/>
      </w:tblGrid>
      <w:tr w14:paraId="5F35A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222CDDA7">
            <w:pPr>
              <w:pStyle w:val="2"/>
              <w:rPr>
                <w:color w:val="000000" w:themeColor="text1"/>
                <w14:textFill>
                  <w14:solidFill>
                    <w14:schemeClr w14:val="tx1"/>
                  </w14:solidFill>
                </w14:textFill>
              </w:rPr>
            </w:pPr>
            <w:r>
              <w:rPr>
                <w:color w:val="000000" w:themeColor="text1"/>
                <w14:textFill>
                  <w14:solidFill>
                    <w14:schemeClr w14:val="tx1"/>
                  </w14:solidFill>
                </w14:textFill>
              </w:rPr>
              <w:t>建设项目名称</w:t>
            </w:r>
          </w:p>
        </w:tc>
        <w:tc>
          <w:tcPr>
            <w:tcW w:w="7082" w:type="dxa"/>
            <w:gridSpan w:val="3"/>
            <w:noWrap w:val="0"/>
            <w:vAlign w:val="center"/>
          </w:tcPr>
          <w:p w14:paraId="21425670">
            <w:pPr>
              <w:pStyle w:val="2"/>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北京现代汽车永通华悦特约销售服务店</w:t>
            </w:r>
          </w:p>
        </w:tc>
      </w:tr>
      <w:tr w14:paraId="309C6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7558D6F7">
            <w:pPr>
              <w:pStyle w:val="2"/>
              <w:rPr>
                <w:color w:val="000000" w:themeColor="text1"/>
                <w14:textFill>
                  <w14:solidFill>
                    <w14:schemeClr w14:val="tx1"/>
                  </w14:solidFill>
                </w14:textFill>
              </w:rPr>
            </w:pPr>
            <w:r>
              <w:rPr>
                <w:color w:val="000000" w:themeColor="text1"/>
                <w14:textFill>
                  <w14:solidFill>
                    <w14:schemeClr w14:val="tx1"/>
                  </w14:solidFill>
                </w14:textFill>
              </w:rPr>
              <w:t>项目代码</w:t>
            </w:r>
          </w:p>
        </w:tc>
        <w:tc>
          <w:tcPr>
            <w:tcW w:w="7082" w:type="dxa"/>
            <w:gridSpan w:val="3"/>
            <w:noWrap w:val="0"/>
            <w:vAlign w:val="center"/>
          </w:tcPr>
          <w:p w14:paraId="2FF85227">
            <w:pPr>
              <w:pStyle w:val="2"/>
              <w:rPr>
                <w:rFonts w:hint="default"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无</w:t>
            </w:r>
          </w:p>
        </w:tc>
      </w:tr>
      <w:tr w14:paraId="2BDD4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4BF3B9BC">
            <w:pPr>
              <w:pStyle w:val="2"/>
              <w:rPr>
                <w:color w:val="000000" w:themeColor="text1"/>
                <w14:textFill>
                  <w14:solidFill>
                    <w14:schemeClr w14:val="tx1"/>
                  </w14:solidFill>
                </w14:textFill>
              </w:rPr>
            </w:pPr>
            <w:r>
              <w:rPr>
                <w:color w:val="000000" w:themeColor="text1"/>
                <w14:textFill>
                  <w14:solidFill>
                    <w14:schemeClr w14:val="tx1"/>
                  </w14:solidFill>
                </w14:textFill>
              </w:rPr>
              <w:t>建设单位联系人</w:t>
            </w:r>
          </w:p>
        </w:tc>
        <w:tc>
          <w:tcPr>
            <w:tcW w:w="1788" w:type="dxa"/>
            <w:noWrap w:val="0"/>
            <w:vAlign w:val="center"/>
          </w:tcPr>
          <w:p w14:paraId="3C999E3E">
            <w:pPr>
              <w:pStyle w:val="2"/>
              <w:rPr>
                <w:rFonts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兰明荣</w:t>
            </w:r>
          </w:p>
        </w:tc>
        <w:tc>
          <w:tcPr>
            <w:tcW w:w="2257" w:type="dxa"/>
            <w:noWrap w:val="0"/>
            <w:vAlign w:val="center"/>
          </w:tcPr>
          <w:p w14:paraId="5D9A7E36">
            <w:pPr>
              <w:pStyle w:val="2"/>
              <w:rPr>
                <w:rFonts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1"/>
                <w:u w:val="none"/>
                <w:lang w:val="en-US" w:eastAsia="zh-CN" w:bidi="ar-SA"/>
                <w14:textFill>
                  <w14:solidFill>
                    <w14:schemeClr w14:val="tx1"/>
                  </w14:solidFill>
                </w14:textFill>
              </w:rPr>
              <w:t>联系方式</w:t>
            </w:r>
          </w:p>
        </w:tc>
        <w:tc>
          <w:tcPr>
            <w:tcW w:w="3037" w:type="dxa"/>
            <w:noWrap w:val="0"/>
            <w:vAlign w:val="center"/>
          </w:tcPr>
          <w:p w14:paraId="09A6CE8B">
            <w:pPr>
              <w:pStyle w:val="2"/>
              <w:rPr>
                <w:rFonts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13707461131</w:t>
            </w:r>
          </w:p>
        </w:tc>
      </w:tr>
      <w:tr w14:paraId="30341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524B007A">
            <w:pPr>
              <w:pStyle w:val="2"/>
              <w:rPr>
                <w:color w:val="000000" w:themeColor="text1"/>
                <w14:textFill>
                  <w14:solidFill>
                    <w14:schemeClr w14:val="tx1"/>
                  </w14:solidFill>
                </w14:textFill>
              </w:rPr>
            </w:pPr>
            <w:r>
              <w:rPr>
                <w:color w:val="000000" w:themeColor="text1"/>
                <w14:textFill>
                  <w14:solidFill>
                    <w14:schemeClr w14:val="tx1"/>
                  </w14:solidFill>
                </w14:textFill>
              </w:rPr>
              <w:t>建设地点</w:t>
            </w:r>
          </w:p>
        </w:tc>
        <w:tc>
          <w:tcPr>
            <w:tcW w:w="7082" w:type="dxa"/>
            <w:gridSpan w:val="3"/>
            <w:noWrap w:val="0"/>
            <w:vAlign w:val="center"/>
          </w:tcPr>
          <w:p w14:paraId="48A39AD7">
            <w:pPr>
              <w:adjustRightInd w:val="0"/>
              <w:snapToGrid w:val="0"/>
              <w:spacing w:line="240" w:lineRule="auto"/>
              <w:ind w:firstLine="0" w:firstLineChars="0"/>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湖南</w:t>
            </w:r>
            <w:r>
              <w:rPr>
                <w:color w:val="000000" w:themeColor="text1"/>
                <w:szCs w:val="21"/>
                <w14:textFill>
                  <w14:solidFill>
                    <w14:schemeClr w14:val="tx1"/>
                  </w14:solidFill>
                </w14:textFill>
              </w:rPr>
              <w:t>省</w:t>
            </w:r>
            <w:r>
              <w:rPr>
                <w:color w:val="000000" w:themeColor="text1"/>
                <w:szCs w:val="21"/>
                <w:u w:val="single"/>
                <w14:textFill>
                  <w14:solidFill>
                    <w14:schemeClr w14:val="tx1"/>
                  </w14:solidFill>
                </w14:textFill>
              </w:rPr>
              <w:t>永州</w:t>
            </w:r>
            <w:r>
              <w:rPr>
                <w:color w:val="000000" w:themeColor="text1"/>
                <w:szCs w:val="21"/>
                <w14:textFill>
                  <w14:solidFill>
                    <w14:schemeClr w14:val="tx1"/>
                  </w14:solidFill>
                </w14:textFill>
              </w:rPr>
              <w:t>市</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零陵区</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接履桥</w:t>
            </w:r>
            <w:r>
              <w:rPr>
                <w:rFonts w:hint="eastAsia"/>
                <w:color w:val="000000" w:themeColor="text1"/>
                <w:szCs w:val="21"/>
                <w:lang w:val="en-US" w:eastAsia="zh-CN"/>
                <w14:textFill>
                  <w14:solidFill>
                    <w14:schemeClr w14:val="tx1"/>
                  </w14:solidFill>
                </w14:textFill>
              </w:rPr>
              <w:t>镇</w:t>
            </w:r>
            <w:r>
              <w:rPr>
                <w:rFonts w:hint="eastAsia" w:eastAsia="宋体"/>
                <w:color w:val="000000" w:themeColor="text1"/>
                <w:szCs w:val="21"/>
                <w:u w:val="single"/>
                <w:lang w:val="en-US" w:eastAsia="zh-CN"/>
                <w14:textFill>
                  <w14:solidFill>
                    <w14:schemeClr w14:val="tx1"/>
                  </w14:solidFill>
                </w14:textFill>
              </w:rPr>
              <w:t xml:space="preserve"> 潇湘汽车城1号店</w:t>
            </w:r>
          </w:p>
        </w:tc>
      </w:tr>
      <w:tr w14:paraId="4AA82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09B5AE3A">
            <w:pPr>
              <w:pStyle w:val="2"/>
              <w:rPr>
                <w:color w:val="000000" w:themeColor="text1"/>
                <w14:textFill>
                  <w14:solidFill>
                    <w14:schemeClr w14:val="tx1"/>
                  </w14:solidFill>
                </w14:textFill>
              </w:rPr>
            </w:pPr>
            <w:r>
              <w:rPr>
                <w:color w:val="000000" w:themeColor="text1"/>
                <w14:textFill>
                  <w14:solidFill>
                    <w14:schemeClr w14:val="tx1"/>
                  </w14:solidFill>
                </w14:textFill>
              </w:rPr>
              <w:t>地理坐标</w:t>
            </w:r>
          </w:p>
        </w:tc>
        <w:tc>
          <w:tcPr>
            <w:tcW w:w="7082" w:type="dxa"/>
            <w:gridSpan w:val="3"/>
            <w:noWrap w:val="0"/>
            <w:vAlign w:val="center"/>
          </w:tcPr>
          <w:p w14:paraId="04F51CC1">
            <w:pPr>
              <w:pStyle w:val="2"/>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111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39.92</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″E，</w:t>
            </w:r>
            <w:r>
              <w:rPr>
                <w:rFonts w:hint="eastAsia"/>
                <w:color w:val="000000" w:themeColor="text1"/>
                <w14:textFill>
                  <w14:solidFill>
                    <w14:schemeClr w14:val="tx1"/>
                  </w14:solidFill>
                </w14:textFill>
              </w:rPr>
              <w:t>26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53.5379</w:t>
            </w:r>
            <w:r>
              <w:rPr>
                <w:color w:val="000000" w:themeColor="text1"/>
                <w14:textFill>
                  <w14:solidFill>
                    <w14:schemeClr w14:val="tx1"/>
                  </w14:solidFill>
                </w14:textFill>
              </w:rPr>
              <w:t>″N</w:t>
            </w:r>
          </w:p>
        </w:tc>
      </w:tr>
      <w:tr w14:paraId="4EF7E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88" w:type="dxa"/>
            <w:gridSpan w:val="2"/>
            <w:noWrap w:val="0"/>
            <w:tcMar>
              <w:top w:w="16" w:type="dxa"/>
              <w:left w:w="16" w:type="dxa"/>
              <w:right w:w="16" w:type="dxa"/>
            </w:tcMar>
            <w:vAlign w:val="center"/>
          </w:tcPr>
          <w:p w14:paraId="4FF5F5BE">
            <w:pPr>
              <w:pStyle w:val="2"/>
              <w:rPr>
                <w:color w:val="000000" w:themeColor="text1"/>
                <w14:textFill>
                  <w14:solidFill>
                    <w14:schemeClr w14:val="tx1"/>
                  </w14:solidFill>
                </w14:textFill>
              </w:rPr>
            </w:pPr>
            <w:r>
              <w:rPr>
                <w:color w:val="000000" w:themeColor="text1"/>
                <w14:textFill>
                  <w14:solidFill>
                    <w14:schemeClr w14:val="tx1"/>
                  </w14:solidFill>
                </w14:textFill>
              </w:rPr>
              <w:t>国民经济</w:t>
            </w:r>
          </w:p>
          <w:p w14:paraId="7862210E">
            <w:pPr>
              <w:pStyle w:val="2"/>
              <w:rPr>
                <w:color w:val="000000" w:themeColor="text1"/>
                <w14:textFill>
                  <w14:solidFill>
                    <w14:schemeClr w14:val="tx1"/>
                  </w14:solidFill>
                </w14:textFill>
              </w:rPr>
            </w:pPr>
            <w:r>
              <w:rPr>
                <w:color w:val="000000" w:themeColor="text1"/>
                <w14:textFill>
                  <w14:solidFill>
                    <w14:schemeClr w14:val="tx1"/>
                  </w14:solidFill>
                </w14:textFill>
              </w:rPr>
              <w:t>行业类别</w:t>
            </w:r>
          </w:p>
        </w:tc>
        <w:tc>
          <w:tcPr>
            <w:tcW w:w="1788" w:type="dxa"/>
            <w:noWrap w:val="0"/>
            <w:vAlign w:val="center"/>
          </w:tcPr>
          <w:p w14:paraId="1DA2537C">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O8111汽车修理与维护</w:t>
            </w:r>
          </w:p>
        </w:tc>
        <w:tc>
          <w:tcPr>
            <w:tcW w:w="2257" w:type="dxa"/>
            <w:noWrap w:val="0"/>
            <w:vAlign w:val="center"/>
          </w:tcPr>
          <w:p w14:paraId="22DD313A">
            <w:pPr>
              <w:pStyle w:val="2"/>
              <w:rPr>
                <w:rFonts w:hint="eastAsia" w:ascii="Times New Roman" w:hAnsi="Times New Roman" w:eastAsia="宋体" w:cs="Times New Roman"/>
                <w:color w:val="000000" w:themeColor="text1"/>
                <w:kern w:val="2"/>
                <w:sz w:val="24"/>
                <w:szCs w:val="21"/>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1"/>
                <w:u w:val="none"/>
                <w:lang w:val="en-US" w:eastAsia="zh-CN" w:bidi="ar-SA"/>
                <w14:textFill>
                  <w14:solidFill>
                    <w14:schemeClr w14:val="tx1"/>
                  </w14:solidFill>
                </w14:textFill>
              </w:rPr>
              <w:t>建设项目</w:t>
            </w:r>
          </w:p>
          <w:p w14:paraId="66A6BF7E">
            <w:pPr>
              <w:pStyle w:val="2"/>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1"/>
                <w:u w:val="none"/>
                <w:lang w:val="en-US" w:eastAsia="zh-CN" w:bidi="ar-SA"/>
                <w14:textFill>
                  <w14:solidFill>
                    <w14:schemeClr w14:val="tx1"/>
                  </w14:solidFill>
                </w14:textFill>
              </w:rPr>
              <w:t>行业类别</w:t>
            </w:r>
          </w:p>
        </w:tc>
        <w:tc>
          <w:tcPr>
            <w:tcW w:w="3037" w:type="dxa"/>
            <w:noWrap w:val="0"/>
            <w:vAlign w:val="center"/>
          </w:tcPr>
          <w:p w14:paraId="026B70E3">
            <w:pPr>
              <w:keepNext w:val="0"/>
              <w:keepLines w:val="0"/>
              <w:widowControl/>
              <w:suppressLineNumbers w:val="0"/>
              <w:spacing w:line="240" w:lineRule="auto"/>
              <w:ind w:left="0" w:leftChars="0" w:firstLine="0" w:firstLineChars="0"/>
              <w:jc w:val="cente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 xml:space="preserve">五十、社会事业与服务业-121、汽车、摩托车维修场所 </w:t>
            </w:r>
          </w:p>
          <w:p w14:paraId="05CD2401">
            <w:pPr>
              <w:keepNext w:val="0"/>
              <w:keepLines w:val="0"/>
              <w:widowControl/>
              <w:suppressLineNumbers w:val="0"/>
              <w:spacing w:line="240" w:lineRule="auto"/>
              <w:ind w:left="0" w:leftChars="0" w:firstLine="0" w:firstLineChars="0"/>
              <w:jc w:val="center"/>
              <w:rPr>
                <w:color w:val="000000" w:themeColor="text1"/>
                <w14:textFill>
                  <w14:solidFill>
                    <w14:schemeClr w14:val="tx1"/>
                  </w14:solidFill>
                </w14:textFill>
              </w:rPr>
            </w:pPr>
            <w:r>
              <w:rPr>
                <w:rFonts w:hint="default"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营业面积</w:t>
            </w:r>
            <w:r>
              <w:rPr>
                <w:rFonts w:hint="default"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5000</w:t>
            </w:r>
            <w:r>
              <w:rPr>
                <w:rFonts w:hint="eastAsia" w:ascii="Times New Roman" w:hAnsi="Times New Roman" w:eastAsia="宋体" w:cs="Times New Roman"/>
                <w:color w:val="000000" w:themeColor="text1"/>
                <w:kern w:val="2"/>
                <w:sz w:val="24"/>
                <w:szCs w:val="21"/>
                <w:u w:val="single"/>
                <w:lang w:val="en-US" w:eastAsia="zh-CN" w:bidi="ar-SA"/>
                <w14:textFill>
                  <w14:solidFill>
                    <w14:schemeClr w14:val="tx1"/>
                  </w14:solidFill>
                </w14:textFill>
              </w:rPr>
              <w:t>平方米及以上且使用溶剂型涂料的</w:t>
            </w:r>
          </w:p>
        </w:tc>
      </w:tr>
      <w:tr w14:paraId="03239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88" w:type="dxa"/>
            <w:gridSpan w:val="2"/>
            <w:noWrap w:val="0"/>
            <w:tcMar>
              <w:top w:w="16" w:type="dxa"/>
              <w:left w:w="16" w:type="dxa"/>
              <w:right w:w="16" w:type="dxa"/>
            </w:tcMar>
            <w:vAlign w:val="center"/>
          </w:tcPr>
          <w:p w14:paraId="2A8F2F14">
            <w:pPr>
              <w:pStyle w:val="2"/>
              <w:rPr>
                <w:color w:val="000000" w:themeColor="text1"/>
                <w14:textFill>
                  <w14:solidFill>
                    <w14:schemeClr w14:val="tx1"/>
                  </w14:solidFill>
                </w14:textFill>
              </w:rPr>
            </w:pPr>
            <w:r>
              <w:rPr>
                <w:color w:val="000000" w:themeColor="text1"/>
                <w14:textFill>
                  <w14:solidFill>
                    <w14:schemeClr w14:val="tx1"/>
                  </w14:solidFill>
                </w14:textFill>
              </w:rPr>
              <w:t>建设性质</w:t>
            </w:r>
          </w:p>
        </w:tc>
        <w:tc>
          <w:tcPr>
            <w:tcW w:w="1788" w:type="dxa"/>
            <w:noWrap w:val="0"/>
            <w:vAlign w:val="center"/>
          </w:tcPr>
          <w:p w14:paraId="3AB03833">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A3"/>
            </w:r>
            <w:r>
              <w:rPr>
                <w:color w:val="000000" w:themeColor="text1"/>
                <w14:textFill>
                  <w14:solidFill>
                    <w14:schemeClr w14:val="tx1"/>
                  </w14:solidFill>
                </w14:textFill>
              </w:rPr>
              <w:t>新建（迁建）</w:t>
            </w:r>
          </w:p>
          <w:p w14:paraId="5DE4B10B">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A3"/>
            </w:r>
            <w:r>
              <w:rPr>
                <w:color w:val="000000" w:themeColor="text1"/>
                <w14:textFill>
                  <w14:solidFill>
                    <w14:schemeClr w14:val="tx1"/>
                  </w14:solidFill>
                </w14:textFill>
              </w:rPr>
              <w:t>改建</w:t>
            </w:r>
          </w:p>
          <w:p w14:paraId="0F2E6186">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52"/>
            </w:r>
            <w:r>
              <w:rPr>
                <w:color w:val="000000" w:themeColor="text1"/>
                <w14:textFill>
                  <w14:solidFill>
                    <w14:schemeClr w14:val="tx1"/>
                  </w14:solidFill>
                </w14:textFill>
              </w:rPr>
              <w:t>扩建</w:t>
            </w:r>
          </w:p>
          <w:p w14:paraId="51A0CF1A">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A3"/>
            </w:r>
            <w:r>
              <w:rPr>
                <w:color w:val="000000" w:themeColor="text1"/>
                <w14:textFill>
                  <w14:solidFill>
                    <w14:schemeClr w14:val="tx1"/>
                  </w14:solidFill>
                </w14:textFill>
              </w:rPr>
              <w:t>技术改造</w:t>
            </w:r>
          </w:p>
        </w:tc>
        <w:tc>
          <w:tcPr>
            <w:tcW w:w="2257" w:type="dxa"/>
            <w:noWrap w:val="0"/>
            <w:vAlign w:val="center"/>
          </w:tcPr>
          <w:p w14:paraId="48ACF330">
            <w:pPr>
              <w:pStyle w:val="2"/>
              <w:rPr>
                <w:color w:val="000000" w:themeColor="text1"/>
                <w14:textFill>
                  <w14:solidFill>
                    <w14:schemeClr w14:val="tx1"/>
                  </w14:solidFill>
                </w14:textFill>
              </w:rPr>
            </w:pPr>
            <w:r>
              <w:rPr>
                <w:color w:val="000000" w:themeColor="text1"/>
                <w14:textFill>
                  <w14:solidFill>
                    <w14:schemeClr w14:val="tx1"/>
                  </w14:solidFill>
                </w14:textFill>
              </w:rPr>
              <w:t>建设项目</w:t>
            </w:r>
          </w:p>
          <w:p w14:paraId="2AC50AC4">
            <w:pPr>
              <w:pStyle w:val="2"/>
              <w:rPr>
                <w:color w:val="000000" w:themeColor="text1"/>
                <w14:textFill>
                  <w14:solidFill>
                    <w14:schemeClr w14:val="tx1"/>
                  </w14:solidFill>
                </w14:textFill>
              </w:rPr>
            </w:pPr>
            <w:r>
              <w:rPr>
                <w:color w:val="000000" w:themeColor="text1"/>
                <w14:textFill>
                  <w14:solidFill>
                    <w14:schemeClr w14:val="tx1"/>
                  </w14:solidFill>
                </w14:textFill>
              </w:rPr>
              <w:t>申报情形</w:t>
            </w:r>
          </w:p>
        </w:tc>
        <w:tc>
          <w:tcPr>
            <w:tcW w:w="3037" w:type="dxa"/>
            <w:noWrap w:val="0"/>
            <w:vAlign w:val="center"/>
          </w:tcPr>
          <w:p w14:paraId="60C1399E">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52"/>
            </w:r>
            <w:r>
              <w:rPr>
                <w:color w:val="000000" w:themeColor="text1"/>
                <w14:textFill>
                  <w14:solidFill>
                    <w14:schemeClr w14:val="tx1"/>
                  </w14:solidFill>
                </w14:textFill>
              </w:rPr>
              <w:t xml:space="preserve">首次申报项目             </w:t>
            </w:r>
          </w:p>
          <w:p w14:paraId="1A4A372B">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A3"/>
            </w:r>
            <w:r>
              <w:rPr>
                <w:color w:val="000000" w:themeColor="text1"/>
                <w14:textFill>
                  <w14:solidFill>
                    <w14:schemeClr w14:val="tx1"/>
                  </w14:solidFill>
                </w14:textFill>
              </w:rPr>
              <w:t>不予批准后再次申报项目</w:t>
            </w:r>
          </w:p>
          <w:p w14:paraId="57772C9A">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A3"/>
            </w:r>
            <w:r>
              <w:rPr>
                <w:color w:val="000000" w:themeColor="text1"/>
                <w14:textFill>
                  <w14:solidFill>
                    <w14:schemeClr w14:val="tx1"/>
                  </w14:solidFill>
                </w14:textFill>
              </w:rPr>
              <w:t xml:space="preserve">超五年重新审核项目     </w:t>
            </w:r>
          </w:p>
          <w:p w14:paraId="08F8E1BD">
            <w:pPr>
              <w:pStyle w:val="2"/>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A3"/>
            </w:r>
            <w:r>
              <w:rPr>
                <w:color w:val="000000" w:themeColor="text1"/>
                <w14:textFill>
                  <w14:solidFill>
                    <w14:schemeClr w14:val="tx1"/>
                  </w14:solidFill>
                </w14:textFill>
              </w:rPr>
              <w:t>重大变动重新报批项目</w:t>
            </w:r>
          </w:p>
        </w:tc>
      </w:tr>
      <w:tr w14:paraId="08CFC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88" w:type="dxa"/>
            <w:gridSpan w:val="2"/>
            <w:noWrap w:val="0"/>
            <w:tcMar>
              <w:top w:w="16" w:type="dxa"/>
              <w:left w:w="16" w:type="dxa"/>
              <w:right w:w="16" w:type="dxa"/>
            </w:tcMar>
            <w:vAlign w:val="center"/>
          </w:tcPr>
          <w:p w14:paraId="37E97D72">
            <w:pPr>
              <w:pStyle w:val="2"/>
              <w:rPr>
                <w:color w:val="000000" w:themeColor="text1"/>
                <w14:textFill>
                  <w14:solidFill>
                    <w14:schemeClr w14:val="tx1"/>
                  </w14:solidFill>
                </w14:textFill>
              </w:rPr>
            </w:pPr>
            <w:r>
              <w:rPr>
                <w:color w:val="000000" w:themeColor="text1"/>
                <w14:textFill>
                  <w14:solidFill>
                    <w14:schemeClr w14:val="tx1"/>
                  </w14:solidFill>
                </w14:textFill>
              </w:rPr>
              <w:t>项目审批（核准/</w:t>
            </w:r>
          </w:p>
          <w:p w14:paraId="71B837FC">
            <w:pPr>
              <w:pStyle w:val="2"/>
              <w:rPr>
                <w:color w:val="000000" w:themeColor="text1"/>
                <w14:textFill>
                  <w14:solidFill>
                    <w14:schemeClr w14:val="tx1"/>
                  </w14:solidFill>
                </w14:textFill>
              </w:rPr>
            </w:pPr>
            <w:r>
              <w:rPr>
                <w:color w:val="000000" w:themeColor="text1"/>
                <w14:textFill>
                  <w14:solidFill>
                    <w14:schemeClr w14:val="tx1"/>
                  </w14:solidFill>
                </w14:textFill>
              </w:rPr>
              <w:t>备案）部门（选填）</w:t>
            </w:r>
          </w:p>
        </w:tc>
        <w:tc>
          <w:tcPr>
            <w:tcW w:w="1788" w:type="dxa"/>
            <w:noWrap w:val="0"/>
            <w:vAlign w:val="center"/>
          </w:tcPr>
          <w:p w14:paraId="01DDB4D2">
            <w:pPr>
              <w:pStyle w:val="2"/>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2257" w:type="dxa"/>
            <w:noWrap w:val="0"/>
            <w:vAlign w:val="center"/>
          </w:tcPr>
          <w:p w14:paraId="7D3AA868">
            <w:pPr>
              <w:pStyle w:val="2"/>
              <w:rPr>
                <w:color w:val="000000" w:themeColor="text1"/>
                <w14:textFill>
                  <w14:solidFill>
                    <w14:schemeClr w14:val="tx1"/>
                  </w14:solidFill>
                </w14:textFill>
              </w:rPr>
            </w:pPr>
            <w:r>
              <w:rPr>
                <w:color w:val="000000" w:themeColor="text1"/>
                <w14:textFill>
                  <w14:solidFill>
                    <w14:schemeClr w14:val="tx1"/>
                  </w14:solidFill>
                </w14:textFill>
              </w:rPr>
              <w:t>项目审批（核准/</w:t>
            </w:r>
          </w:p>
          <w:p w14:paraId="5870C0B8">
            <w:pPr>
              <w:pStyle w:val="2"/>
              <w:rPr>
                <w:color w:val="000000" w:themeColor="text1"/>
                <w14:textFill>
                  <w14:solidFill>
                    <w14:schemeClr w14:val="tx1"/>
                  </w14:solidFill>
                </w14:textFill>
              </w:rPr>
            </w:pPr>
            <w:r>
              <w:rPr>
                <w:color w:val="000000" w:themeColor="text1"/>
                <w14:textFill>
                  <w14:solidFill>
                    <w14:schemeClr w14:val="tx1"/>
                  </w14:solidFill>
                </w14:textFill>
              </w:rPr>
              <w:t>备案）文号（选填）</w:t>
            </w:r>
          </w:p>
        </w:tc>
        <w:tc>
          <w:tcPr>
            <w:tcW w:w="3037" w:type="dxa"/>
            <w:noWrap w:val="0"/>
            <w:vAlign w:val="center"/>
          </w:tcPr>
          <w:p w14:paraId="505FE8B6">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4F9E6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2D76EF2A">
            <w:pPr>
              <w:pStyle w:val="2"/>
              <w:rPr>
                <w:color w:val="000000" w:themeColor="text1"/>
                <w14:textFill>
                  <w14:solidFill>
                    <w14:schemeClr w14:val="tx1"/>
                  </w14:solidFill>
                </w14:textFill>
              </w:rPr>
            </w:pPr>
            <w:r>
              <w:rPr>
                <w:color w:val="000000" w:themeColor="text1"/>
                <w14:textFill>
                  <w14:solidFill>
                    <w14:schemeClr w14:val="tx1"/>
                  </w14:solidFill>
                </w14:textFill>
              </w:rPr>
              <w:t>总投资（万元）</w:t>
            </w:r>
          </w:p>
        </w:tc>
        <w:tc>
          <w:tcPr>
            <w:tcW w:w="1788" w:type="dxa"/>
            <w:noWrap w:val="0"/>
            <w:vAlign w:val="center"/>
          </w:tcPr>
          <w:p w14:paraId="2ED72628">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650</w:t>
            </w:r>
          </w:p>
        </w:tc>
        <w:tc>
          <w:tcPr>
            <w:tcW w:w="2257" w:type="dxa"/>
            <w:noWrap w:val="0"/>
            <w:tcMar>
              <w:top w:w="16" w:type="dxa"/>
              <w:left w:w="16" w:type="dxa"/>
              <w:right w:w="16" w:type="dxa"/>
            </w:tcMar>
            <w:vAlign w:val="center"/>
          </w:tcPr>
          <w:p w14:paraId="0CA09257">
            <w:pPr>
              <w:pStyle w:val="2"/>
              <w:rPr>
                <w:color w:val="000000" w:themeColor="text1"/>
                <w14:textFill>
                  <w14:solidFill>
                    <w14:schemeClr w14:val="tx1"/>
                  </w14:solidFill>
                </w14:textFill>
              </w:rPr>
            </w:pPr>
            <w:r>
              <w:rPr>
                <w:color w:val="000000" w:themeColor="text1"/>
                <w14:textFill>
                  <w14:solidFill>
                    <w14:schemeClr w14:val="tx1"/>
                  </w14:solidFill>
                </w14:textFill>
              </w:rPr>
              <w:t>环保投资（万元）</w:t>
            </w:r>
          </w:p>
        </w:tc>
        <w:tc>
          <w:tcPr>
            <w:tcW w:w="3037" w:type="dxa"/>
            <w:noWrap w:val="0"/>
            <w:vAlign w:val="center"/>
          </w:tcPr>
          <w:p w14:paraId="20034470">
            <w:pPr>
              <w:pStyle w:val="2"/>
              <w:rPr>
                <w:rFonts w:hint="default" w:eastAsia="宋体"/>
                <w:color w:val="auto"/>
                <w:lang w:val="en-US" w:eastAsia="zh-CN"/>
              </w:rPr>
            </w:pPr>
            <w:r>
              <w:rPr>
                <w:rFonts w:hint="eastAsia"/>
                <w:color w:val="auto"/>
                <w:lang w:val="en-US" w:eastAsia="zh-CN"/>
              </w:rPr>
              <w:t>47</w:t>
            </w:r>
          </w:p>
        </w:tc>
      </w:tr>
      <w:tr w14:paraId="301B0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08470828">
            <w:pPr>
              <w:pStyle w:val="2"/>
              <w:rPr>
                <w:color w:val="000000" w:themeColor="text1"/>
                <w14:textFill>
                  <w14:solidFill>
                    <w14:schemeClr w14:val="tx1"/>
                  </w14:solidFill>
                </w14:textFill>
              </w:rPr>
            </w:pPr>
            <w:r>
              <w:rPr>
                <w:color w:val="000000" w:themeColor="text1"/>
                <w14:textFill>
                  <w14:solidFill>
                    <w14:schemeClr w14:val="tx1"/>
                  </w14:solidFill>
                </w14:textFill>
              </w:rPr>
              <w:t>环保投资占比（%）</w:t>
            </w:r>
          </w:p>
        </w:tc>
        <w:tc>
          <w:tcPr>
            <w:tcW w:w="1788" w:type="dxa"/>
            <w:noWrap w:val="0"/>
            <w:vAlign w:val="center"/>
          </w:tcPr>
          <w:p w14:paraId="594F2A63">
            <w:pPr>
              <w:pStyle w:val="2"/>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7.23</w:t>
            </w:r>
          </w:p>
        </w:tc>
        <w:tc>
          <w:tcPr>
            <w:tcW w:w="2257" w:type="dxa"/>
            <w:noWrap w:val="0"/>
            <w:tcMar>
              <w:top w:w="16" w:type="dxa"/>
              <w:left w:w="16" w:type="dxa"/>
              <w:right w:w="16" w:type="dxa"/>
            </w:tcMar>
            <w:vAlign w:val="center"/>
          </w:tcPr>
          <w:p w14:paraId="58965F35">
            <w:pPr>
              <w:pStyle w:val="2"/>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施工工期</w:t>
            </w:r>
          </w:p>
        </w:tc>
        <w:tc>
          <w:tcPr>
            <w:tcW w:w="3037" w:type="dxa"/>
            <w:noWrap w:val="0"/>
            <w:vAlign w:val="center"/>
          </w:tcPr>
          <w:p w14:paraId="0F1AAC48">
            <w:pPr>
              <w:pStyle w:val="2"/>
              <w:rPr>
                <w:rFonts w:hint="eastAsia" w:eastAsia="宋体"/>
                <w:color w:val="auto"/>
                <w:lang w:eastAsia="zh-CN"/>
              </w:rPr>
            </w:pPr>
            <w:r>
              <w:rPr>
                <w:rFonts w:hint="eastAsia"/>
                <w:color w:val="auto"/>
                <w:lang w:val="en-US" w:eastAsia="zh-CN"/>
              </w:rPr>
              <w:t>1</w:t>
            </w:r>
          </w:p>
        </w:tc>
      </w:tr>
      <w:tr w14:paraId="59572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88" w:type="dxa"/>
            <w:gridSpan w:val="2"/>
            <w:noWrap w:val="0"/>
            <w:tcMar>
              <w:top w:w="16" w:type="dxa"/>
              <w:left w:w="16" w:type="dxa"/>
              <w:right w:w="16" w:type="dxa"/>
            </w:tcMar>
            <w:vAlign w:val="center"/>
          </w:tcPr>
          <w:p w14:paraId="01636E03">
            <w:pPr>
              <w:pStyle w:val="2"/>
              <w:rPr>
                <w:color w:val="000000" w:themeColor="text1"/>
                <w14:textFill>
                  <w14:solidFill>
                    <w14:schemeClr w14:val="tx1"/>
                  </w14:solidFill>
                </w14:textFill>
              </w:rPr>
            </w:pPr>
            <w:r>
              <w:rPr>
                <w:color w:val="000000" w:themeColor="text1"/>
                <w14:textFill>
                  <w14:solidFill>
                    <w14:schemeClr w14:val="tx1"/>
                  </w14:solidFill>
                </w14:textFill>
              </w:rPr>
              <w:t>是否开工建设</w:t>
            </w:r>
          </w:p>
        </w:tc>
        <w:tc>
          <w:tcPr>
            <w:tcW w:w="1788" w:type="dxa"/>
            <w:noWrap w:val="0"/>
            <w:vAlign w:val="center"/>
          </w:tcPr>
          <w:p w14:paraId="7EEE4C49">
            <w:pPr>
              <w:adjustRightInd w:val="0"/>
              <w:snapToGrid w:val="0"/>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否</w:t>
            </w:r>
          </w:p>
          <w:p w14:paraId="59CF0725">
            <w:pPr>
              <w:adjustRightInd w:val="0"/>
              <w:snapToGrid w:val="0"/>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52"/>
            </w:r>
            <w:r>
              <w:rPr>
                <w:color w:val="000000" w:themeColor="text1"/>
                <w:szCs w:val="21"/>
                <w14:textFill>
                  <w14:solidFill>
                    <w14:schemeClr w14:val="tx1"/>
                  </w14:solidFill>
                </w14:textFill>
              </w:rPr>
              <w:t>是</w:t>
            </w:r>
            <w:r>
              <w:rPr>
                <w:color w:val="000000" w:themeColor="text1"/>
                <w:szCs w:val="21"/>
                <w:u w:val="single"/>
                <w14:textFill>
                  <w14:solidFill>
                    <w14:schemeClr w14:val="tx1"/>
                  </w14:solidFill>
                </w14:textFill>
              </w:rPr>
              <w:t>：</w:t>
            </w:r>
            <w:r>
              <w:rPr>
                <w:rFonts w:hint="eastAsia"/>
                <w:color w:val="000000" w:themeColor="text1"/>
                <w:szCs w:val="21"/>
                <w:u w:val="single"/>
                <w:lang w:val="en-US" w:eastAsia="zh-CN"/>
                <w14:textFill>
                  <w14:solidFill>
                    <w14:schemeClr w14:val="tx1"/>
                  </w14:solidFill>
                </w14:textFill>
              </w:rPr>
              <w:t>项目已建成多年</w:t>
            </w:r>
            <w:r>
              <w:rPr>
                <w:color w:val="000000" w:themeColor="text1"/>
                <w:szCs w:val="21"/>
                <w:u w:val="single"/>
                <w14:textFill>
                  <w14:solidFill>
                    <w14:schemeClr w14:val="tx1"/>
                  </w14:solidFill>
                </w14:textFill>
              </w:rPr>
              <w:t xml:space="preserve">             </w:t>
            </w:r>
          </w:p>
        </w:tc>
        <w:tc>
          <w:tcPr>
            <w:tcW w:w="2257" w:type="dxa"/>
            <w:noWrap w:val="0"/>
            <w:tcMar>
              <w:top w:w="16" w:type="dxa"/>
              <w:left w:w="16" w:type="dxa"/>
              <w:right w:w="16" w:type="dxa"/>
            </w:tcMar>
            <w:vAlign w:val="center"/>
          </w:tcPr>
          <w:p w14:paraId="28E5DB2F">
            <w:pPr>
              <w:adjustRightInd w:val="0"/>
              <w:snapToGrid w:val="0"/>
              <w:ind w:firstLine="0" w:firstLineChars="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用地（用海）</w:t>
            </w:r>
          </w:p>
          <w:p w14:paraId="032EAB99">
            <w:pPr>
              <w:adjustRightInd w:val="0"/>
              <w:snapToGrid w:val="0"/>
              <w:ind w:firstLine="0" w:firstLineChars="0"/>
              <w:rPr>
                <w:color w:val="000000" w:themeColor="text1"/>
                <w:szCs w:val="21"/>
                <w14:textFill>
                  <w14:solidFill>
                    <w14:schemeClr w14:val="tx1"/>
                  </w14:solidFill>
                </w14:textFill>
              </w:rPr>
            </w:pPr>
            <w:r>
              <w:rPr>
                <w:color w:val="000000" w:themeColor="text1"/>
                <w:spacing w:val="-6"/>
                <w:szCs w:val="21"/>
                <w14:textFill>
                  <w14:solidFill>
                    <w14:schemeClr w14:val="tx1"/>
                  </w14:solidFill>
                </w14:textFill>
              </w:rPr>
              <w:t>面积（m</w:t>
            </w:r>
            <w:r>
              <w:rPr>
                <w:color w:val="000000" w:themeColor="text1"/>
                <w:spacing w:val="-6"/>
                <w:szCs w:val="21"/>
                <w:vertAlign w:val="superscript"/>
                <w14:textFill>
                  <w14:solidFill>
                    <w14:schemeClr w14:val="tx1"/>
                  </w14:solidFill>
                </w14:textFill>
              </w:rPr>
              <w:t>2</w:t>
            </w:r>
            <w:r>
              <w:rPr>
                <w:color w:val="000000" w:themeColor="text1"/>
                <w:spacing w:val="-6"/>
                <w:szCs w:val="21"/>
                <w14:textFill>
                  <w14:solidFill>
                    <w14:schemeClr w14:val="tx1"/>
                  </w14:solidFill>
                </w14:textFill>
              </w:rPr>
              <w:t>）</w:t>
            </w:r>
          </w:p>
        </w:tc>
        <w:tc>
          <w:tcPr>
            <w:tcW w:w="3037" w:type="dxa"/>
            <w:noWrap w:val="0"/>
            <w:vAlign w:val="center"/>
          </w:tcPr>
          <w:p w14:paraId="3F375AAC">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6849.8</w:t>
            </w:r>
          </w:p>
        </w:tc>
      </w:tr>
      <w:tr w14:paraId="71F94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88" w:type="dxa"/>
            <w:gridSpan w:val="2"/>
            <w:noWrap w:val="0"/>
            <w:vAlign w:val="center"/>
          </w:tcPr>
          <w:p w14:paraId="26BA4F52">
            <w:pPr>
              <w:pStyle w:val="2"/>
              <w:rPr>
                <w:color w:val="000000" w:themeColor="text1"/>
                <w14:textFill>
                  <w14:solidFill>
                    <w14:schemeClr w14:val="tx1"/>
                  </w14:solidFill>
                </w14:textFill>
              </w:rPr>
            </w:pPr>
            <w:r>
              <w:rPr>
                <w:color w:val="000000" w:themeColor="text1"/>
                <w14:textFill>
                  <w14:solidFill>
                    <w14:schemeClr w14:val="tx1"/>
                  </w14:solidFill>
                </w14:textFill>
              </w:rPr>
              <w:t>专项评价设置情况</w:t>
            </w:r>
          </w:p>
        </w:tc>
        <w:tc>
          <w:tcPr>
            <w:tcW w:w="7082" w:type="dxa"/>
            <w:gridSpan w:val="3"/>
            <w:noWrap w:val="0"/>
            <w:vAlign w:val="center"/>
          </w:tcPr>
          <w:p w14:paraId="285031D5">
            <w:pPr>
              <w:ind w:firstLine="480"/>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15484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88" w:type="dxa"/>
            <w:gridSpan w:val="2"/>
            <w:noWrap w:val="0"/>
            <w:vAlign w:val="center"/>
          </w:tcPr>
          <w:p w14:paraId="2C054C34">
            <w:pPr>
              <w:pStyle w:val="2"/>
              <w:rPr>
                <w:color w:val="000000" w:themeColor="text1"/>
                <w14:textFill>
                  <w14:solidFill>
                    <w14:schemeClr w14:val="tx1"/>
                  </w14:solidFill>
                </w14:textFill>
              </w:rPr>
            </w:pPr>
            <w:r>
              <w:rPr>
                <w:color w:val="000000" w:themeColor="text1"/>
                <w14:textFill>
                  <w14:solidFill>
                    <w14:schemeClr w14:val="tx1"/>
                  </w14:solidFill>
                </w14:textFill>
              </w:rPr>
              <w:t>规划情况</w:t>
            </w:r>
          </w:p>
        </w:tc>
        <w:tc>
          <w:tcPr>
            <w:tcW w:w="7082" w:type="dxa"/>
            <w:gridSpan w:val="3"/>
            <w:noWrap w:val="0"/>
            <w:vAlign w:val="center"/>
          </w:tcPr>
          <w:p w14:paraId="3BC1847A">
            <w:pPr>
              <w:spacing w:line="240" w:lineRule="auto"/>
              <w:ind w:firstLine="4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14:paraId="1AC67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88" w:type="dxa"/>
            <w:gridSpan w:val="2"/>
            <w:noWrap w:val="0"/>
            <w:vAlign w:val="center"/>
          </w:tcPr>
          <w:p w14:paraId="3E7E63DC">
            <w:pPr>
              <w:pStyle w:val="2"/>
              <w:rPr>
                <w:color w:val="000000" w:themeColor="text1"/>
                <w14:textFill>
                  <w14:solidFill>
                    <w14:schemeClr w14:val="tx1"/>
                  </w14:solidFill>
                </w14:textFill>
              </w:rPr>
            </w:pPr>
            <w:r>
              <w:rPr>
                <w:color w:val="000000" w:themeColor="text1"/>
                <w14:textFill>
                  <w14:solidFill>
                    <w14:schemeClr w14:val="tx1"/>
                  </w14:solidFill>
                </w14:textFill>
              </w:rPr>
              <w:t>规划环境影响</w:t>
            </w:r>
          </w:p>
          <w:p w14:paraId="326F3E35">
            <w:pPr>
              <w:pStyle w:val="2"/>
              <w:rPr>
                <w:color w:val="000000" w:themeColor="text1"/>
                <w14:textFill>
                  <w14:solidFill>
                    <w14:schemeClr w14:val="tx1"/>
                  </w14:solidFill>
                </w14:textFill>
              </w:rPr>
            </w:pPr>
            <w:r>
              <w:rPr>
                <w:color w:val="000000" w:themeColor="text1"/>
                <w14:textFill>
                  <w14:solidFill>
                    <w14:schemeClr w14:val="tx1"/>
                  </w14:solidFill>
                </w14:textFill>
              </w:rPr>
              <w:t>评价情况</w:t>
            </w:r>
          </w:p>
        </w:tc>
        <w:tc>
          <w:tcPr>
            <w:tcW w:w="7082" w:type="dxa"/>
            <w:gridSpan w:val="3"/>
            <w:noWrap w:val="0"/>
            <w:vAlign w:val="center"/>
          </w:tcPr>
          <w:p w14:paraId="6841ECA7">
            <w:pPr>
              <w:spacing w:line="240" w:lineRule="auto"/>
              <w:ind w:firstLine="48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14:paraId="2D520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88" w:type="dxa"/>
            <w:gridSpan w:val="2"/>
            <w:noWrap w:val="0"/>
            <w:vAlign w:val="center"/>
          </w:tcPr>
          <w:p w14:paraId="0D44BEC0">
            <w:pPr>
              <w:pStyle w:val="2"/>
              <w:rPr>
                <w:color w:val="000000" w:themeColor="text1"/>
                <w14:textFill>
                  <w14:solidFill>
                    <w14:schemeClr w14:val="tx1"/>
                  </w14:solidFill>
                </w14:textFill>
              </w:rPr>
            </w:pPr>
            <w:r>
              <w:rPr>
                <w:color w:val="000000" w:themeColor="text1"/>
                <w14:textFill>
                  <w14:solidFill>
                    <w14:schemeClr w14:val="tx1"/>
                  </w14:solidFill>
                </w14:textFill>
              </w:rPr>
              <w:t>规划及规划环境影响评价符合性分析</w:t>
            </w:r>
          </w:p>
        </w:tc>
        <w:tc>
          <w:tcPr>
            <w:tcW w:w="7082" w:type="dxa"/>
            <w:gridSpan w:val="3"/>
            <w:noWrap w:val="0"/>
            <w:vAlign w:val="center"/>
          </w:tcPr>
          <w:p w14:paraId="4DF9282C">
            <w:pPr>
              <w:ind w:firstLine="48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14:paraId="5F9BF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62" w:type="dxa"/>
            <w:noWrap w:val="0"/>
            <w:vAlign w:val="center"/>
          </w:tcPr>
          <w:p w14:paraId="55693663">
            <w:pPr>
              <w:pStyle w:val="2"/>
              <w:rPr>
                <w:color w:val="000000" w:themeColor="text1"/>
                <w14:textFill>
                  <w14:solidFill>
                    <w14:schemeClr w14:val="tx1"/>
                  </w14:solidFill>
                </w14:textFill>
              </w:rPr>
            </w:pPr>
            <w:r>
              <w:rPr>
                <w:color w:val="000000" w:themeColor="text1"/>
                <w14:textFill>
                  <w14:solidFill>
                    <w14:schemeClr w14:val="tx1"/>
                  </w14:solidFill>
                </w14:textFill>
              </w:rPr>
              <w:t>其他符合性分析</w:t>
            </w:r>
          </w:p>
        </w:tc>
        <w:tc>
          <w:tcPr>
            <w:tcW w:w="8308" w:type="dxa"/>
            <w:gridSpan w:val="4"/>
            <w:noWrap w:val="0"/>
            <w:vAlign w:val="center"/>
          </w:tcPr>
          <w:p w14:paraId="08A00C43">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（一）产业政策符合性分析</w:t>
            </w:r>
          </w:p>
          <w:p w14:paraId="75BC9171">
            <w:pPr>
              <w:keepNext w:val="0"/>
              <w:keepLines w:val="0"/>
              <w:widowControl/>
              <w:suppressLineNumbers w:val="0"/>
              <w:jc w:val="left"/>
              <w:rPr>
                <w:rFonts w:eastAsia="宋体"/>
                <w:color w:val="000000" w:themeColor="text1"/>
                <w:lang w:val="zh-CN"/>
                <w14:textFill>
                  <w14:solidFill>
                    <w14:schemeClr w14:val="tx1"/>
                  </w14:solidFill>
                </w14:textFill>
              </w:rPr>
            </w:pPr>
            <w:r>
              <w:rPr>
                <w:rFonts w:eastAsia="宋体"/>
                <w:color w:val="000000" w:themeColor="text1"/>
                <w:lang w:val="zh-CN"/>
                <w14:textFill>
                  <w14:solidFill>
                    <w14:schemeClr w14:val="tx1"/>
                  </w14:solidFill>
                </w14:textFill>
              </w:rPr>
              <w:t>本项目为</w:t>
            </w:r>
            <w:r>
              <w:rPr>
                <w:rFonts w:hint="eastAsia" w:eastAsia="宋体"/>
                <w:color w:val="000000" w:themeColor="text1"/>
                <w:lang w:val="en-US" w:eastAsia="zh-CN"/>
                <w14:textFill>
                  <w14:solidFill>
                    <w14:schemeClr w14:val="tx1"/>
                  </w14:solidFill>
                </w14:textFill>
              </w:rPr>
              <w:t>汽车修理与维护</w:t>
            </w:r>
            <w:r>
              <w:rPr>
                <w:rFonts w:eastAsia="宋体"/>
                <w:color w:val="000000" w:themeColor="text1"/>
                <w:lang w:val="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对照</w:t>
            </w:r>
            <w:r>
              <w:rPr>
                <w:rFonts w:eastAsia="宋体"/>
                <w:color w:val="000000" w:themeColor="text1"/>
                <w:lang w:val="zh-CN"/>
                <w14:textFill>
                  <w14:solidFill>
                    <w14:schemeClr w14:val="tx1"/>
                  </w14:solidFill>
                </w14:textFill>
              </w:rPr>
              <w:t>国家发展和改革委员会《产业结构调整指导目录（20</w:t>
            </w:r>
            <w:r>
              <w:rPr>
                <w:rFonts w:hint="eastAsia" w:eastAsia="宋体"/>
                <w:color w:val="000000" w:themeColor="text1"/>
                <w:lang w:val="en-US" w:eastAsia="zh-CN"/>
                <w14:textFill>
                  <w14:solidFill>
                    <w14:schemeClr w14:val="tx1"/>
                  </w14:solidFill>
                </w14:textFill>
              </w:rPr>
              <w:t>24</w:t>
            </w:r>
            <w:r>
              <w:rPr>
                <w:rFonts w:eastAsia="宋体"/>
                <w:color w:val="000000" w:themeColor="text1"/>
                <w:lang w:val="zh-CN"/>
                <w14:textFill>
                  <w14:solidFill>
                    <w14:schemeClr w14:val="tx1"/>
                  </w14:solidFill>
                </w14:textFill>
              </w:rPr>
              <w:t>年本）》</w:t>
            </w:r>
            <w:r>
              <w:rPr>
                <w:rFonts w:hint="eastAsia" w:eastAsia="宋体"/>
                <w:color w:val="000000" w:themeColor="text1"/>
                <w:lang w:val="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本项目既不属于鼓励类项目，也不属于限制与淘汰类项目，因此，本项目符合国家产业政策要求。</w:t>
            </w:r>
          </w:p>
          <w:p w14:paraId="7E65C5CE">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（二）“三线一单”符合性分析</w:t>
            </w:r>
          </w:p>
          <w:p w14:paraId="24C3F65E">
            <w:pPr>
              <w:ind w:firstLine="480"/>
              <w:rPr>
                <w:color w:val="000000" w:themeColor="text1"/>
                <w14:textFill>
                  <w14:solidFill>
                    <w14:schemeClr w14:val="tx1"/>
                  </w14:solidFill>
                </w14:textFill>
              </w:rPr>
            </w:pPr>
            <w:r>
              <w:rPr>
                <w:color w:val="000000" w:themeColor="text1"/>
                <w14:textFill>
                  <w14:solidFill>
                    <w14:schemeClr w14:val="tx1"/>
                  </w14:solidFill>
                </w14:textFill>
              </w:rPr>
              <w:t>项目位于</w:t>
            </w:r>
            <w:r>
              <w:rPr>
                <w:rFonts w:hint="eastAsia"/>
                <w:color w:val="000000" w:themeColor="text1"/>
                <w:lang w:val="en-US" w:eastAsia="zh-CN"/>
                <w14:textFill>
                  <w14:solidFill>
                    <w14:schemeClr w14:val="tx1"/>
                  </w14:solidFill>
                </w14:textFill>
              </w:rPr>
              <w:t>永州市零陵区接履桥镇潇湘汽车城</w:t>
            </w:r>
            <w:r>
              <w:rPr>
                <w:rFonts w:hint="eastAsia" w:ascii="Times New Roman" w:hAnsi="Times New Roman" w:eastAsia="宋体" w:cs="Times New Roman"/>
                <w:color w:val="000000" w:themeColor="text1"/>
                <w:lang w:val="en-US" w:eastAsia="zh-CN"/>
                <w14:textFill>
                  <w14:solidFill>
                    <w14:schemeClr w14:val="tx1"/>
                  </w14:solidFill>
                </w14:textFill>
              </w:rPr>
              <w:t>，根据《永州市关于“三线一单”生态环境分区管控的实施意见》，项目所在区属于重点管控单元管控单元。</w:t>
            </w:r>
          </w:p>
          <w:p w14:paraId="6546E090">
            <w:pPr>
              <w:ind w:firstLine="480"/>
              <w:rPr>
                <w:color w:val="000000" w:themeColor="text1"/>
                <w14:textFill>
                  <w14:solidFill>
                    <w14:schemeClr w14:val="tx1"/>
                  </w14:solidFill>
                </w14:textFill>
              </w:rPr>
            </w:pPr>
            <w:r>
              <w:rPr>
                <w:color w:val="000000" w:themeColor="text1"/>
                <w14:textFill>
                  <w14:solidFill>
                    <w14:schemeClr w14:val="tx1"/>
                  </w14:solidFill>
                </w14:textFill>
              </w:rPr>
              <w:t>1、生态红线</w:t>
            </w:r>
          </w:p>
          <w:p w14:paraId="5FF28ECA">
            <w:pPr>
              <w:ind w:firstLine="480"/>
              <w:rPr>
                <w:color w:val="000000" w:themeColor="text1"/>
                <w14:textFill>
                  <w14:solidFill>
                    <w14:schemeClr w14:val="tx1"/>
                  </w14:solidFill>
                </w14:textFill>
              </w:rPr>
            </w:pPr>
            <w:r>
              <w:rPr>
                <w:color w:val="000000" w:themeColor="text1"/>
                <w14:textFill>
                  <w14:solidFill>
                    <w14:schemeClr w14:val="tx1"/>
                  </w14:solidFill>
                </w14:textFill>
              </w:rPr>
              <w:t>“生态保护红线”是生态空间范围内具有特殊重要生态功能必须实行强制性严格保护的区域。</w:t>
            </w:r>
          </w:p>
          <w:p w14:paraId="70FDE606">
            <w:pPr>
              <w:ind w:firstLine="480"/>
              <w:rPr>
                <w:color w:val="000000" w:themeColor="text1"/>
                <w14:textFill>
                  <w14:solidFill>
                    <w14:schemeClr w14:val="tx1"/>
                  </w14:solidFill>
                </w14:textFill>
              </w:rPr>
            </w:pPr>
            <w:r>
              <w:rPr>
                <w:color w:val="000000" w:themeColor="text1"/>
                <w14:textFill>
                  <w14:solidFill>
                    <w14:schemeClr w14:val="tx1"/>
                  </w14:solidFill>
                </w14:textFill>
              </w:rPr>
              <w:t>经核实，本项目</w:t>
            </w:r>
            <w:r>
              <w:rPr>
                <w:rFonts w:hint="eastAsia"/>
                <w:color w:val="000000" w:themeColor="text1"/>
                <w:lang w:val="en-US" w:eastAsia="zh-CN"/>
                <w14:textFill>
                  <w14:solidFill>
                    <w14:schemeClr w14:val="tx1"/>
                  </w14:solidFill>
                </w14:textFill>
              </w:rPr>
              <w:t>位于永州市中心城区范围内，属于规划的其他服务设施用地</w:t>
            </w:r>
            <w:r>
              <w:rPr>
                <w:color w:val="000000" w:themeColor="text1"/>
                <w14:textFill>
                  <w14:solidFill>
                    <w14:schemeClr w14:val="tx1"/>
                  </w14:solidFill>
                </w14:textFill>
              </w:rPr>
              <w:t>，不在生态红线范围内，符合生态红线要求。</w:t>
            </w:r>
          </w:p>
          <w:p w14:paraId="7E64C106">
            <w:pPr>
              <w:ind w:firstLine="480"/>
              <w:rPr>
                <w:color w:val="000000" w:themeColor="text1"/>
                <w14:textFill>
                  <w14:solidFill>
                    <w14:schemeClr w14:val="tx1"/>
                  </w14:solidFill>
                </w14:textFill>
              </w:rPr>
            </w:pPr>
            <w:r>
              <w:rPr>
                <w:color w:val="000000" w:themeColor="text1"/>
                <w14:textFill>
                  <w14:solidFill>
                    <w14:schemeClr w14:val="tx1"/>
                  </w14:solidFill>
                </w14:textFill>
              </w:rPr>
              <w:t>2、环境质量底线</w:t>
            </w:r>
          </w:p>
          <w:p w14:paraId="61780558">
            <w:pPr>
              <w:ind w:firstLine="480"/>
              <w:rPr>
                <w:color w:val="000000" w:themeColor="text1"/>
                <w14:textFill>
                  <w14:solidFill>
                    <w14:schemeClr w14:val="tx1"/>
                  </w14:solidFill>
                </w14:textFill>
              </w:rPr>
            </w:pPr>
            <w:r>
              <w:rPr>
                <w:color w:val="000000" w:themeColor="text1"/>
                <w14:textFill>
                  <w14:solidFill>
                    <w14:schemeClr w14:val="tx1"/>
                  </w14:solidFill>
                </w14:textFill>
              </w:rPr>
              <w:t>“环境质量底线”是国家和地方设置的大气、水和土壤环境质量目标，也是改善环境质量的基准线。</w:t>
            </w:r>
          </w:p>
          <w:p w14:paraId="5B2067ED">
            <w:pPr>
              <w:ind w:firstLine="480"/>
              <w:rPr>
                <w:color w:val="000000" w:themeColor="text1"/>
                <w14:textFill>
                  <w14:solidFill>
                    <w14:schemeClr w14:val="tx1"/>
                  </w14:solidFill>
                </w14:textFill>
              </w:rPr>
            </w:pPr>
            <w:r>
              <w:rPr>
                <w:color w:val="auto"/>
                <w:sz w:val="24"/>
                <w:lang w:bidi="ar"/>
              </w:rPr>
              <w:t>根据永州市</w:t>
            </w:r>
            <w:r>
              <w:rPr>
                <w:rFonts w:hint="eastAsia"/>
                <w:color w:val="auto"/>
                <w:sz w:val="24"/>
                <w:lang w:bidi="ar"/>
              </w:rPr>
              <w:t>2023年</w:t>
            </w:r>
            <w:r>
              <w:rPr>
                <w:color w:val="auto"/>
                <w:sz w:val="24"/>
                <w:lang w:bidi="ar"/>
              </w:rPr>
              <w:t>大气常规监测点空气质量监测资料，本项目所在区域为环境空气质量</w:t>
            </w:r>
            <w:r>
              <w:rPr>
                <w:rFonts w:hint="eastAsia"/>
                <w:color w:val="auto"/>
                <w:sz w:val="24"/>
                <w:lang w:bidi="ar"/>
              </w:rPr>
              <w:t>不</w:t>
            </w:r>
            <w:r>
              <w:rPr>
                <w:color w:val="auto"/>
                <w:sz w:val="24"/>
                <w:lang w:bidi="ar"/>
              </w:rPr>
              <w:t>达标区</w:t>
            </w:r>
            <w:r>
              <w:rPr>
                <w:rFonts w:hint="eastAsia"/>
                <w:color w:val="000000" w:themeColor="text1"/>
                <w:lang w:eastAsia="zh-CN"/>
                <w14:textFill>
                  <w14:solidFill>
                    <w14:schemeClr w14:val="tx1"/>
                  </w14:solidFill>
                </w14:textFill>
              </w:rPr>
              <w:t>；</w:t>
            </w:r>
            <w:r>
              <w:rPr>
                <w:color w:val="auto"/>
                <w:sz w:val="24"/>
                <w:lang w:bidi="ar"/>
              </w:rPr>
              <w:t>本项目产生的三废均能有效处理，采取相应治理措施后可达标排放。因此本项目建设不会对当地环境质量底线造成冲击</w:t>
            </w:r>
            <w:r>
              <w:rPr>
                <w:color w:val="000000" w:themeColor="text1"/>
                <w14:textFill>
                  <w14:solidFill>
                    <w14:schemeClr w14:val="tx1"/>
                  </w14:solidFill>
                </w14:textFill>
              </w:rPr>
              <w:t>。</w:t>
            </w:r>
          </w:p>
          <w:p w14:paraId="58728D2D">
            <w:pPr>
              <w:ind w:firstLine="480"/>
              <w:rPr>
                <w:color w:val="000000" w:themeColor="text1"/>
                <w14:textFill>
                  <w14:solidFill>
                    <w14:schemeClr w14:val="tx1"/>
                  </w14:solidFill>
                </w14:textFill>
              </w:rPr>
            </w:pPr>
            <w:r>
              <w:rPr>
                <w:color w:val="000000" w:themeColor="text1"/>
                <w14:textFill>
                  <w14:solidFill>
                    <w14:schemeClr w14:val="tx1"/>
                  </w14:solidFill>
                </w14:textFill>
              </w:rPr>
              <w:t>3、资源利用上线</w:t>
            </w:r>
          </w:p>
          <w:p w14:paraId="6C26D1EE">
            <w:pPr>
              <w:ind w:firstLine="480"/>
              <w:rPr>
                <w:color w:val="000000" w:themeColor="text1"/>
                <w14:textFill>
                  <w14:solidFill>
                    <w14:schemeClr w14:val="tx1"/>
                  </w14:solidFill>
                </w14:textFill>
              </w:rPr>
            </w:pPr>
            <w:r>
              <w:rPr>
                <w:color w:val="000000" w:themeColor="text1"/>
                <w14:textFill>
                  <w14:solidFill>
                    <w14:schemeClr w14:val="tx1"/>
                  </w14:solidFill>
                </w14:textFill>
              </w:rPr>
              <w:t>资源是环境的载体，“资源利用上线”地区能源、水、土地等资源消耗不得突破的“天花板”。</w:t>
            </w:r>
          </w:p>
          <w:p w14:paraId="6CA520D7">
            <w:pPr>
              <w:widowControl/>
              <w:ind w:firstLine="480"/>
              <w:jc w:val="left"/>
              <w:rPr>
                <w:color w:val="000000" w:themeColor="text1"/>
                <w14:textFill>
                  <w14:solidFill>
                    <w14:schemeClr w14:val="tx1"/>
                  </w14:solidFill>
                </w14:textFill>
              </w:rPr>
            </w:pPr>
            <w:r>
              <w:rPr>
                <w:color w:val="000000" w:themeColor="text1"/>
                <w14:textFill>
                  <w14:solidFill>
                    <w14:schemeClr w14:val="tx1"/>
                  </w14:solidFill>
                </w14:textFill>
              </w:rPr>
              <w:t>项目营运过程中消耗一</w:t>
            </w:r>
            <w:r>
              <w:rPr>
                <w:rFonts w:hint="eastAsia"/>
                <w:color w:val="000000" w:themeColor="text1"/>
                <w14:textFill>
                  <w14:solidFill>
                    <w14:schemeClr w14:val="tx1"/>
                  </w14:solidFill>
                </w14:textFill>
              </w:rPr>
              <w:t>定</w:t>
            </w:r>
            <w:r>
              <w:rPr>
                <w:color w:val="000000" w:themeColor="text1"/>
                <w14:textFill>
                  <w14:solidFill>
                    <w14:schemeClr w14:val="tx1"/>
                  </w14:solidFill>
                </w14:textFill>
              </w:rPr>
              <w:t>量的水资源、电资源，区域内生产和生活用水均使用自来水，能源主要依托当地电</w:t>
            </w:r>
            <w:r>
              <w:rPr>
                <w:color w:val="000000" w:themeColor="text1"/>
                <w:kern w:val="0"/>
                <w14:textFill>
                  <w14:solidFill>
                    <w14:schemeClr w14:val="tx1"/>
                  </w14:solidFill>
                </w14:textFill>
              </w:rPr>
              <w:t>网供电，项目资源消耗相对区域资源利用总量较小。</w:t>
            </w:r>
          </w:p>
          <w:p w14:paraId="1B6BEDF7">
            <w:pPr>
              <w:ind w:firstLine="480"/>
              <w:rPr>
                <w:color w:val="000000" w:themeColor="text1"/>
                <w14:textFill>
                  <w14:solidFill>
                    <w14:schemeClr w14:val="tx1"/>
                  </w14:solidFill>
                </w14:textFill>
              </w:rPr>
            </w:pPr>
            <w:r>
              <w:rPr>
                <w:color w:val="000000" w:themeColor="text1"/>
                <w14:textFill>
                  <w14:solidFill>
                    <w14:schemeClr w14:val="tx1"/>
                  </w14:solidFill>
                </w14:textFill>
              </w:rPr>
              <w:t>因此，项目资源利用满足要求。</w:t>
            </w:r>
          </w:p>
          <w:p w14:paraId="48BA4FAD">
            <w:pPr>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生态</w:t>
            </w:r>
            <w:r>
              <w:rPr>
                <w:color w:val="000000" w:themeColor="text1"/>
                <w14:textFill>
                  <w14:solidFill>
                    <w14:schemeClr w14:val="tx1"/>
                  </w14:solidFill>
                </w14:textFill>
              </w:rPr>
              <w:t>环境准入清单</w:t>
            </w:r>
          </w:p>
          <w:p w14:paraId="21C850B9">
            <w:pPr>
              <w:ind w:firstLine="480"/>
              <w:rPr>
                <w:color w:val="000000"/>
                <w:u w:val="none"/>
              </w:rPr>
            </w:pPr>
            <w:r>
              <w:rPr>
                <w:color w:val="000000"/>
                <w:u w:val="none"/>
              </w:rPr>
              <w:t>本项目位于</w:t>
            </w:r>
            <w:r>
              <w:rPr>
                <w:rFonts w:hint="eastAsia"/>
                <w:color w:val="000000" w:themeColor="text1"/>
                <w:u w:val="none"/>
                <w:lang w:val="en-US" w:eastAsia="zh-CN"/>
                <w14:textFill>
                  <w14:solidFill>
                    <w14:schemeClr w14:val="tx1"/>
                  </w14:solidFill>
                </w14:textFill>
              </w:rPr>
              <w:t>永州市零陵区接履桥镇</w:t>
            </w:r>
            <w:r>
              <w:rPr>
                <w:color w:val="000000"/>
                <w:u w:val="none"/>
              </w:rPr>
              <w:t>，与《</w:t>
            </w:r>
            <w:r>
              <w:rPr>
                <w:rFonts w:hint="eastAsia"/>
                <w:color w:val="000000"/>
                <w:u w:val="none"/>
              </w:rPr>
              <w:t>永州市关于“三线一单”生态环境分区管控的实施意见</w:t>
            </w:r>
            <w:r>
              <w:rPr>
                <w:color w:val="000000"/>
                <w:u w:val="none"/>
              </w:rPr>
              <w:t>》中</w:t>
            </w:r>
            <w:r>
              <w:rPr>
                <w:rFonts w:hint="eastAsia"/>
                <w:color w:val="000000"/>
                <w:u w:val="none"/>
                <w:lang w:val="en-US" w:eastAsia="zh-CN"/>
              </w:rPr>
              <w:t>1</w:t>
            </w:r>
            <w:r>
              <w:rPr>
                <w:color w:val="000000"/>
                <w:u w:val="none"/>
              </w:rPr>
              <w:t>、</w:t>
            </w:r>
            <w:r>
              <w:rPr>
                <w:rFonts w:hint="eastAsia"/>
                <w:color w:val="000000"/>
                <w:u w:val="none"/>
                <w:lang w:val="en-US" w:eastAsia="zh-CN"/>
              </w:rPr>
              <w:t>零陵区</w:t>
            </w:r>
            <w:r>
              <w:rPr>
                <w:color w:val="000000"/>
                <w:u w:val="none"/>
              </w:rPr>
              <w:t>相符性分析如下：</w:t>
            </w:r>
          </w:p>
          <w:p w14:paraId="37EC9A71">
            <w:pPr>
              <w:pStyle w:val="2"/>
              <w:widowControl/>
              <w:spacing w:after="0" w:line="240" w:lineRule="auto"/>
              <w:ind w:firstLine="0" w:firstLineChars="0"/>
              <w:jc w:val="center"/>
              <w:rPr>
                <w:rFonts w:hint="eastAsia"/>
                <w:b/>
                <w:bCs/>
                <w:color w:val="000000"/>
                <w:sz w:val="21"/>
                <w:szCs w:val="21"/>
                <w:u w:val="none"/>
              </w:rPr>
            </w:pPr>
            <w:r>
              <w:rPr>
                <w:rFonts w:hint="eastAsia"/>
                <w:b/>
                <w:bCs/>
                <w:color w:val="000000"/>
                <w:sz w:val="21"/>
                <w:szCs w:val="21"/>
                <w:u w:val="none"/>
              </w:rPr>
              <w:t>表1-1项目与永州市关于“三线一单”生态环境分区管控的实施意见相符性分析</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20"/>
              <w:gridCol w:w="360"/>
              <w:gridCol w:w="345"/>
              <w:gridCol w:w="360"/>
              <w:gridCol w:w="495"/>
              <w:gridCol w:w="705"/>
              <w:gridCol w:w="960"/>
              <w:gridCol w:w="750"/>
              <w:gridCol w:w="181"/>
              <w:gridCol w:w="1754"/>
              <w:gridCol w:w="1084"/>
            </w:tblGrid>
            <w:tr w14:paraId="14E5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10" w:type="pct"/>
                  <w:vMerge w:val="restart"/>
                  <w:noWrap w:val="0"/>
                  <w:vAlign w:val="center"/>
                </w:tcPr>
                <w:p w14:paraId="07ABB9E8">
                  <w:pPr>
                    <w:spacing w:line="240" w:lineRule="auto"/>
                    <w:ind w:firstLine="0" w:firstLineChars="0"/>
                    <w:jc w:val="center"/>
                    <w:rPr>
                      <w:b/>
                      <w:bCs/>
                      <w:color w:val="000000"/>
                      <w:sz w:val="21"/>
                      <w:szCs w:val="21"/>
                      <w:u w:val="none"/>
                    </w:rPr>
                  </w:pPr>
                  <w:r>
                    <w:rPr>
                      <w:rFonts w:hint="eastAsia"/>
                      <w:b/>
                      <w:bCs/>
                      <w:color w:val="000000"/>
                      <w:sz w:val="21"/>
                      <w:szCs w:val="21"/>
                      <w:u w:val="none"/>
                    </w:rPr>
                    <w:t>环境管控单元编码</w:t>
                  </w:r>
                </w:p>
              </w:tc>
              <w:tc>
                <w:tcPr>
                  <w:tcW w:w="259" w:type="pct"/>
                  <w:vMerge w:val="restart"/>
                  <w:noWrap w:val="0"/>
                  <w:vAlign w:val="center"/>
                </w:tcPr>
                <w:p w14:paraId="6A5B8767">
                  <w:pPr>
                    <w:spacing w:line="240" w:lineRule="auto"/>
                    <w:ind w:firstLine="0" w:firstLineChars="0"/>
                    <w:jc w:val="center"/>
                    <w:rPr>
                      <w:b/>
                      <w:bCs/>
                      <w:color w:val="000000"/>
                      <w:sz w:val="21"/>
                      <w:szCs w:val="21"/>
                      <w:u w:val="none"/>
                    </w:rPr>
                  </w:pPr>
                  <w:r>
                    <w:rPr>
                      <w:rFonts w:hint="eastAsia"/>
                      <w:b/>
                      <w:bCs/>
                      <w:color w:val="000000"/>
                      <w:sz w:val="21"/>
                      <w:szCs w:val="21"/>
                      <w:u w:val="none"/>
                    </w:rPr>
                    <w:t>单元名称</w:t>
                  </w:r>
                </w:p>
              </w:tc>
              <w:tc>
                <w:tcPr>
                  <w:tcW w:w="659" w:type="pct"/>
                  <w:gridSpan w:val="3"/>
                  <w:noWrap w:val="0"/>
                  <w:vAlign w:val="center"/>
                </w:tcPr>
                <w:p w14:paraId="49321228">
                  <w:pPr>
                    <w:spacing w:line="240" w:lineRule="auto"/>
                    <w:ind w:firstLine="0" w:firstLineChars="0"/>
                    <w:jc w:val="center"/>
                    <w:rPr>
                      <w:b/>
                      <w:bCs/>
                      <w:color w:val="000000"/>
                      <w:sz w:val="21"/>
                      <w:szCs w:val="21"/>
                      <w:u w:val="none"/>
                    </w:rPr>
                  </w:pPr>
                  <w:r>
                    <w:rPr>
                      <w:rFonts w:hint="eastAsia"/>
                      <w:b/>
                      <w:bCs/>
                      <w:color w:val="000000"/>
                      <w:sz w:val="21"/>
                      <w:szCs w:val="21"/>
                      <w:u w:val="none"/>
                    </w:rPr>
                    <w:t>行政区划</w:t>
                  </w:r>
                </w:p>
              </w:tc>
              <w:tc>
                <w:tcPr>
                  <w:tcW w:w="306" w:type="pct"/>
                  <w:vMerge w:val="restart"/>
                  <w:noWrap w:val="0"/>
                  <w:vAlign w:val="center"/>
                </w:tcPr>
                <w:p w14:paraId="34176D63">
                  <w:pPr>
                    <w:spacing w:line="240" w:lineRule="auto"/>
                    <w:ind w:firstLine="0" w:firstLineChars="0"/>
                    <w:jc w:val="center"/>
                    <w:rPr>
                      <w:b/>
                      <w:bCs/>
                      <w:color w:val="000000"/>
                      <w:sz w:val="21"/>
                      <w:szCs w:val="21"/>
                      <w:u w:val="none"/>
                    </w:rPr>
                  </w:pPr>
                  <w:r>
                    <w:rPr>
                      <w:rFonts w:hint="eastAsia"/>
                      <w:b/>
                      <w:bCs/>
                      <w:color w:val="000000"/>
                      <w:sz w:val="21"/>
                      <w:szCs w:val="21"/>
                      <w:u w:val="none"/>
                    </w:rPr>
                    <w:t>单元分类</w:t>
                  </w:r>
                </w:p>
              </w:tc>
              <w:tc>
                <w:tcPr>
                  <w:tcW w:w="436" w:type="pct"/>
                  <w:vMerge w:val="restart"/>
                  <w:noWrap w:val="0"/>
                  <w:vAlign w:val="center"/>
                </w:tcPr>
                <w:p w14:paraId="47B647F7">
                  <w:pPr>
                    <w:spacing w:line="240" w:lineRule="auto"/>
                    <w:ind w:firstLine="0" w:firstLineChars="0"/>
                    <w:jc w:val="center"/>
                    <w:rPr>
                      <w:b/>
                      <w:bCs/>
                      <w:color w:val="000000"/>
                      <w:sz w:val="21"/>
                      <w:szCs w:val="21"/>
                      <w:u w:val="none"/>
                    </w:rPr>
                  </w:pPr>
                  <w:r>
                    <w:rPr>
                      <w:rFonts w:hint="eastAsia"/>
                      <w:b/>
                      <w:bCs/>
                      <w:color w:val="000000"/>
                      <w:sz w:val="21"/>
                      <w:szCs w:val="21"/>
                      <w:u w:val="none"/>
                    </w:rPr>
                    <w:t>单元面积</w:t>
                  </w:r>
                </w:p>
                <w:p w14:paraId="526F5CAA">
                  <w:pPr>
                    <w:spacing w:line="240" w:lineRule="auto"/>
                    <w:ind w:firstLine="0" w:firstLineChars="0"/>
                    <w:jc w:val="center"/>
                    <w:rPr>
                      <w:b/>
                      <w:bCs/>
                      <w:color w:val="000000"/>
                      <w:sz w:val="21"/>
                      <w:szCs w:val="21"/>
                      <w:u w:val="none"/>
                    </w:rPr>
                  </w:pPr>
                  <w:r>
                    <w:rPr>
                      <w:rFonts w:hint="eastAsia"/>
                      <w:b/>
                      <w:bCs/>
                      <w:color w:val="000000"/>
                      <w:sz w:val="21"/>
                      <w:szCs w:val="21"/>
                      <w:u w:val="none"/>
                    </w:rPr>
                    <w:t>(km</w:t>
                  </w:r>
                  <w:r>
                    <w:rPr>
                      <w:rFonts w:hint="eastAsia"/>
                      <w:b/>
                      <w:bCs/>
                      <w:color w:val="000000"/>
                      <w:sz w:val="21"/>
                      <w:szCs w:val="21"/>
                      <w:u w:val="none"/>
                      <w:vertAlign w:val="superscript"/>
                    </w:rPr>
                    <w:t>2</w:t>
                  </w:r>
                  <w:r>
                    <w:rPr>
                      <w:rFonts w:hint="eastAsia"/>
                      <w:b/>
                      <w:bCs/>
                      <w:color w:val="000000"/>
                      <w:sz w:val="21"/>
                      <w:szCs w:val="21"/>
                      <w:u w:val="none"/>
                    </w:rPr>
                    <w:t>)</w:t>
                  </w:r>
                </w:p>
              </w:tc>
              <w:tc>
                <w:tcPr>
                  <w:tcW w:w="594" w:type="pct"/>
                  <w:vMerge w:val="restart"/>
                  <w:noWrap w:val="0"/>
                  <w:vAlign w:val="center"/>
                </w:tcPr>
                <w:p w14:paraId="5661DF1E">
                  <w:pPr>
                    <w:spacing w:line="240" w:lineRule="auto"/>
                    <w:ind w:firstLine="0" w:firstLineChars="0"/>
                    <w:jc w:val="center"/>
                    <w:rPr>
                      <w:b/>
                      <w:bCs/>
                      <w:color w:val="000000"/>
                      <w:sz w:val="21"/>
                      <w:szCs w:val="21"/>
                      <w:u w:val="none"/>
                    </w:rPr>
                  </w:pPr>
                  <w:r>
                    <w:rPr>
                      <w:rFonts w:hint="eastAsia"/>
                      <w:b/>
                      <w:bCs/>
                      <w:color w:val="000000"/>
                      <w:sz w:val="21"/>
                      <w:szCs w:val="21"/>
                      <w:u w:val="none"/>
                    </w:rPr>
                    <w:t>涉及乡镇</w:t>
                  </w:r>
                </w:p>
                <w:p w14:paraId="6E6FA63D">
                  <w:pPr>
                    <w:spacing w:line="240" w:lineRule="auto"/>
                    <w:ind w:firstLine="0" w:firstLineChars="0"/>
                    <w:jc w:val="center"/>
                    <w:rPr>
                      <w:b/>
                      <w:bCs/>
                      <w:color w:val="000000"/>
                      <w:sz w:val="21"/>
                      <w:szCs w:val="21"/>
                      <w:u w:val="none"/>
                    </w:rPr>
                  </w:pPr>
                  <w:r>
                    <w:rPr>
                      <w:rFonts w:hint="eastAsia"/>
                      <w:b/>
                      <w:bCs/>
                      <w:color w:val="000000"/>
                      <w:sz w:val="21"/>
                      <w:szCs w:val="21"/>
                      <w:u w:val="none"/>
                    </w:rPr>
                    <w:t>（街道）</w:t>
                  </w:r>
                </w:p>
              </w:tc>
              <w:tc>
                <w:tcPr>
                  <w:tcW w:w="464" w:type="pct"/>
                  <w:vMerge w:val="restart"/>
                  <w:noWrap w:val="0"/>
                  <w:vAlign w:val="center"/>
                </w:tcPr>
                <w:p w14:paraId="10AA4F3B">
                  <w:pPr>
                    <w:spacing w:line="240" w:lineRule="auto"/>
                    <w:ind w:firstLine="0" w:firstLineChars="0"/>
                    <w:jc w:val="center"/>
                    <w:rPr>
                      <w:b/>
                      <w:bCs/>
                      <w:color w:val="000000"/>
                      <w:sz w:val="21"/>
                      <w:szCs w:val="21"/>
                      <w:u w:val="none"/>
                    </w:rPr>
                  </w:pPr>
                  <w:r>
                    <w:rPr>
                      <w:rFonts w:hint="eastAsia"/>
                      <w:b/>
                      <w:bCs/>
                      <w:color w:val="000000"/>
                      <w:sz w:val="21"/>
                      <w:szCs w:val="21"/>
                      <w:u w:val="none"/>
                    </w:rPr>
                    <w:t>区域主体功能定位</w:t>
                  </w:r>
                </w:p>
              </w:tc>
              <w:tc>
                <w:tcPr>
                  <w:tcW w:w="1197" w:type="pct"/>
                  <w:gridSpan w:val="2"/>
                  <w:vMerge w:val="restart"/>
                  <w:noWrap w:val="0"/>
                  <w:vAlign w:val="center"/>
                </w:tcPr>
                <w:p w14:paraId="0998CA28">
                  <w:pPr>
                    <w:spacing w:line="240" w:lineRule="auto"/>
                    <w:ind w:firstLine="0" w:firstLineChars="0"/>
                    <w:jc w:val="center"/>
                    <w:rPr>
                      <w:b/>
                      <w:bCs/>
                      <w:color w:val="000000"/>
                      <w:sz w:val="21"/>
                      <w:szCs w:val="21"/>
                      <w:u w:val="none"/>
                    </w:rPr>
                  </w:pPr>
                  <w:r>
                    <w:rPr>
                      <w:rFonts w:hint="eastAsia"/>
                      <w:b/>
                      <w:bCs/>
                      <w:color w:val="000000"/>
                      <w:sz w:val="21"/>
                      <w:szCs w:val="21"/>
                      <w:u w:val="none"/>
                    </w:rPr>
                    <w:t>经济产业布局</w:t>
                  </w:r>
                </w:p>
              </w:tc>
              <w:tc>
                <w:tcPr>
                  <w:tcW w:w="671" w:type="pct"/>
                  <w:vMerge w:val="restart"/>
                  <w:noWrap w:val="0"/>
                  <w:vAlign w:val="center"/>
                </w:tcPr>
                <w:p w14:paraId="7AEE1178">
                  <w:pPr>
                    <w:spacing w:line="240" w:lineRule="auto"/>
                    <w:ind w:firstLine="0" w:firstLineChars="0"/>
                    <w:jc w:val="center"/>
                    <w:rPr>
                      <w:b/>
                      <w:bCs/>
                      <w:color w:val="000000"/>
                      <w:sz w:val="21"/>
                      <w:szCs w:val="21"/>
                      <w:u w:val="none"/>
                    </w:rPr>
                  </w:pPr>
                  <w:r>
                    <w:rPr>
                      <w:rFonts w:hint="eastAsia"/>
                      <w:b/>
                      <w:bCs/>
                      <w:color w:val="000000"/>
                      <w:sz w:val="21"/>
                      <w:szCs w:val="21"/>
                      <w:u w:val="none"/>
                    </w:rPr>
                    <w:t>主要环境问题和重要敏感目标</w:t>
                  </w:r>
                </w:p>
              </w:tc>
            </w:tr>
            <w:tr w14:paraId="720D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10" w:type="pct"/>
                  <w:vMerge w:val="continue"/>
                  <w:noWrap w:val="0"/>
                  <w:vAlign w:val="center"/>
                </w:tcPr>
                <w:p w14:paraId="26D6E786">
                  <w:pPr>
                    <w:spacing w:line="240" w:lineRule="auto"/>
                    <w:ind w:firstLine="0" w:firstLineChars="0"/>
                    <w:jc w:val="center"/>
                    <w:rPr>
                      <w:b/>
                      <w:bCs/>
                      <w:color w:val="000000"/>
                      <w:sz w:val="21"/>
                      <w:szCs w:val="21"/>
                      <w:u w:val="none"/>
                    </w:rPr>
                  </w:pPr>
                </w:p>
              </w:tc>
              <w:tc>
                <w:tcPr>
                  <w:tcW w:w="259" w:type="pct"/>
                  <w:vMerge w:val="continue"/>
                  <w:noWrap w:val="0"/>
                  <w:vAlign w:val="center"/>
                </w:tcPr>
                <w:p w14:paraId="2175BE8A">
                  <w:pPr>
                    <w:spacing w:line="240" w:lineRule="auto"/>
                    <w:ind w:firstLine="0" w:firstLineChars="0"/>
                    <w:jc w:val="center"/>
                    <w:rPr>
                      <w:b/>
                      <w:bCs/>
                      <w:color w:val="000000"/>
                      <w:sz w:val="21"/>
                      <w:szCs w:val="21"/>
                      <w:u w:val="none"/>
                    </w:rPr>
                  </w:pPr>
                </w:p>
              </w:tc>
              <w:tc>
                <w:tcPr>
                  <w:tcW w:w="222" w:type="pct"/>
                  <w:noWrap w:val="0"/>
                  <w:vAlign w:val="center"/>
                </w:tcPr>
                <w:p w14:paraId="51A52FCA">
                  <w:pPr>
                    <w:spacing w:line="240" w:lineRule="auto"/>
                    <w:ind w:firstLine="0" w:firstLineChars="0"/>
                    <w:jc w:val="center"/>
                    <w:rPr>
                      <w:b/>
                      <w:bCs/>
                      <w:color w:val="000000"/>
                      <w:sz w:val="21"/>
                      <w:szCs w:val="21"/>
                      <w:u w:val="none"/>
                    </w:rPr>
                  </w:pPr>
                  <w:r>
                    <w:rPr>
                      <w:rFonts w:hint="eastAsia"/>
                      <w:b/>
                      <w:bCs/>
                      <w:color w:val="000000"/>
                      <w:sz w:val="21"/>
                      <w:szCs w:val="21"/>
                      <w:u w:val="none"/>
                    </w:rPr>
                    <w:t>省</w:t>
                  </w:r>
                </w:p>
              </w:tc>
              <w:tc>
                <w:tcPr>
                  <w:tcW w:w="213" w:type="pct"/>
                  <w:noWrap w:val="0"/>
                  <w:vAlign w:val="center"/>
                </w:tcPr>
                <w:p w14:paraId="0EB3EEB1">
                  <w:pPr>
                    <w:spacing w:line="240" w:lineRule="auto"/>
                    <w:ind w:firstLine="0" w:firstLineChars="0"/>
                    <w:jc w:val="center"/>
                    <w:rPr>
                      <w:b/>
                      <w:bCs/>
                      <w:color w:val="000000"/>
                      <w:sz w:val="21"/>
                      <w:szCs w:val="21"/>
                      <w:u w:val="none"/>
                    </w:rPr>
                  </w:pPr>
                  <w:r>
                    <w:rPr>
                      <w:rFonts w:hint="eastAsia"/>
                      <w:b/>
                      <w:bCs/>
                      <w:color w:val="000000"/>
                      <w:sz w:val="21"/>
                      <w:szCs w:val="21"/>
                      <w:u w:val="none"/>
                    </w:rPr>
                    <w:t>市</w:t>
                  </w:r>
                </w:p>
              </w:tc>
              <w:tc>
                <w:tcPr>
                  <w:tcW w:w="222" w:type="pct"/>
                  <w:noWrap w:val="0"/>
                  <w:vAlign w:val="center"/>
                </w:tcPr>
                <w:p w14:paraId="1DC23BA4">
                  <w:pPr>
                    <w:spacing w:line="240" w:lineRule="auto"/>
                    <w:ind w:firstLine="0" w:firstLineChars="0"/>
                    <w:jc w:val="center"/>
                    <w:rPr>
                      <w:b/>
                      <w:bCs/>
                      <w:color w:val="000000"/>
                      <w:sz w:val="21"/>
                      <w:szCs w:val="21"/>
                      <w:u w:val="none"/>
                    </w:rPr>
                  </w:pPr>
                  <w:r>
                    <w:rPr>
                      <w:rFonts w:hint="eastAsia"/>
                      <w:b/>
                      <w:bCs/>
                      <w:color w:val="000000"/>
                      <w:sz w:val="21"/>
                      <w:szCs w:val="21"/>
                      <w:u w:val="none"/>
                    </w:rPr>
                    <w:t>县</w:t>
                  </w:r>
                </w:p>
              </w:tc>
              <w:tc>
                <w:tcPr>
                  <w:tcW w:w="306" w:type="pct"/>
                  <w:vMerge w:val="continue"/>
                  <w:noWrap w:val="0"/>
                  <w:vAlign w:val="center"/>
                </w:tcPr>
                <w:p w14:paraId="26B9BEA3">
                  <w:pPr>
                    <w:spacing w:line="240" w:lineRule="auto"/>
                    <w:ind w:firstLine="0" w:firstLineChars="0"/>
                    <w:jc w:val="center"/>
                    <w:rPr>
                      <w:color w:val="000000"/>
                      <w:sz w:val="21"/>
                      <w:szCs w:val="21"/>
                      <w:u w:val="none"/>
                    </w:rPr>
                  </w:pPr>
                </w:p>
              </w:tc>
              <w:tc>
                <w:tcPr>
                  <w:tcW w:w="436" w:type="pct"/>
                  <w:vMerge w:val="continue"/>
                  <w:noWrap w:val="0"/>
                  <w:vAlign w:val="center"/>
                </w:tcPr>
                <w:p w14:paraId="01DF8B1B">
                  <w:pPr>
                    <w:spacing w:line="240" w:lineRule="auto"/>
                    <w:ind w:firstLine="0" w:firstLineChars="0"/>
                    <w:jc w:val="center"/>
                    <w:rPr>
                      <w:color w:val="000000"/>
                      <w:sz w:val="21"/>
                      <w:szCs w:val="21"/>
                      <w:u w:val="none"/>
                    </w:rPr>
                  </w:pPr>
                </w:p>
              </w:tc>
              <w:tc>
                <w:tcPr>
                  <w:tcW w:w="594" w:type="pct"/>
                  <w:vMerge w:val="continue"/>
                  <w:noWrap w:val="0"/>
                  <w:vAlign w:val="center"/>
                </w:tcPr>
                <w:p w14:paraId="10B097FB">
                  <w:pPr>
                    <w:spacing w:line="240" w:lineRule="auto"/>
                    <w:ind w:firstLine="0" w:firstLineChars="0"/>
                    <w:jc w:val="center"/>
                    <w:rPr>
                      <w:color w:val="000000"/>
                      <w:sz w:val="21"/>
                      <w:szCs w:val="21"/>
                      <w:u w:val="none"/>
                    </w:rPr>
                  </w:pPr>
                </w:p>
              </w:tc>
              <w:tc>
                <w:tcPr>
                  <w:tcW w:w="464" w:type="pct"/>
                  <w:vMerge w:val="continue"/>
                  <w:noWrap w:val="0"/>
                  <w:vAlign w:val="center"/>
                </w:tcPr>
                <w:p w14:paraId="2C6486BF">
                  <w:pPr>
                    <w:spacing w:line="240" w:lineRule="auto"/>
                    <w:ind w:firstLine="0" w:firstLineChars="0"/>
                    <w:jc w:val="center"/>
                    <w:rPr>
                      <w:color w:val="000000"/>
                      <w:sz w:val="21"/>
                      <w:szCs w:val="21"/>
                      <w:u w:val="none"/>
                    </w:rPr>
                  </w:pPr>
                </w:p>
              </w:tc>
              <w:tc>
                <w:tcPr>
                  <w:tcW w:w="1197" w:type="pct"/>
                  <w:gridSpan w:val="2"/>
                  <w:vMerge w:val="continue"/>
                  <w:noWrap w:val="0"/>
                  <w:vAlign w:val="center"/>
                </w:tcPr>
                <w:p w14:paraId="6A194489">
                  <w:pPr>
                    <w:spacing w:line="240" w:lineRule="auto"/>
                    <w:ind w:firstLine="0" w:firstLineChars="0"/>
                    <w:jc w:val="center"/>
                    <w:rPr>
                      <w:color w:val="000000"/>
                      <w:sz w:val="21"/>
                      <w:szCs w:val="21"/>
                      <w:u w:val="none"/>
                    </w:rPr>
                  </w:pPr>
                </w:p>
              </w:tc>
              <w:tc>
                <w:tcPr>
                  <w:tcW w:w="671" w:type="pct"/>
                  <w:vMerge w:val="continue"/>
                  <w:noWrap w:val="0"/>
                  <w:vAlign w:val="center"/>
                </w:tcPr>
                <w:p w14:paraId="17D33CFB">
                  <w:pPr>
                    <w:spacing w:line="240" w:lineRule="auto"/>
                    <w:ind w:firstLine="0" w:firstLineChars="0"/>
                    <w:jc w:val="center"/>
                    <w:rPr>
                      <w:color w:val="000000"/>
                      <w:sz w:val="21"/>
                      <w:szCs w:val="21"/>
                      <w:u w:val="none"/>
                    </w:rPr>
                  </w:pPr>
                </w:p>
              </w:tc>
            </w:tr>
            <w:tr w14:paraId="2B99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410" w:type="pct"/>
                  <w:noWrap w:val="0"/>
                  <w:vAlign w:val="center"/>
                </w:tcPr>
                <w:p w14:paraId="748DDEBE">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ZH43110220001</w:t>
                  </w:r>
                </w:p>
              </w:tc>
              <w:tc>
                <w:tcPr>
                  <w:tcW w:w="259" w:type="pct"/>
                  <w:noWrap w:val="0"/>
                  <w:vAlign w:val="center"/>
                </w:tcPr>
                <w:p w14:paraId="6A4587FD">
                  <w:pPr>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零陵区城区</w:t>
                  </w:r>
                </w:p>
                <w:p w14:paraId="44D4ACC1">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p>
              </w:tc>
              <w:tc>
                <w:tcPr>
                  <w:tcW w:w="222" w:type="pct"/>
                  <w:noWrap w:val="0"/>
                  <w:vAlign w:val="center"/>
                </w:tcPr>
                <w:p w14:paraId="329043BA">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湖</w:t>
                  </w:r>
                </w:p>
                <w:p w14:paraId="0CE88D94">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南</w:t>
                  </w:r>
                </w:p>
                <w:p w14:paraId="7D06C641">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省</w:t>
                  </w:r>
                </w:p>
              </w:tc>
              <w:tc>
                <w:tcPr>
                  <w:tcW w:w="213" w:type="pct"/>
                  <w:noWrap w:val="0"/>
                  <w:vAlign w:val="center"/>
                </w:tcPr>
                <w:p w14:paraId="2E3B8E2F">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永</w:t>
                  </w:r>
                </w:p>
                <w:p w14:paraId="2E8476D1">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州</w:t>
                  </w:r>
                </w:p>
                <w:p w14:paraId="5AB5E9D3">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市</w:t>
                  </w:r>
                </w:p>
              </w:tc>
              <w:tc>
                <w:tcPr>
                  <w:tcW w:w="222" w:type="pct"/>
                  <w:noWrap w:val="0"/>
                  <w:vAlign w:val="center"/>
                </w:tcPr>
                <w:p w14:paraId="34B8A65C">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零陵</w:t>
                  </w:r>
                  <w:r>
                    <w:rPr>
                      <w:rFonts w:hint="eastAsia" w:ascii="Times New Roman" w:hAnsi="Times New Roman" w:eastAsia="宋体" w:cs="Times New Roman"/>
                      <w:color w:val="000000"/>
                      <w:sz w:val="21"/>
                      <w:szCs w:val="21"/>
                      <w:u w:val="none"/>
                      <w:lang w:val="en-US" w:eastAsia="zh-CN"/>
                    </w:rPr>
                    <w:t>区</w:t>
                  </w:r>
                </w:p>
              </w:tc>
              <w:tc>
                <w:tcPr>
                  <w:tcW w:w="306" w:type="pct"/>
                  <w:noWrap w:val="0"/>
                  <w:vAlign w:val="center"/>
                </w:tcPr>
                <w:p w14:paraId="2B2DC952">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重点管控</w:t>
                  </w:r>
                </w:p>
                <w:p w14:paraId="2747898C">
                  <w:pPr>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单元</w:t>
                  </w:r>
                </w:p>
              </w:tc>
              <w:tc>
                <w:tcPr>
                  <w:tcW w:w="436" w:type="pct"/>
                  <w:noWrap w:val="0"/>
                  <w:vAlign w:val="center"/>
                </w:tcPr>
                <w:p w14:paraId="027A07BF">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101.75</w:t>
                  </w:r>
                </w:p>
                <w:p w14:paraId="0B431104">
                  <w:pPr>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p>
              </w:tc>
              <w:tc>
                <w:tcPr>
                  <w:tcW w:w="594" w:type="pct"/>
                  <w:noWrap w:val="0"/>
                  <w:vAlign w:val="center"/>
                </w:tcPr>
                <w:p w14:paraId="5B842675">
                  <w:pPr>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朝阳街道</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接履桥街道</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南津渡街道</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七里店街道</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徐家井街道</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石山脚街道</w:t>
                  </w:r>
                </w:p>
              </w:tc>
              <w:tc>
                <w:tcPr>
                  <w:tcW w:w="464" w:type="pct"/>
                  <w:noWrap w:val="0"/>
                  <w:vAlign w:val="center"/>
                </w:tcPr>
                <w:p w14:paraId="4BBAAB07">
                  <w:pPr>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省级重</w:t>
                  </w:r>
                  <w:r>
                    <w:rPr>
                      <w:rFonts w:hint="eastAsia" w:ascii="Times New Roman" w:hAnsi="Times New Roman" w:eastAsia="宋体" w:cs="Times New Roman"/>
                      <w:color w:val="000000"/>
                      <w:sz w:val="21"/>
                      <w:szCs w:val="21"/>
                      <w:u w:val="none"/>
                      <w:lang w:val="en-US" w:eastAsia="zh-CN"/>
                    </w:rPr>
                    <w:t>点开发区域</w:t>
                  </w:r>
                </w:p>
              </w:tc>
              <w:tc>
                <w:tcPr>
                  <w:tcW w:w="1197" w:type="pct"/>
                  <w:gridSpan w:val="2"/>
                  <w:noWrap w:val="0"/>
                  <w:vAlign w:val="center"/>
                </w:tcPr>
                <w:p w14:paraId="3DB1FBC3">
                  <w:pPr>
                    <w:spacing w:line="240" w:lineRule="auto"/>
                    <w:ind w:firstLine="0" w:firstLineChars="0"/>
                    <w:jc w:val="left"/>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朝阳街道：农业、旅游业、农副产品加工业、物流。</w:t>
                  </w:r>
                </w:p>
                <w:p w14:paraId="26B3D1F8">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 xml:space="preserve">接履桥街道：农业、养殖业、旅游业、农副 产品加工业、物流等。 </w:t>
                  </w:r>
                </w:p>
                <w:p w14:paraId="5A3E839F">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 xml:space="preserve">南津渡街道：旅游业、农业、农副产品加工。 </w:t>
                  </w:r>
                </w:p>
                <w:p w14:paraId="3C41D8AC">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 xml:space="preserve">七里店街道：农业、旅游业。 </w:t>
                  </w:r>
                </w:p>
                <w:p w14:paraId="74132321">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徐家井街道：商贸等第三产业。</w:t>
                  </w:r>
                </w:p>
                <w:p w14:paraId="2F218AB4">
                  <w:pPr>
                    <w:spacing w:line="240" w:lineRule="auto"/>
                    <w:ind w:firstLine="0" w:firstLineChars="0"/>
                    <w:jc w:val="left"/>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石山脚街道：零陵工业园以外区域发展农业、养殖业、旅游业、农副产品加工业等。</w:t>
                  </w:r>
                </w:p>
              </w:tc>
              <w:tc>
                <w:tcPr>
                  <w:tcW w:w="671" w:type="pct"/>
                  <w:noWrap w:val="0"/>
                  <w:vAlign w:val="center"/>
                </w:tcPr>
                <w:p w14:paraId="1B4666FF">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 xml:space="preserve">朝阳街道、南津渡街道：部分餐饮店油烟处理不到位。 </w:t>
                  </w:r>
                </w:p>
                <w:p w14:paraId="73E4103E">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接履桥街道：农村秸秆焚烧。</w:t>
                  </w:r>
                </w:p>
                <w:p w14:paraId="75E85641">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七里店街道、徐家井街道、石山脚街道：无明显环境问</w:t>
                  </w:r>
                </w:p>
                <w:p w14:paraId="560B9446">
                  <w:pPr>
                    <w:spacing w:line="240" w:lineRule="auto"/>
                    <w:ind w:firstLine="0" w:firstLineChars="0"/>
                    <w:jc w:val="center"/>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题。</w:t>
                  </w:r>
                </w:p>
                <w:p w14:paraId="2D499D02">
                  <w:pPr>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p>
              </w:tc>
            </w:tr>
            <w:tr w14:paraId="1EBA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10" w:type="pct"/>
                  <w:noWrap w:val="0"/>
                  <w:vAlign w:val="center"/>
                </w:tcPr>
                <w:p w14:paraId="485509E7">
                  <w:pPr>
                    <w:spacing w:line="240" w:lineRule="auto"/>
                    <w:ind w:firstLine="0" w:firstLineChars="0"/>
                    <w:jc w:val="center"/>
                    <w:rPr>
                      <w:rFonts w:hint="eastAsia"/>
                      <w:color w:val="000000"/>
                      <w:sz w:val="21"/>
                      <w:szCs w:val="21"/>
                      <w:u w:val="none"/>
                    </w:rPr>
                  </w:pPr>
                  <w:r>
                    <w:rPr>
                      <w:rFonts w:hint="eastAsia"/>
                      <w:b/>
                      <w:bCs/>
                      <w:color w:val="000000"/>
                      <w:sz w:val="21"/>
                      <w:szCs w:val="21"/>
                      <w:u w:val="none"/>
                    </w:rPr>
                    <w:t>主要属性</w:t>
                  </w:r>
                </w:p>
              </w:tc>
              <w:tc>
                <w:tcPr>
                  <w:tcW w:w="4589" w:type="pct"/>
                  <w:gridSpan w:val="11"/>
                  <w:noWrap w:val="0"/>
                  <w:vAlign w:val="center"/>
                </w:tcPr>
                <w:p w14:paraId="1A59CA53">
                  <w:pPr>
                    <w:spacing w:line="240" w:lineRule="auto"/>
                    <w:ind w:firstLine="0" w:firstLineChars="0"/>
                    <w:jc w:val="left"/>
                    <w:rPr>
                      <w:rFonts w:hint="eastAsia"/>
                      <w:color w:val="000000"/>
                      <w:sz w:val="21"/>
                      <w:szCs w:val="21"/>
                      <w:u w:val="none"/>
                    </w:rPr>
                  </w:pPr>
                  <w:r>
                    <w:rPr>
                      <w:rFonts w:hint="eastAsia" w:ascii="Times New Roman" w:hAnsi="Times New Roman" w:eastAsia="宋体" w:cs="Times New Roman"/>
                      <w:b/>
                      <w:bCs/>
                      <w:color w:val="000000"/>
                      <w:sz w:val="21"/>
                      <w:szCs w:val="21"/>
                      <w:u w:val="none"/>
                      <w:lang w:val="en-US" w:eastAsia="zh-CN"/>
                    </w:rPr>
                    <w:t>接履桥街道：</w:t>
                  </w:r>
                  <w:r>
                    <w:rPr>
                      <w:rFonts w:hint="eastAsia" w:ascii="Times New Roman" w:hAnsi="Times New Roman" w:eastAsia="宋体" w:cs="Times New Roman"/>
                      <w:color w:val="000000"/>
                      <w:sz w:val="21"/>
                      <w:szCs w:val="21"/>
                      <w:u w:val="none"/>
                      <w:lang w:val="en-US" w:eastAsia="zh-CN"/>
                    </w:rPr>
                    <w:t>生态保护红线</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一般生态空间</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石漠化敏感区</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水源涵养重要区</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；水环境一般管控区；大气环境受体敏感重点管控区</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大气环境一般管控区；农用地优先保护区</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土壤污染风险一般管控区；高污染燃料禁燃区；城市规划区。</w:t>
                  </w:r>
                </w:p>
              </w:tc>
            </w:tr>
            <w:tr w14:paraId="0EF1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noWrap w:val="0"/>
                  <w:vAlign w:val="center"/>
                </w:tcPr>
                <w:p w14:paraId="1CDA516D">
                  <w:pPr>
                    <w:spacing w:line="240" w:lineRule="auto"/>
                    <w:ind w:firstLine="0" w:firstLineChars="0"/>
                    <w:jc w:val="center"/>
                    <w:rPr>
                      <w:b/>
                      <w:bCs/>
                      <w:color w:val="000000"/>
                      <w:sz w:val="21"/>
                      <w:szCs w:val="21"/>
                      <w:u w:val="none"/>
                    </w:rPr>
                  </w:pPr>
                  <w:r>
                    <w:rPr>
                      <w:rFonts w:hint="eastAsia"/>
                      <w:b/>
                      <w:bCs/>
                      <w:color w:val="000000"/>
                      <w:sz w:val="21"/>
                      <w:szCs w:val="21"/>
                      <w:u w:val="none"/>
                    </w:rPr>
                    <w:t>管控维度</w:t>
                  </w:r>
                </w:p>
              </w:tc>
              <w:tc>
                <w:tcPr>
                  <w:tcW w:w="2832" w:type="pct"/>
                  <w:gridSpan w:val="9"/>
                  <w:noWrap w:val="0"/>
                  <w:vAlign w:val="center"/>
                </w:tcPr>
                <w:p w14:paraId="60656C70">
                  <w:pPr>
                    <w:spacing w:line="240" w:lineRule="auto"/>
                    <w:ind w:firstLine="0" w:firstLineChars="0"/>
                    <w:jc w:val="center"/>
                    <w:rPr>
                      <w:b/>
                      <w:bCs/>
                      <w:color w:val="000000"/>
                      <w:sz w:val="21"/>
                      <w:szCs w:val="21"/>
                      <w:u w:val="none"/>
                    </w:rPr>
                  </w:pPr>
                  <w:r>
                    <w:rPr>
                      <w:rFonts w:hint="eastAsia"/>
                      <w:b/>
                      <w:bCs/>
                      <w:color w:val="000000"/>
                      <w:sz w:val="21"/>
                      <w:szCs w:val="21"/>
                      <w:u w:val="none"/>
                    </w:rPr>
                    <w:t>管控要求</w:t>
                  </w:r>
                </w:p>
              </w:tc>
              <w:tc>
                <w:tcPr>
                  <w:tcW w:w="1085" w:type="pct"/>
                  <w:noWrap w:val="0"/>
                  <w:vAlign w:val="center"/>
                </w:tcPr>
                <w:p w14:paraId="0FEF9913">
                  <w:pPr>
                    <w:spacing w:line="240" w:lineRule="auto"/>
                    <w:ind w:firstLine="0" w:firstLineChars="0"/>
                    <w:jc w:val="center"/>
                    <w:rPr>
                      <w:b/>
                      <w:bCs/>
                      <w:color w:val="000000"/>
                      <w:sz w:val="21"/>
                      <w:szCs w:val="21"/>
                      <w:u w:val="none"/>
                    </w:rPr>
                  </w:pPr>
                  <w:r>
                    <w:rPr>
                      <w:rFonts w:hint="eastAsia"/>
                      <w:b/>
                      <w:bCs/>
                      <w:color w:val="000000"/>
                      <w:sz w:val="21"/>
                      <w:szCs w:val="21"/>
                      <w:u w:val="none"/>
                    </w:rPr>
                    <w:t>本项目情况</w:t>
                  </w:r>
                </w:p>
              </w:tc>
              <w:tc>
                <w:tcPr>
                  <w:tcW w:w="671" w:type="pct"/>
                  <w:noWrap w:val="0"/>
                  <w:vAlign w:val="center"/>
                </w:tcPr>
                <w:p w14:paraId="0108BE72">
                  <w:pPr>
                    <w:spacing w:line="240" w:lineRule="auto"/>
                    <w:ind w:firstLine="0" w:firstLineChars="0"/>
                    <w:jc w:val="center"/>
                    <w:rPr>
                      <w:b/>
                      <w:bCs/>
                      <w:color w:val="000000"/>
                      <w:sz w:val="21"/>
                      <w:szCs w:val="21"/>
                      <w:u w:val="none"/>
                    </w:rPr>
                  </w:pPr>
                  <w:r>
                    <w:rPr>
                      <w:rFonts w:hint="eastAsia"/>
                      <w:b/>
                      <w:bCs/>
                      <w:color w:val="000000"/>
                      <w:sz w:val="21"/>
                      <w:szCs w:val="21"/>
                      <w:u w:val="none"/>
                    </w:rPr>
                    <w:t>相符性</w:t>
                  </w:r>
                </w:p>
              </w:tc>
            </w:tr>
            <w:tr w14:paraId="0544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noWrap w:val="0"/>
                  <w:vAlign w:val="center"/>
                </w:tcPr>
                <w:p w14:paraId="6672C05C">
                  <w:pPr>
                    <w:spacing w:line="240" w:lineRule="auto"/>
                    <w:ind w:firstLine="0" w:firstLineChars="0"/>
                    <w:jc w:val="center"/>
                    <w:rPr>
                      <w:b/>
                      <w:bCs/>
                      <w:color w:val="000000"/>
                      <w:sz w:val="21"/>
                      <w:szCs w:val="21"/>
                      <w:u w:val="none"/>
                    </w:rPr>
                  </w:pPr>
                  <w:r>
                    <w:rPr>
                      <w:rFonts w:hint="eastAsia"/>
                      <w:b/>
                      <w:bCs/>
                      <w:color w:val="000000"/>
                      <w:sz w:val="21"/>
                      <w:szCs w:val="21"/>
                      <w:u w:val="none"/>
                    </w:rPr>
                    <w:t>空间布局约束</w:t>
                  </w:r>
                </w:p>
              </w:tc>
              <w:tc>
                <w:tcPr>
                  <w:tcW w:w="2832" w:type="pct"/>
                  <w:gridSpan w:val="9"/>
                  <w:noWrap w:val="0"/>
                  <w:vAlign w:val="center"/>
                </w:tcPr>
                <w:p w14:paraId="4C0BC239">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1.1</w:t>
                  </w:r>
                  <w:r>
                    <w:rPr>
                      <w:rFonts w:hint="eastAsia" w:ascii="Times New Roman" w:hAnsi="Times New Roman" w:eastAsia="宋体" w:cs="Times New Roman"/>
                      <w:color w:val="000000"/>
                      <w:sz w:val="21"/>
                      <w:szCs w:val="21"/>
                      <w:u w:val="none"/>
                      <w:lang w:val="en-US" w:eastAsia="zh-CN"/>
                    </w:rPr>
                    <w:t>）永州市零陵区潇水饮用水水源保护区：严格控制旅游、航运、项目建设等开发行为，禁止燃油船舶在饮用水源保护区内游玩，严格控制二级保护区范围内新上旅游开发项目。禁止在南津渡水厂、娘子岭水厂取水口上游</w:t>
                  </w:r>
                  <w:r>
                    <w:rPr>
                      <w:rFonts w:hint="default" w:ascii="Times New Roman" w:hAnsi="Times New Roman" w:eastAsia="宋体" w:cs="Times New Roman"/>
                      <w:color w:val="000000"/>
                      <w:sz w:val="21"/>
                      <w:szCs w:val="21"/>
                      <w:u w:val="none"/>
                      <w:lang w:val="en-US" w:eastAsia="zh-CN"/>
                    </w:rPr>
                    <w:t>1000</w:t>
                  </w:r>
                  <w:r>
                    <w:rPr>
                      <w:rFonts w:hint="eastAsia" w:ascii="Times New Roman" w:hAnsi="Times New Roman" w:eastAsia="宋体" w:cs="Times New Roman"/>
                      <w:color w:val="000000"/>
                      <w:sz w:val="21"/>
                      <w:szCs w:val="21"/>
                      <w:u w:val="none"/>
                      <w:lang w:val="en-US" w:eastAsia="zh-CN"/>
                    </w:rPr>
                    <w:t>米，下游</w:t>
                  </w:r>
                  <w:r>
                    <w:rPr>
                      <w:rFonts w:hint="default" w:ascii="Times New Roman" w:hAnsi="Times New Roman" w:eastAsia="宋体" w:cs="Times New Roman"/>
                      <w:color w:val="000000"/>
                      <w:sz w:val="21"/>
                      <w:szCs w:val="21"/>
                      <w:u w:val="none"/>
                      <w:lang w:val="en-US" w:eastAsia="zh-CN"/>
                    </w:rPr>
                    <w:t>200</w:t>
                  </w:r>
                  <w:r>
                    <w:rPr>
                      <w:rFonts w:hint="eastAsia" w:ascii="Times New Roman" w:hAnsi="Times New Roman" w:eastAsia="宋体" w:cs="Times New Roman"/>
                      <w:color w:val="000000"/>
                      <w:sz w:val="21"/>
                      <w:szCs w:val="21"/>
                      <w:u w:val="none"/>
                      <w:lang w:val="en-US" w:eastAsia="zh-CN"/>
                    </w:rPr>
                    <w:t xml:space="preserve">米范围内垂钓、停泊渔船和电鱼捕鱼。 </w:t>
                  </w:r>
                </w:p>
                <w:p w14:paraId="40726DE3">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1.2</w:t>
                  </w:r>
                  <w:r>
                    <w:rPr>
                      <w:rFonts w:hint="eastAsia" w:ascii="Times New Roman" w:hAnsi="Times New Roman" w:eastAsia="宋体" w:cs="Times New Roman"/>
                      <w:color w:val="000000"/>
                      <w:sz w:val="21"/>
                      <w:szCs w:val="21"/>
                      <w:u w:val="none"/>
                      <w:lang w:val="en-US" w:eastAsia="zh-CN"/>
                    </w:rPr>
                    <w:t xml:space="preserve">）湖南零陵潇水国家湿地公园：湿地公园内不得设立开发区、度假区。禁止擅自在水面设置竹箔等障碍物，禁止非法引进外来物种或擅自放生，确需修建相关工程的，应当进行科学论证、评估，并征求相关部门的意见。已退耕还湿的地域禁止新建居民点或者其他永久性建筑物、构筑物。湿地公园管理局划定的植被恢复区，禁止放牧和种植。 </w:t>
                  </w:r>
                </w:p>
                <w:p w14:paraId="44BB9EC8">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1.3</w:t>
                  </w:r>
                  <w:r>
                    <w:rPr>
                      <w:rFonts w:hint="eastAsia" w:ascii="Times New Roman" w:hAnsi="Times New Roman" w:eastAsia="宋体" w:cs="Times New Roman"/>
                      <w:color w:val="000000"/>
                      <w:sz w:val="21"/>
                      <w:szCs w:val="21"/>
                      <w:u w:val="none"/>
                      <w:lang w:val="en-US" w:eastAsia="zh-CN"/>
                    </w:rPr>
                    <w:t>）畜禽养殖布局应符合《零陵区畜禽规模养殖</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三区</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划定方案》。</w:t>
                  </w:r>
                </w:p>
              </w:tc>
              <w:tc>
                <w:tcPr>
                  <w:tcW w:w="1085" w:type="pct"/>
                  <w:noWrap w:val="0"/>
                  <w:vAlign w:val="center"/>
                </w:tcPr>
                <w:p w14:paraId="605E3CAC">
                  <w:pPr>
                    <w:spacing w:line="240" w:lineRule="auto"/>
                    <w:ind w:firstLine="0" w:firstLineChars="0"/>
                    <w:jc w:val="left"/>
                    <w:rPr>
                      <w:rFonts w:hint="eastAsia" w:eastAsia="宋体"/>
                      <w:color w:val="000000"/>
                      <w:sz w:val="21"/>
                      <w:szCs w:val="21"/>
                      <w:u w:val="none"/>
                      <w:lang w:val="en-US" w:eastAsia="zh-CN"/>
                    </w:rPr>
                  </w:pPr>
                  <w:r>
                    <w:rPr>
                      <w:rFonts w:hint="eastAsia"/>
                      <w:color w:val="000000"/>
                      <w:sz w:val="21"/>
                      <w:szCs w:val="21"/>
                      <w:u w:val="none"/>
                      <w:lang w:val="en-US" w:eastAsia="zh-CN"/>
                    </w:rPr>
                    <w:t>本项目位于</w:t>
                  </w:r>
                  <w:r>
                    <w:rPr>
                      <w:rFonts w:hint="default" w:ascii="Times New Roman" w:hAnsi="Times New Roman" w:eastAsia="宋体" w:cs="Times New Roman"/>
                      <w:color w:val="000000"/>
                      <w:sz w:val="21"/>
                      <w:szCs w:val="21"/>
                      <w:u w:val="none"/>
                      <w:lang w:eastAsia="zh-CN"/>
                    </w:rPr>
                    <w:t>永州市</w:t>
                  </w:r>
                  <w:r>
                    <w:rPr>
                      <w:rFonts w:hint="eastAsia" w:ascii="Times New Roman" w:hAnsi="Times New Roman" w:cs="Times New Roman"/>
                      <w:color w:val="000000"/>
                      <w:sz w:val="21"/>
                      <w:szCs w:val="21"/>
                      <w:u w:val="none"/>
                      <w:lang w:eastAsia="zh-CN"/>
                    </w:rPr>
                    <w:t>零陵区接履桥镇潇湘汽车城</w:t>
                  </w:r>
                  <w:r>
                    <w:rPr>
                      <w:rFonts w:hint="eastAsia" w:ascii="Times New Roman" w:hAnsi="Times New Roman" w:eastAsia="宋体" w:cs="Times New Roman"/>
                      <w:color w:val="000000"/>
                      <w:sz w:val="21"/>
                      <w:szCs w:val="21"/>
                      <w:u w:val="none"/>
                      <w:lang w:val="en-US" w:eastAsia="zh-CN"/>
                    </w:rPr>
                    <w:t>，不在永州市零陵区潇水饮用水水源保护区、湖南零陵潇水国家湿地公园范围内</w:t>
                  </w:r>
                  <w:r>
                    <w:rPr>
                      <w:rFonts w:hint="eastAsia"/>
                      <w:color w:val="000000"/>
                      <w:sz w:val="21"/>
                      <w:szCs w:val="21"/>
                      <w:u w:val="none"/>
                    </w:rPr>
                    <w:t>。</w:t>
                  </w:r>
                </w:p>
              </w:tc>
              <w:tc>
                <w:tcPr>
                  <w:tcW w:w="671" w:type="pct"/>
                  <w:noWrap w:val="0"/>
                  <w:vAlign w:val="center"/>
                </w:tcPr>
                <w:p w14:paraId="41DEF8AA">
                  <w:pPr>
                    <w:spacing w:line="240" w:lineRule="auto"/>
                    <w:ind w:firstLine="0" w:firstLineChars="0"/>
                    <w:jc w:val="center"/>
                    <w:rPr>
                      <w:color w:val="000000"/>
                      <w:sz w:val="21"/>
                      <w:szCs w:val="21"/>
                      <w:u w:val="none"/>
                    </w:rPr>
                  </w:pPr>
                  <w:r>
                    <w:rPr>
                      <w:rFonts w:hint="eastAsia"/>
                      <w:color w:val="000000"/>
                      <w:sz w:val="21"/>
                      <w:szCs w:val="21"/>
                      <w:u w:val="none"/>
                    </w:rPr>
                    <w:t>相符</w:t>
                  </w:r>
                </w:p>
              </w:tc>
            </w:tr>
            <w:tr w14:paraId="3C98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noWrap w:val="0"/>
                  <w:vAlign w:val="center"/>
                </w:tcPr>
                <w:p w14:paraId="3FD177F3">
                  <w:pPr>
                    <w:spacing w:line="240" w:lineRule="auto"/>
                    <w:ind w:firstLine="0" w:firstLineChars="0"/>
                    <w:jc w:val="center"/>
                    <w:rPr>
                      <w:b/>
                      <w:bCs/>
                      <w:color w:val="000000"/>
                      <w:sz w:val="21"/>
                      <w:szCs w:val="21"/>
                      <w:u w:val="none"/>
                    </w:rPr>
                  </w:pPr>
                  <w:r>
                    <w:rPr>
                      <w:rFonts w:hint="eastAsia"/>
                      <w:b/>
                      <w:bCs/>
                      <w:color w:val="000000"/>
                      <w:sz w:val="21"/>
                      <w:szCs w:val="21"/>
                      <w:u w:val="none"/>
                    </w:rPr>
                    <w:t>污染物排放管控</w:t>
                  </w:r>
                </w:p>
              </w:tc>
              <w:tc>
                <w:tcPr>
                  <w:tcW w:w="2832" w:type="pct"/>
                  <w:gridSpan w:val="9"/>
                  <w:noWrap w:val="0"/>
                  <w:vAlign w:val="center"/>
                </w:tcPr>
                <w:p w14:paraId="3EB8476F">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2.1</w:t>
                  </w:r>
                  <w:r>
                    <w:rPr>
                      <w:rFonts w:hint="eastAsia" w:ascii="Times New Roman" w:hAnsi="Times New Roman" w:eastAsia="宋体" w:cs="Times New Roman"/>
                      <w:color w:val="000000"/>
                      <w:sz w:val="21"/>
                      <w:szCs w:val="21"/>
                      <w:u w:val="none"/>
                      <w:lang w:val="en-US" w:eastAsia="zh-CN"/>
                    </w:rPr>
                    <w:t xml:space="preserve">）湖南零陵潇水国家湿地公园：禁止任意存储固体废弃物，对农用薄膜和渔网等不可降解的废弃物，使用者应当采取回收利用等措施。湿地公园内航行的船舶，应当配置符合国家规定的防污设备，不得排放污染物、生活污水及固体垃圾。 </w:t>
                  </w:r>
                </w:p>
                <w:p w14:paraId="2C736849">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2.2</w:t>
                  </w:r>
                  <w:r>
                    <w:rPr>
                      <w:rFonts w:hint="eastAsia" w:ascii="Times New Roman" w:hAnsi="Times New Roman" w:eastAsia="宋体" w:cs="Times New Roman"/>
                      <w:color w:val="000000"/>
                      <w:sz w:val="21"/>
                      <w:szCs w:val="21"/>
                      <w:u w:val="none"/>
                      <w:lang w:val="en-US" w:eastAsia="zh-CN"/>
                    </w:rPr>
                    <w:t xml:space="preserve">）所有江河水库全部退出承包经营，采取“人放天养”生态养殖模式，力保水源水质达标。 </w:t>
                  </w:r>
                </w:p>
                <w:p w14:paraId="06704EFF">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2.3</w:t>
                  </w:r>
                  <w:r>
                    <w:rPr>
                      <w:rFonts w:hint="eastAsia" w:ascii="Times New Roman" w:hAnsi="Times New Roman" w:eastAsia="宋体" w:cs="Times New Roman"/>
                      <w:color w:val="000000"/>
                      <w:sz w:val="21"/>
                      <w:szCs w:val="21"/>
                      <w:u w:val="none"/>
                      <w:lang w:val="en-US" w:eastAsia="zh-CN"/>
                    </w:rPr>
                    <w:t xml:space="preserve">）石山脚街道：新建、改建、扩建规模化畜禽养殖场（小区）要实施雨污分流、粪便污水资源化利用，散养密集区要实行畜禽粪便污水分户收集、集中处理利用。 </w:t>
                  </w:r>
                </w:p>
                <w:p w14:paraId="2F52968E">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2.4</w:t>
                  </w:r>
                  <w:r>
                    <w:rPr>
                      <w:rFonts w:hint="eastAsia" w:ascii="Times New Roman" w:hAnsi="Times New Roman" w:eastAsia="宋体" w:cs="Times New Roman"/>
                      <w:color w:val="000000"/>
                      <w:sz w:val="21"/>
                      <w:szCs w:val="21"/>
                      <w:u w:val="none"/>
                      <w:lang w:val="en-US" w:eastAsia="zh-CN"/>
                    </w:rPr>
                    <w:t>）重点餐饮经营场所</w:t>
                  </w:r>
                  <w:r>
                    <w:rPr>
                      <w:rFonts w:hint="default" w:ascii="Times New Roman" w:hAnsi="Times New Roman" w:eastAsia="宋体" w:cs="Times New Roman"/>
                      <w:color w:val="000000"/>
                      <w:sz w:val="21"/>
                      <w:szCs w:val="21"/>
                      <w:u w:val="none"/>
                      <w:lang w:val="en-US" w:eastAsia="zh-CN"/>
                    </w:rPr>
                    <w:t>(6</w:t>
                  </w:r>
                  <w:r>
                    <w:rPr>
                      <w:rFonts w:hint="eastAsia" w:ascii="Times New Roman" w:hAnsi="Times New Roman" w:eastAsia="宋体" w:cs="Times New Roman"/>
                      <w:color w:val="000000"/>
                      <w:sz w:val="21"/>
                      <w:szCs w:val="21"/>
                      <w:u w:val="none"/>
                      <w:lang w:val="en-US" w:eastAsia="zh-CN"/>
                    </w:rPr>
                    <w:t>个灶头以上</w:t>
                  </w:r>
                  <w:r>
                    <w:rPr>
                      <w:rFonts w:hint="default" w:ascii="Times New Roman" w:hAnsi="Times New Roman" w:eastAsia="宋体" w:cs="Times New Roman"/>
                      <w:color w:val="000000"/>
                      <w:sz w:val="21"/>
                      <w:szCs w:val="21"/>
                      <w:u w:val="none"/>
                      <w:lang w:val="en-US" w:eastAsia="zh-CN"/>
                    </w:rPr>
                    <w:t>)</w:t>
                  </w:r>
                  <w:r>
                    <w:rPr>
                      <w:rFonts w:hint="eastAsia" w:ascii="Times New Roman" w:hAnsi="Times New Roman" w:eastAsia="宋体" w:cs="Times New Roman"/>
                      <w:color w:val="000000"/>
                      <w:sz w:val="21"/>
                      <w:szCs w:val="21"/>
                      <w:u w:val="none"/>
                      <w:lang w:val="en-US" w:eastAsia="zh-CN"/>
                    </w:rPr>
                    <w:t xml:space="preserve">全部要求安装高效油烟净化设施，实现油气分离，确保油烟达标排放，逐步推广到中小型餐饮经营场所。禁止露天无序烧烤。 </w:t>
                  </w:r>
                </w:p>
                <w:p w14:paraId="3DDFE5B9">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2.5</w:t>
                  </w:r>
                  <w:r>
                    <w:rPr>
                      <w:rFonts w:hint="eastAsia" w:ascii="Times New Roman" w:hAnsi="Times New Roman" w:eastAsia="宋体" w:cs="Times New Roman"/>
                      <w:color w:val="000000"/>
                      <w:sz w:val="21"/>
                      <w:szCs w:val="21"/>
                      <w:u w:val="none"/>
                      <w:lang w:val="en-US" w:eastAsia="zh-CN"/>
                    </w:rPr>
                    <w:t>）严格执行《永州市人民政府关于中心城区全面禁止燃放烟花爆竹的通告》（永政函〔</w:t>
                  </w:r>
                  <w:r>
                    <w:rPr>
                      <w:rFonts w:hint="default" w:ascii="Times New Roman" w:hAnsi="Times New Roman" w:eastAsia="宋体" w:cs="Times New Roman"/>
                      <w:color w:val="000000"/>
                      <w:sz w:val="21"/>
                      <w:szCs w:val="21"/>
                      <w:u w:val="none"/>
                      <w:lang w:val="en-US" w:eastAsia="zh-CN"/>
                    </w:rPr>
                    <w:t>2016</w:t>
                  </w:r>
                  <w:r>
                    <w:rPr>
                      <w:rFonts w:hint="eastAsia" w:ascii="Times New Roman" w:hAnsi="Times New Roman" w:eastAsia="宋体" w:cs="Times New Roman"/>
                      <w:color w:val="000000"/>
                      <w:sz w:val="21"/>
                      <w:szCs w:val="21"/>
                      <w:u w:val="none"/>
                      <w:lang w:val="en-US" w:eastAsia="zh-CN"/>
                    </w:rPr>
                    <w:t xml:space="preserve">〕 </w:t>
                  </w:r>
                </w:p>
                <w:p w14:paraId="750BC672">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 xml:space="preserve">282 </w:t>
                  </w:r>
                  <w:r>
                    <w:rPr>
                      <w:rFonts w:hint="eastAsia" w:ascii="Times New Roman" w:hAnsi="Times New Roman" w:eastAsia="宋体" w:cs="Times New Roman"/>
                      <w:color w:val="000000"/>
                      <w:sz w:val="21"/>
                      <w:szCs w:val="21"/>
                      <w:u w:val="none"/>
                      <w:lang w:val="en-US" w:eastAsia="zh-CN"/>
                    </w:rPr>
                    <w:t xml:space="preserve">号），全面禁止燃放烟花爆竹，全面取缔禁燃范围内违规销售烟花爆竹网点。 </w:t>
                  </w:r>
                </w:p>
                <w:p w14:paraId="63222853">
                  <w:pPr>
                    <w:spacing w:line="240" w:lineRule="auto"/>
                    <w:ind w:firstLine="0" w:firstLineChars="0"/>
                    <w:jc w:val="left"/>
                    <w:rPr>
                      <w:rFonts w:hint="eastAsia"/>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2.6</w:t>
                  </w:r>
                  <w:r>
                    <w:rPr>
                      <w:rFonts w:hint="eastAsia" w:ascii="Times New Roman" w:hAnsi="Times New Roman" w:eastAsia="宋体" w:cs="Times New Roman"/>
                      <w:color w:val="000000"/>
                      <w:sz w:val="21"/>
                      <w:szCs w:val="21"/>
                      <w:u w:val="none"/>
                      <w:lang w:val="en-US" w:eastAsia="zh-CN"/>
                    </w:rPr>
                    <w:t>）推进秸秆回收利用和处置，禁止露天焚烧秸秆。</w:t>
                  </w:r>
                </w:p>
              </w:tc>
              <w:tc>
                <w:tcPr>
                  <w:tcW w:w="1085" w:type="pct"/>
                  <w:noWrap w:val="0"/>
                  <w:vAlign w:val="center"/>
                </w:tcPr>
                <w:p w14:paraId="3F795053">
                  <w:pPr>
                    <w:spacing w:line="240" w:lineRule="auto"/>
                    <w:ind w:firstLine="0" w:firstLineChars="0"/>
                    <w:jc w:val="left"/>
                    <w:rPr>
                      <w:rFonts w:hint="default"/>
                      <w:color w:val="000000"/>
                      <w:sz w:val="21"/>
                      <w:szCs w:val="21"/>
                      <w:u w:val="none"/>
                      <w:lang w:val="en-US"/>
                    </w:rPr>
                  </w:pPr>
                  <w:r>
                    <w:rPr>
                      <w:rFonts w:hint="eastAsia"/>
                      <w:color w:val="000000"/>
                      <w:sz w:val="21"/>
                      <w:szCs w:val="21"/>
                      <w:u w:val="none"/>
                    </w:rPr>
                    <w:t>本项目</w:t>
                  </w:r>
                  <w:r>
                    <w:rPr>
                      <w:rFonts w:hint="eastAsia" w:ascii="Times New Roman" w:hAnsi="Times New Roman" w:eastAsia="宋体" w:cs="Times New Roman"/>
                      <w:color w:val="000000"/>
                      <w:sz w:val="21"/>
                      <w:szCs w:val="21"/>
                      <w:u w:val="none"/>
                      <w:lang w:val="en-US" w:eastAsia="zh-CN"/>
                    </w:rPr>
                    <w:t>不在湖南零陵潇水国家湿地公园范围内，不属于规模化畜禽养殖场、重点餐饮经营场所、不进行露天焚烧秸秆。</w:t>
                  </w:r>
                </w:p>
              </w:tc>
              <w:tc>
                <w:tcPr>
                  <w:tcW w:w="671" w:type="pct"/>
                  <w:noWrap w:val="0"/>
                  <w:vAlign w:val="center"/>
                </w:tcPr>
                <w:p w14:paraId="3E33E27A">
                  <w:pPr>
                    <w:spacing w:line="240" w:lineRule="auto"/>
                    <w:ind w:firstLine="0" w:firstLineChars="0"/>
                    <w:jc w:val="center"/>
                    <w:rPr>
                      <w:color w:val="000000"/>
                      <w:sz w:val="21"/>
                      <w:szCs w:val="21"/>
                      <w:u w:val="none"/>
                    </w:rPr>
                  </w:pPr>
                  <w:r>
                    <w:rPr>
                      <w:rFonts w:hint="eastAsia"/>
                      <w:color w:val="000000"/>
                      <w:sz w:val="21"/>
                      <w:szCs w:val="21"/>
                      <w:u w:val="none"/>
                    </w:rPr>
                    <w:t>相符</w:t>
                  </w:r>
                </w:p>
              </w:tc>
            </w:tr>
            <w:tr w14:paraId="0649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noWrap w:val="0"/>
                  <w:vAlign w:val="center"/>
                </w:tcPr>
                <w:p w14:paraId="67722299">
                  <w:pPr>
                    <w:spacing w:line="240" w:lineRule="auto"/>
                    <w:ind w:firstLine="0" w:firstLineChars="0"/>
                    <w:jc w:val="center"/>
                    <w:rPr>
                      <w:b/>
                      <w:bCs/>
                      <w:color w:val="000000"/>
                      <w:sz w:val="21"/>
                      <w:szCs w:val="21"/>
                      <w:u w:val="none"/>
                    </w:rPr>
                  </w:pPr>
                  <w:r>
                    <w:rPr>
                      <w:rFonts w:hint="eastAsia"/>
                      <w:b/>
                      <w:bCs/>
                      <w:color w:val="000000"/>
                      <w:sz w:val="21"/>
                      <w:szCs w:val="21"/>
                      <w:u w:val="none"/>
                    </w:rPr>
                    <w:t>环境风险防控</w:t>
                  </w:r>
                </w:p>
              </w:tc>
              <w:tc>
                <w:tcPr>
                  <w:tcW w:w="2832" w:type="pct"/>
                  <w:gridSpan w:val="9"/>
                  <w:noWrap w:val="0"/>
                  <w:vAlign w:val="center"/>
                </w:tcPr>
                <w:p w14:paraId="47F99ABE">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3.1</w:t>
                  </w:r>
                  <w:r>
                    <w:rPr>
                      <w:rFonts w:hint="eastAsia" w:ascii="Times New Roman" w:hAnsi="Times New Roman" w:eastAsia="宋体" w:cs="Times New Roman"/>
                      <w:color w:val="000000"/>
                      <w:sz w:val="21"/>
                      <w:szCs w:val="21"/>
                      <w:u w:val="none"/>
                      <w:lang w:val="en-US" w:eastAsia="zh-CN"/>
                    </w:rPr>
                    <w:t>）执行湖南省总体要求、永州市基本要求中与环境风险防控有关的规定。</w:t>
                  </w:r>
                </w:p>
              </w:tc>
              <w:tc>
                <w:tcPr>
                  <w:tcW w:w="1085" w:type="pct"/>
                  <w:noWrap w:val="0"/>
                  <w:vAlign w:val="center"/>
                </w:tcPr>
                <w:p w14:paraId="12E37F6F">
                  <w:pPr>
                    <w:spacing w:line="240" w:lineRule="auto"/>
                    <w:ind w:firstLine="0" w:firstLineChars="0"/>
                    <w:jc w:val="left"/>
                    <w:rPr>
                      <w:color w:val="000000"/>
                      <w:sz w:val="21"/>
                      <w:szCs w:val="21"/>
                      <w:u w:val="none"/>
                    </w:rPr>
                  </w:pPr>
                  <w:r>
                    <w:rPr>
                      <w:rFonts w:hint="eastAsia"/>
                      <w:color w:val="000000"/>
                      <w:sz w:val="21"/>
                      <w:szCs w:val="21"/>
                      <w:u w:val="none"/>
                    </w:rPr>
                    <w:t>本项目</w:t>
                  </w:r>
                  <w:r>
                    <w:rPr>
                      <w:rFonts w:hint="eastAsia" w:eastAsia="宋体"/>
                      <w:color w:val="000000"/>
                      <w:sz w:val="21"/>
                      <w:szCs w:val="21"/>
                      <w:u w:val="none"/>
                      <w:lang w:eastAsia="zh-CN"/>
                    </w:rPr>
                    <w:t>严格</w:t>
                  </w:r>
                  <w:r>
                    <w:rPr>
                      <w:rFonts w:hint="eastAsia"/>
                      <w:color w:val="000000"/>
                      <w:sz w:val="21"/>
                      <w:szCs w:val="21"/>
                      <w:u w:val="none"/>
                    </w:rPr>
                    <w:t>执行永州市环境风险防控有关的规定。</w:t>
                  </w:r>
                </w:p>
              </w:tc>
              <w:tc>
                <w:tcPr>
                  <w:tcW w:w="671" w:type="pct"/>
                  <w:noWrap w:val="0"/>
                  <w:vAlign w:val="center"/>
                </w:tcPr>
                <w:p w14:paraId="51320BB3">
                  <w:pPr>
                    <w:spacing w:line="240" w:lineRule="auto"/>
                    <w:ind w:firstLine="0" w:firstLineChars="0"/>
                    <w:jc w:val="center"/>
                    <w:rPr>
                      <w:color w:val="000000"/>
                      <w:sz w:val="21"/>
                      <w:szCs w:val="21"/>
                      <w:u w:val="none"/>
                    </w:rPr>
                  </w:pPr>
                  <w:r>
                    <w:rPr>
                      <w:rFonts w:hint="eastAsia"/>
                      <w:color w:val="000000"/>
                      <w:sz w:val="21"/>
                      <w:szCs w:val="21"/>
                      <w:u w:val="none"/>
                    </w:rPr>
                    <w:t>相符</w:t>
                  </w:r>
                </w:p>
              </w:tc>
            </w:tr>
            <w:tr w14:paraId="3BF3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noWrap w:val="0"/>
                  <w:vAlign w:val="center"/>
                </w:tcPr>
                <w:p w14:paraId="5F75D056">
                  <w:pPr>
                    <w:spacing w:line="240" w:lineRule="auto"/>
                    <w:ind w:firstLine="0" w:firstLineChars="0"/>
                    <w:jc w:val="center"/>
                    <w:rPr>
                      <w:b/>
                      <w:bCs/>
                      <w:color w:val="000000"/>
                      <w:sz w:val="21"/>
                      <w:szCs w:val="21"/>
                      <w:u w:val="none"/>
                    </w:rPr>
                  </w:pPr>
                  <w:r>
                    <w:rPr>
                      <w:rFonts w:hint="eastAsia"/>
                      <w:b/>
                      <w:bCs/>
                      <w:color w:val="000000"/>
                      <w:sz w:val="21"/>
                      <w:szCs w:val="21"/>
                      <w:u w:val="none"/>
                    </w:rPr>
                    <w:t>资源开发效率要求</w:t>
                  </w:r>
                </w:p>
              </w:tc>
              <w:tc>
                <w:tcPr>
                  <w:tcW w:w="2832" w:type="pct"/>
                  <w:gridSpan w:val="9"/>
                  <w:noWrap w:val="0"/>
                  <w:vAlign w:val="center"/>
                </w:tcPr>
                <w:p w14:paraId="563ECF06">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4.1</w:t>
                  </w:r>
                  <w:r>
                    <w:rPr>
                      <w:rFonts w:hint="eastAsia" w:ascii="Times New Roman" w:hAnsi="Times New Roman" w:eastAsia="宋体" w:cs="Times New Roman"/>
                      <w:color w:val="000000"/>
                      <w:sz w:val="21"/>
                      <w:szCs w:val="21"/>
                      <w:u w:val="none"/>
                      <w:lang w:val="en-US" w:eastAsia="zh-CN"/>
                    </w:rPr>
                    <w:t xml:space="preserve">）能源 </w:t>
                  </w:r>
                </w:p>
                <w:p w14:paraId="5F9D10EC">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4.1.1</w:t>
                  </w:r>
                  <w:r>
                    <w:rPr>
                      <w:rFonts w:hint="eastAsia" w:ascii="Times New Roman" w:hAnsi="Times New Roman" w:eastAsia="宋体" w:cs="Times New Roman"/>
                      <w:color w:val="000000"/>
                      <w:sz w:val="21"/>
                      <w:szCs w:val="21"/>
                      <w:u w:val="none"/>
                      <w:lang w:val="en-US" w:eastAsia="zh-CN"/>
                    </w:rPr>
                    <w:t xml:space="preserve">）实行低硫煤政策，禁止使用含硫量大于 </w:t>
                  </w:r>
                  <w:r>
                    <w:rPr>
                      <w:rFonts w:hint="default" w:ascii="Times New Roman" w:hAnsi="Times New Roman" w:eastAsia="宋体" w:cs="Times New Roman"/>
                      <w:color w:val="000000"/>
                      <w:sz w:val="21"/>
                      <w:szCs w:val="21"/>
                      <w:u w:val="none"/>
                      <w:lang w:val="en-US" w:eastAsia="zh-CN"/>
                    </w:rPr>
                    <w:t>1%</w:t>
                  </w:r>
                  <w:r>
                    <w:rPr>
                      <w:rFonts w:hint="eastAsia" w:ascii="Times New Roman" w:hAnsi="Times New Roman" w:eastAsia="宋体" w:cs="Times New Roman"/>
                      <w:color w:val="000000"/>
                      <w:sz w:val="21"/>
                      <w:szCs w:val="21"/>
                      <w:u w:val="none"/>
                      <w:lang w:val="en-US" w:eastAsia="zh-CN"/>
                    </w:rPr>
                    <w:t>，含灰量大于</w:t>
                  </w:r>
                  <w:r>
                    <w:rPr>
                      <w:rFonts w:hint="default" w:ascii="Times New Roman" w:hAnsi="Times New Roman" w:eastAsia="宋体" w:cs="Times New Roman"/>
                      <w:color w:val="000000"/>
                      <w:sz w:val="21"/>
                      <w:szCs w:val="21"/>
                      <w:u w:val="none"/>
                      <w:lang w:val="en-US" w:eastAsia="zh-CN"/>
                    </w:rPr>
                    <w:t>20%</w:t>
                  </w:r>
                  <w:r>
                    <w:rPr>
                      <w:rFonts w:hint="eastAsia" w:ascii="Times New Roman" w:hAnsi="Times New Roman" w:eastAsia="宋体" w:cs="Times New Roman"/>
                      <w:color w:val="000000"/>
                      <w:sz w:val="21"/>
                      <w:szCs w:val="21"/>
                      <w:u w:val="none"/>
                      <w:lang w:val="en-US" w:eastAsia="zh-CN"/>
                    </w:rPr>
                    <w:t xml:space="preserve">的燃煤。 </w:t>
                  </w:r>
                </w:p>
                <w:p w14:paraId="1D474D65">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4.1.2</w:t>
                  </w:r>
                  <w:r>
                    <w:rPr>
                      <w:rFonts w:hint="eastAsia" w:ascii="Times New Roman" w:hAnsi="Times New Roman" w:eastAsia="宋体" w:cs="Times New Roman"/>
                      <w:color w:val="000000"/>
                      <w:sz w:val="21"/>
                      <w:szCs w:val="21"/>
                      <w:u w:val="none"/>
                      <w:lang w:val="en-US" w:eastAsia="zh-CN"/>
                    </w:rPr>
                    <w:t xml:space="preserve">）全面提高工业锅炉准入标准，禁止新建、扩建和改建燃煤锅炉，凡申请新、扩、改建锅炉的，一律要求使用电、天然气、液化石油气、轻质燃油、水煤浆、生物质成型燃料等低污染燃料。 </w:t>
                  </w:r>
                </w:p>
                <w:p w14:paraId="76A9820C">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4.1.3</w:t>
                  </w:r>
                  <w:r>
                    <w:rPr>
                      <w:rFonts w:hint="eastAsia" w:ascii="Times New Roman" w:hAnsi="Times New Roman" w:eastAsia="宋体" w:cs="Times New Roman"/>
                      <w:color w:val="000000"/>
                      <w:sz w:val="21"/>
                      <w:szCs w:val="21"/>
                      <w:u w:val="none"/>
                      <w:lang w:val="en-US" w:eastAsia="zh-CN"/>
                    </w:rPr>
                    <w:t>）高污染燃料禁燃区严格执行《永州市人民政府关于调整高污染燃料禁燃区的通告》（永政函〔</w:t>
                  </w:r>
                  <w:r>
                    <w:rPr>
                      <w:rFonts w:hint="default" w:ascii="Times New Roman" w:hAnsi="Times New Roman" w:eastAsia="宋体" w:cs="Times New Roman"/>
                      <w:color w:val="000000"/>
                      <w:sz w:val="21"/>
                      <w:szCs w:val="21"/>
                      <w:u w:val="none"/>
                      <w:lang w:val="en-US" w:eastAsia="zh-CN"/>
                    </w:rPr>
                    <w:t>2020</w:t>
                  </w: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30</w:t>
                  </w:r>
                  <w:r>
                    <w:rPr>
                      <w:rFonts w:hint="eastAsia" w:ascii="Times New Roman" w:hAnsi="Times New Roman" w:eastAsia="宋体" w:cs="Times New Roman"/>
                      <w:color w:val="000000"/>
                      <w:sz w:val="21"/>
                      <w:szCs w:val="21"/>
                      <w:u w:val="none"/>
                      <w:lang w:val="en-US" w:eastAsia="zh-CN"/>
                    </w:rPr>
                    <w:t>号）的规定。</w:t>
                  </w:r>
                </w:p>
                <w:p w14:paraId="1D2710DC">
                  <w:pPr>
                    <w:spacing w:line="240" w:lineRule="auto"/>
                    <w:ind w:firstLine="0" w:firstLineChars="0"/>
                    <w:jc w:val="left"/>
                    <w:rPr>
                      <w:rFonts w:hint="eastAsia" w:ascii="Times New Roman" w:hAnsi="Times New Roman" w:eastAsia="宋体" w:cs="Times New Roman"/>
                      <w:color w:val="000000"/>
                      <w:sz w:val="21"/>
                      <w:szCs w:val="21"/>
                      <w:u w:val="none"/>
                      <w:lang w:val="en-US" w:eastAsia="zh-CN"/>
                    </w:rPr>
                  </w:pPr>
                </w:p>
              </w:tc>
              <w:tc>
                <w:tcPr>
                  <w:tcW w:w="1085" w:type="pct"/>
                  <w:noWrap w:val="0"/>
                  <w:vAlign w:val="center"/>
                </w:tcPr>
                <w:p w14:paraId="6ECF4795">
                  <w:pPr>
                    <w:spacing w:line="240" w:lineRule="auto"/>
                    <w:ind w:firstLine="0" w:firstLineChars="0"/>
                    <w:jc w:val="left"/>
                    <w:rPr>
                      <w:rFonts w:hint="default" w:eastAsia="宋体"/>
                      <w:color w:val="000000"/>
                      <w:sz w:val="21"/>
                      <w:szCs w:val="21"/>
                      <w:u w:val="none"/>
                      <w:lang w:val="en-US" w:eastAsia="zh-CN"/>
                    </w:rPr>
                  </w:pPr>
                  <w:r>
                    <w:rPr>
                      <w:rFonts w:hint="eastAsia"/>
                      <w:color w:val="000000"/>
                      <w:sz w:val="21"/>
                      <w:szCs w:val="21"/>
                      <w:u w:val="none"/>
                    </w:rPr>
                    <w:t>本项目</w:t>
                  </w:r>
                  <w:r>
                    <w:rPr>
                      <w:rFonts w:hint="eastAsia"/>
                      <w:color w:val="000000"/>
                      <w:sz w:val="21"/>
                      <w:szCs w:val="21"/>
                      <w:u w:val="none"/>
                      <w:lang w:val="en-US" w:eastAsia="zh-CN"/>
                    </w:rPr>
                    <w:t>不使用锅炉及高污染燃料</w:t>
                  </w:r>
                </w:p>
              </w:tc>
              <w:tc>
                <w:tcPr>
                  <w:tcW w:w="671" w:type="pct"/>
                  <w:noWrap w:val="0"/>
                  <w:vAlign w:val="center"/>
                </w:tcPr>
                <w:p w14:paraId="0B082021">
                  <w:pPr>
                    <w:spacing w:line="240" w:lineRule="auto"/>
                    <w:ind w:firstLine="0" w:firstLineChars="0"/>
                    <w:jc w:val="center"/>
                    <w:rPr>
                      <w:color w:val="000000"/>
                      <w:sz w:val="21"/>
                      <w:szCs w:val="21"/>
                      <w:u w:val="none"/>
                    </w:rPr>
                  </w:pPr>
                  <w:r>
                    <w:rPr>
                      <w:rFonts w:hint="eastAsia"/>
                      <w:color w:val="000000"/>
                      <w:sz w:val="21"/>
                      <w:szCs w:val="21"/>
                      <w:u w:val="none"/>
                    </w:rPr>
                    <w:t>相符</w:t>
                  </w:r>
                </w:p>
              </w:tc>
            </w:tr>
          </w:tbl>
          <w:p w14:paraId="37249C47">
            <w:pPr>
              <w:bidi w:val="0"/>
              <w:rPr>
                <w:u w:val="none"/>
              </w:rPr>
            </w:pPr>
            <w:r>
              <w:rPr>
                <w:u w:val="none"/>
              </w:rPr>
              <w:t>综上分析，本项目属于</w:t>
            </w:r>
            <w:r>
              <w:rPr>
                <w:rFonts w:hint="eastAsia" w:eastAsia="宋体"/>
                <w:color w:val="000000" w:themeColor="text1"/>
                <w:u w:val="none"/>
                <w:lang w:val="en-US" w:eastAsia="zh-CN"/>
                <w14:textFill>
                  <w14:solidFill>
                    <w14:schemeClr w14:val="tx1"/>
                  </w14:solidFill>
                </w14:textFill>
              </w:rPr>
              <w:t>汽车修理与维护</w:t>
            </w:r>
            <w:r>
              <w:rPr>
                <w:u w:val="none"/>
              </w:rPr>
              <w:t>，</w:t>
            </w:r>
            <w:r>
              <w:rPr>
                <w:rFonts w:hint="eastAsia"/>
                <w:u w:val="none"/>
                <w:lang w:eastAsia="zh-CN"/>
              </w:rPr>
              <w:t>符合</w:t>
            </w:r>
            <w:r>
              <w:rPr>
                <w:color w:val="000000"/>
                <w:u w:val="none"/>
              </w:rPr>
              <w:t>《</w:t>
            </w:r>
            <w:r>
              <w:rPr>
                <w:rFonts w:hint="eastAsia"/>
                <w:color w:val="000000"/>
                <w:u w:val="none"/>
              </w:rPr>
              <w:t>永州市关于“三线一单”生态环境分区管控的实施意见</w:t>
            </w:r>
            <w:r>
              <w:rPr>
                <w:color w:val="000000"/>
                <w:u w:val="none"/>
              </w:rPr>
              <w:t>》</w:t>
            </w:r>
            <w:r>
              <w:rPr>
                <w:rFonts w:hint="eastAsia"/>
                <w:color w:val="000000"/>
                <w:u w:val="none"/>
                <w:lang w:eastAsia="zh-CN"/>
              </w:rPr>
              <w:t>有关要求</w:t>
            </w:r>
            <w:r>
              <w:rPr>
                <w:u w:val="none"/>
              </w:rPr>
              <w:t>。</w:t>
            </w:r>
          </w:p>
          <w:p w14:paraId="5865D15D">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（三）相关规划符合性分析</w:t>
            </w:r>
          </w:p>
          <w:p w14:paraId="7BEFDCA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与大气污染防治相关文件符合性分析。</w:t>
            </w:r>
          </w:p>
          <w:p w14:paraId="7B93D947">
            <w:pPr>
              <w:pStyle w:val="2"/>
              <w:ind w:firstLine="482"/>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表1-3  与大气污染防治相关法律法规符合性分析</w:t>
            </w:r>
          </w:p>
          <w:tbl>
            <w:tblPr>
              <w:tblStyle w:val="26"/>
              <w:tblW w:w="5060"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5"/>
              <w:gridCol w:w="1447"/>
              <w:gridCol w:w="3362"/>
              <w:gridCol w:w="2110"/>
              <w:gridCol w:w="749"/>
            </w:tblGrid>
            <w:tr w14:paraId="40E02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9" w:type="pct"/>
                  <w:noWrap w:val="0"/>
                  <w:vAlign w:val="center"/>
                </w:tcPr>
                <w:p w14:paraId="2A24436A">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序号</w:t>
                  </w:r>
                </w:p>
              </w:tc>
              <w:tc>
                <w:tcPr>
                  <w:tcW w:w="884" w:type="pct"/>
                  <w:noWrap w:val="0"/>
                  <w:vAlign w:val="center"/>
                </w:tcPr>
                <w:p w14:paraId="720EB668">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规划名称</w:t>
                  </w:r>
                </w:p>
              </w:tc>
              <w:tc>
                <w:tcPr>
                  <w:tcW w:w="2056" w:type="pct"/>
                  <w:noWrap w:val="0"/>
                  <w:vAlign w:val="center"/>
                </w:tcPr>
                <w:p w14:paraId="78740940">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相关要求</w:t>
                  </w:r>
                </w:p>
              </w:tc>
              <w:tc>
                <w:tcPr>
                  <w:tcW w:w="1290" w:type="pct"/>
                  <w:noWrap w:val="0"/>
                  <w:vAlign w:val="center"/>
                </w:tcPr>
                <w:p w14:paraId="74BB3F58">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本项目情况</w:t>
                  </w:r>
                </w:p>
              </w:tc>
              <w:tc>
                <w:tcPr>
                  <w:tcW w:w="458" w:type="pct"/>
                  <w:noWrap w:val="0"/>
                  <w:vAlign w:val="center"/>
                </w:tcPr>
                <w:p w14:paraId="637BEB33">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符合性</w:t>
                  </w:r>
                </w:p>
              </w:tc>
            </w:tr>
            <w:tr w14:paraId="771A9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309" w:type="pct"/>
                  <w:noWrap w:val="0"/>
                  <w:vAlign w:val="center"/>
                </w:tcPr>
                <w:p w14:paraId="4D429DBA">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884" w:type="pct"/>
                  <w:noWrap w:val="0"/>
                  <w:vAlign w:val="center"/>
                </w:tcPr>
                <w:p w14:paraId="21D6F5D3">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《十三五挥发性有机物污染防治工作方案》环大气[2017]121号）</w:t>
                  </w:r>
                </w:p>
              </w:tc>
              <w:tc>
                <w:tcPr>
                  <w:tcW w:w="2056" w:type="pct"/>
                  <w:noWrap w:val="0"/>
                  <w:vAlign w:val="center"/>
                </w:tcPr>
                <w:p w14:paraId="6BA7F53D">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重点地区要严格限制石化、化工、包装印刷、工业涂装等高VOCs排放建设项目。 </w:t>
                  </w:r>
                </w:p>
              </w:tc>
              <w:tc>
                <w:tcPr>
                  <w:tcW w:w="1290" w:type="pct"/>
                  <w:noWrap w:val="0"/>
                  <w:vAlign w:val="center"/>
                </w:tcPr>
                <w:p w14:paraId="5E4A5B6D">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本项目不属于</w:t>
                  </w:r>
                  <w:r>
                    <w:rPr>
                      <w:rFonts w:hint="eastAsia" w:ascii="Times New Roman" w:hAnsi="Times New Roman" w:eastAsia="宋体" w:cs="Times New Roman"/>
                      <w:sz w:val="21"/>
                      <w:szCs w:val="21"/>
                      <w:lang w:val="en-US" w:eastAsia="zh-CN"/>
                    </w:rPr>
                    <w:t>重点地区严格限制的</w:t>
                  </w:r>
                  <w:r>
                    <w:rPr>
                      <w:rFonts w:ascii="Times New Roman" w:hAnsi="Times New Roman" w:eastAsia="宋体" w:cs="Times New Roman"/>
                      <w:sz w:val="21"/>
                      <w:szCs w:val="21"/>
                    </w:rPr>
                    <w:t>高VOCs排放建设项目</w:t>
                  </w:r>
                </w:p>
              </w:tc>
              <w:tc>
                <w:tcPr>
                  <w:tcW w:w="458" w:type="pct"/>
                  <w:noWrap w:val="0"/>
                  <w:vAlign w:val="center"/>
                </w:tcPr>
                <w:p w14:paraId="317C2E5A">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符合</w:t>
                  </w:r>
                </w:p>
              </w:tc>
            </w:tr>
            <w:tr w14:paraId="06AB9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09" w:type="pct"/>
                  <w:vMerge w:val="restart"/>
                  <w:noWrap w:val="0"/>
                  <w:vAlign w:val="center"/>
                </w:tcPr>
                <w:p w14:paraId="11ADC1A4">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884" w:type="pct"/>
                  <w:vMerge w:val="restart"/>
                  <w:noWrap w:val="0"/>
                  <w:vAlign w:val="center"/>
                </w:tcPr>
                <w:p w14:paraId="03AE149B">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关于印发《重点行业挥发性有机物综合治理方案》的通知 环大气[2019]53号）</w:t>
                  </w:r>
                </w:p>
                <w:p w14:paraId="28386E9B">
                  <w:pPr>
                    <w:bidi w:val="0"/>
                    <w:spacing w:line="240" w:lineRule="auto"/>
                    <w:ind w:left="0" w:leftChars="0" w:firstLine="0" w:firstLineChars="0"/>
                    <w:rPr>
                      <w:rFonts w:ascii="Times New Roman" w:hAnsi="Times New Roman" w:eastAsia="宋体" w:cs="Times New Roman"/>
                      <w:sz w:val="21"/>
                      <w:szCs w:val="21"/>
                    </w:rPr>
                  </w:pPr>
                </w:p>
              </w:tc>
              <w:tc>
                <w:tcPr>
                  <w:tcW w:w="2056" w:type="pct"/>
                  <w:noWrap w:val="0"/>
                  <w:vAlign w:val="center"/>
                </w:tcPr>
                <w:p w14:paraId="48BB9369">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加强政策引导。企业采用符合国家有关低VOCs含量产品规定的涂料、油墨、胶粘剂等</w:t>
                  </w:r>
                  <w:r>
                    <w:rPr>
                      <w:rFonts w:hint="eastAsia" w:ascii="Times New Roman" w:hAnsi="Times New Roman" w:eastAsia="宋体" w:cs="Times New Roman"/>
                      <w:sz w:val="21"/>
                      <w:szCs w:val="21"/>
                    </w:rPr>
                    <w:t>，</w:t>
                  </w:r>
                  <w:r>
                    <w:rPr>
                      <w:rFonts w:ascii="Times New Roman" w:hAnsi="Times New Roman" w:eastAsia="宋体" w:cs="Times New Roman"/>
                      <w:sz w:val="21"/>
                      <w:szCs w:val="21"/>
                    </w:rPr>
                    <w:t>排放浓度稳定达标且排放速率、排放绩效等满足相关规定的</w:t>
                  </w:r>
                  <w:r>
                    <w:rPr>
                      <w:rFonts w:hint="eastAsia" w:ascii="Times New Roman" w:hAnsi="Times New Roman" w:eastAsia="宋体" w:cs="Times New Roman"/>
                      <w:sz w:val="21"/>
                      <w:szCs w:val="21"/>
                    </w:rPr>
                    <w:t>，</w:t>
                  </w:r>
                  <w:r>
                    <w:rPr>
                      <w:rFonts w:ascii="Times New Roman" w:hAnsi="Times New Roman" w:eastAsia="宋体" w:cs="Times New Roman"/>
                      <w:sz w:val="21"/>
                      <w:szCs w:val="21"/>
                    </w:rPr>
                    <w:t>相应生产工序可不要求建设末端治理设施。使用的原辅材料VOCs含量(质量比)低于10%的工序</w:t>
                  </w:r>
                  <w:r>
                    <w:rPr>
                      <w:rFonts w:hint="eastAsia" w:ascii="Times New Roman" w:hAnsi="Times New Roman" w:eastAsia="宋体" w:cs="Times New Roman"/>
                      <w:sz w:val="21"/>
                      <w:szCs w:val="21"/>
                    </w:rPr>
                    <w:t>，</w:t>
                  </w:r>
                  <w:r>
                    <w:rPr>
                      <w:rFonts w:ascii="Times New Roman" w:hAnsi="Times New Roman" w:eastAsia="宋体" w:cs="Times New Roman"/>
                      <w:sz w:val="21"/>
                      <w:szCs w:val="21"/>
                    </w:rPr>
                    <w:t>可不要求采取无组织排放收集措施。</w:t>
                  </w:r>
                </w:p>
              </w:tc>
              <w:tc>
                <w:tcPr>
                  <w:tcW w:w="1290" w:type="pct"/>
                  <w:noWrap w:val="0"/>
                  <w:vAlign w:val="center"/>
                </w:tcPr>
                <w:p w14:paraId="76027863">
                  <w:pPr>
                    <w:bidi w:val="0"/>
                    <w:spacing w:line="240" w:lineRule="auto"/>
                    <w:ind w:left="0" w:leftChars="0" w:firstLine="0" w:firstLineChars="0"/>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本项目</w:t>
                  </w:r>
                  <w:r>
                    <w:rPr>
                      <w:rFonts w:hint="eastAsia" w:ascii="Times New Roman" w:hAnsi="Times New Roman" w:eastAsia="宋体" w:cs="Times New Roman"/>
                      <w:sz w:val="21"/>
                      <w:szCs w:val="21"/>
                      <w:lang w:val="en-US" w:eastAsia="zh-CN"/>
                    </w:rPr>
                    <w:t>汽车维修喷漆工艺不定期产生</w:t>
                  </w:r>
                  <w:r>
                    <w:rPr>
                      <w:rFonts w:ascii="Times New Roman" w:hAnsi="Times New Roman" w:eastAsia="宋体" w:cs="Times New Roman"/>
                      <w:sz w:val="21"/>
                      <w:szCs w:val="21"/>
                    </w:rPr>
                    <w:t>有机废气，企业采用的是符合国家有关低有机废气含量产品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废气经收集处理后符合排放要求</w:t>
                  </w:r>
                </w:p>
              </w:tc>
              <w:tc>
                <w:tcPr>
                  <w:tcW w:w="458" w:type="pct"/>
                  <w:noWrap w:val="0"/>
                  <w:vAlign w:val="center"/>
                </w:tcPr>
                <w:p w14:paraId="6578C729">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符合</w:t>
                  </w:r>
                </w:p>
              </w:tc>
            </w:tr>
            <w:tr w14:paraId="09DB2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9" w:type="pct"/>
                  <w:noWrap w:val="0"/>
                  <w:vAlign w:val="center"/>
                </w:tcPr>
                <w:p w14:paraId="7816A40B">
                  <w:pPr>
                    <w:bidi w:val="0"/>
                    <w:spacing w:line="240" w:lineRule="auto"/>
                    <w:ind w:left="0" w:leftChars="0"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884" w:type="pct"/>
                  <w:noWrap w:val="0"/>
                  <w:vAlign w:val="center"/>
                </w:tcPr>
                <w:p w14:paraId="00855CCD">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湖南省挥发性有机物污染防治三年行动实施方案(2018-2020年)</w:t>
                  </w:r>
                </w:p>
                <w:p w14:paraId="12268930">
                  <w:pPr>
                    <w:bidi w:val="0"/>
                    <w:spacing w:line="240" w:lineRule="auto"/>
                    <w:ind w:left="0" w:leftChars="0" w:firstLine="0" w:firstLineChars="0"/>
                    <w:rPr>
                      <w:rFonts w:ascii="Times New Roman" w:hAnsi="Times New Roman" w:eastAsia="宋体" w:cs="Times New Roman"/>
                      <w:sz w:val="21"/>
                      <w:szCs w:val="21"/>
                    </w:rPr>
                  </w:pPr>
                </w:p>
              </w:tc>
              <w:tc>
                <w:tcPr>
                  <w:tcW w:w="2056" w:type="pct"/>
                  <w:noWrap w:val="0"/>
                  <w:vAlign w:val="center"/>
                </w:tcPr>
                <w:p w14:paraId="5E06FCF7">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加快淘汰落后产能。严格执行VOCs重点行业相关产业政策，全面落实国家及我省有关产业准入标准、淘汰落后生产工艺装备和产品指导目录，优先将VOCs排放类落后产能纳入各地产业结构调整计划，加快淘汰落后产品、技术和工艺装备。坚决关闭能耗超标、污染物排放超标且治理无望的企业和生产线，逐年淘汰一批污染物排放强度大、 产品附加值低、环境信访多的落后产能。</w:t>
                  </w:r>
                </w:p>
              </w:tc>
              <w:tc>
                <w:tcPr>
                  <w:tcW w:w="1290" w:type="pct"/>
                  <w:noWrap w:val="0"/>
                  <w:vAlign w:val="center"/>
                </w:tcPr>
                <w:p w14:paraId="1D96303F">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本项目生产工艺装备不属于淘汰落后及限制类</w:t>
                  </w:r>
                </w:p>
              </w:tc>
              <w:tc>
                <w:tcPr>
                  <w:tcW w:w="458" w:type="pct"/>
                  <w:noWrap w:val="0"/>
                  <w:vAlign w:val="center"/>
                </w:tcPr>
                <w:p w14:paraId="63659011">
                  <w:pPr>
                    <w:bidi w:val="0"/>
                    <w:spacing w:line="240" w:lineRule="auto"/>
                    <w:ind w:left="0" w:leftChars="0"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符合</w:t>
                  </w:r>
                </w:p>
              </w:tc>
            </w:tr>
          </w:tbl>
          <w:p w14:paraId="6DB0F3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与《</w:t>
            </w:r>
            <w:r>
              <w:rPr>
                <w:rFonts w:hint="eastAsia" w:ascii="宋体" w:hAnsi="宋体" w:cs="宋体"/>
                <w:color w:val="000000" w:themeColor="text1"/>
                <w14:textFill>
                  <w14:solidFill>
                    <w14:schemeClr w14:val="tx1"/>
                  </w14:solidFill>
                </w14:textFill>
              </w:rPr>
              <w:t>湖南省“十四五”生态环境保护规划</w:t>
            </w:r>
            <w:r>
              <w:rPr>
                <w:color w:val="000000" w:themeColor="text1"/>
                <w14:textFill>
                  <w14:solidFill>
                    <w14:schemeClr w14:val="tx1"/>
                  </w14:solidFill>
                </w14:textFill>
              </w:rPr>
              <w:t>》的符合性分析</w:t>
            </w:r>
          </w:p>
          <w:p w14:paraId="5BA8E7CE">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根据《湖南省“十</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五”环境保护规划》中</w:t>
            </w:r>
            <w:r>
              <w:rPr>
                <w:rFonts w:hint="eastAsia" w:ascii="宋体" w:hAnsi="宋体" w:cs="宋体"/>
                <w:color w:val="000000" w:themeColor="text1"/>
                <w:shd w:val="clear" w:color="auto" w:fill="FFFFFF"/>
                <w14:textFill>
                  <w14:solidFill>
                    <w14:schemeClr w14:val="tx1"/>
                  </w14:solidFill>
                </w14:textFill>
              </w:rPr>
              <w:t>“</w:t>
            </w:r>
            <w:r>
              <w:rPr>
                <w:rStyle w:val="29"/>
                <w:rFonts w:hint="eastAsia" w:ascii="宋体" w:hAnsi="宋体" w:cs="宋体"/>
                <w:color w:val="000000" w:themeColor="text1"/>
                <w:shd w:val="clear" w:color="auto" w:fill="FFFFFF"/>
                <w14:textFill>
                  <w14:solidFill>
                    <w14:schemeClr w14:val="tx1"/>
                  </w14:solidFill>
                </w14:textFill>
              </w:rPr>
              <w:t>（五）严格生态环境准入。严格生态环境分区引导</w:t>
            </w:r>
            <w:r>
              <w:rPr>
                <w:rFonts w:hint="eastAsia" w:ascii="宋体" w:hAnsi="宋体" w:cs="宋体"/>
                <w:color w:val="000000" w:themeColor="text1"/>
                <w:shd w:val="clear" w:color="auto" w:fill="FFFFFF"/>
                <w14:textFill>
                  <w14:solidFill>
                    <w14:schemeClr w14:val="tx1"/>
                  </w14:solidFill>
                </w14:textFill>
              </w:rPr>
              <w:t>。</w:t>
            </w:r>
            <w:r>
              <w:rPr>
                <w:rFonts w:hint="eastAsia"/>
                <w:color w:val="000000" w:themeColor="text1"/>
                <w14:textFill>
                  <w14:solidFill>
                    <w14:schemeClr w14:val="tx1"/>
                  </w14:solidFill>
                </w14:textFill>
              </w:rPr>
              <w:t>严格落实湖南省“三线一单”生态环境总体管控要求，将生态保护红线、环境质量底线、资源利用上线和生态环境准入清单作为硬约束落实到环境管控单元，根据生态环境功能、自然资源禀赋、经济与社会发展实际，对环境管控单元实施差异化生态环境准入管理。”</w:t>
            </w:r>
          </w:p>
          <w:p w14:paraId="7E3B2C0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符合性分析：本项目</w:t>
            </w:r>
            <w:r>
              <w:rPr>
                <w:rFonts w:hint="eastAsia" w:eastAsia="宋体"/>
                <w:color w:val="000000" w:themeColor="text1"/>
                <w:lang w:val="en-US" w:eastAsia="zh-CN"/>
                <w14:textFill>
                  <w14:solidFill>
                    <w14:schemeClr w14:val="tx1"/>
                  </w14:solidFill>
                </w14:textFill>
              </w:rPr>
              <w:t>汽车修理与维护属于社会事业与服务业</w:t>
            </w:r>
            <w:r>
              <w:rPr>
                <w:rFonts w:hint="eastAsia"/>
                <w:color w:val="000000" w:themeColor="text1"/>
                <w14:textFill>
                  <w14:solidFill>
                    <w14:schemeClr w14:val="tx1"/>
                  </w14:solidFill>
                </w14:textFill>
              </w:rPr>
              <w:t>，符合“三线一单”准入要求，与《湖南省“十四五”环境保护规划》中相关内容是相符的。</w:t>
            </w:r>
          </w:p>
          <w:p w14:paraId="59B5CDC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4、与《永州市“十四五”生态环境保护规划》的符合性分析</w:t>
            </w:r>
          </w:p>
          <w:p w14:paraId="02F8056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根据《永州市“十四五”生态环境保护规划》中“（二）严格环境准入与管控”相关内容，分析如下：</w:t>
            </w:r>
          </w:p>
          <w:p w14:paraId="2EBC5D24">
            <w:pPr>
              <w:pStyle w:val="2"/>
              <w:ind w:firstLine="482"/>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w:t>
            </w:r>
            <w:r>
              <w:rPr>
                <w:rFonts w:hint="eastAsia"/>
                <w:b/>
                <w:bCs/>
                <w:color w:val="000000" w:themeColor="text1"/>
                <w:sz w:val="21"/>
                <w:szCs w:val="21"/>
                <w:lang w:val="en-US" w:eastAsia="zh-CN"/>
                <w14:textFill>
                  <w14:solidFill>
                    <w14:schemeClr w14:val="tx1"/>
                  </w14:solidFill>
                </w14:textFill>
              </w:rPr>
              <w:t>4</w:t>
            </w:r>
            <w:r>
              <w:rPr>
                <w:b/>
                <w:bCs/>
                <w:color w:val="000000" w:themeColor="text1"/>
                <w:sz w:val="21"/>
                <w:szCs w:val="21"/>
                <w14:textFill>
                  <w14:solidFill>
                    <w14:schemeClr w14:val="tx1"/>
                  </w14:solidFill>
                </w14:textFill>
              </w:rPr>
              <w:t xml:space="preserve">  与</w:t>
            </w:r>
            <w:r>
              <w:rPr>
                <w:rFonts w:hint="eastAsia"/>
                <w:b/>
                <w:bCs/>
                <w:color w:val="000000" w:themeColor="text1"/>
                <w:sz w:val="21"/>
                <w:szCs w:val="21"/>
                <w14:textFill>
                  <w14:solidFill>
                    <w14:schemeClr w14:val="tx1"/>
                  </w14:solidFill>
                </w14:textFill>
              </w:rPr>
              <w:t>永州市“十四五”生态环境保护规划</w:t>
            </w:r>
            <w:r>
              <w:rPr>
                <w:b/>
                <w:bCs/>
                <w:color w:val="000000" w:themeColor="text1"/>
                <w:sz w:val="21"/>
                <w:szCs w:val="21"/>
                <w14:textFill>
                  <w14:solidFill>
                    <w14:schemeClr w14:val="tx1"/>
                  </w14:solidFill>
                </w14:textFill>
              </w:rPr>
              <w:t>符合性分析</w:t>
            </w:r>
          </w:p>
          <w:tbl>
            <w:tblPr>
              <w:tblStyle w:val="26"/>
              <w:tblW w:w="8174"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5"/>
              <w:gridCol w:w="733"/>
              <w:gridCol w:w="4757"/>
              <w:gridCol w:w="1430"/>
              <w:gridCol w:w="749"/>
            </w:tblGrid>
            <w:tr w14:paraId="0C3C9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8" w:type="pct"/>
                  <w:noWrap w:val="0"/>
                  <w:vAlign w:val="center"/>
                </w:tcPr>
                <w:p w14:paraId="4D1524A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448" w:type="pct"/>
                  <w:noWrap w:val="0"/>
                  <w:vAlign w:val="center"/>
                </w:tcPr>
                <w:p w14:paraId="1100EE4A">
                  <w:pPr>
                    <w:spacing w:line="240" w:lineRule="auto"/>
                    <w:ind w:firstLine="0" w:firstLineChars="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w:t>
                  </w:r>
                  <w:r>
                    <w:rPr>
                      <w:rFonts w:hint="eastAsia"/>
                      <w:color w:val="000000" w:themeColor="text1"/>
                      <w:sz w:val="21"/>
                      <w:szCs w:val="21"/>
                      <w14:textFill>
                        <w14:solidFill>
                          <w14:schemeClr w14:val="tx1"/>
                        </w14:solidFill>
                      </w14:textFill>
                    </w:rPr>
                    <w:t>内容</w:t>
                  </w:r>
                </w:p>
              </w:tc>
              <w:tc>
                <w:tcPr>
                  <w:tcW w:w="2908" w:type="pct"/>
                  <w:noWrap w:val="0"/>
                  <w:vAlign w:val="center"/>
                </w:tcPr>
                <w:p w14:paraId="2F5F756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相关要求</w:t>
                  </w:r>
                </w:p>
              </w:tc>
              <w:tc>
                <w:tcPr>
                  <w:tcW w:w="874" w:type="pct"/>
                  <w:noWrap w:val="0"/>
                  <w:vAlign w:val="center"/>
                </w:tcPr>
                <w:p w14:paraId="206EA1B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本项目情况</w:t>
                  </w:r>
                </w:p>
              </w:tc>
              <w:tc>
                <w:tcPr>
                  <w:tcW w:w="458" w:type="pct"/>
                  <w:noWrap w:val="0"/>
                  <w:vAlign w:val="center"/>
                </w:tcPr>
                <w:p w14:paraId="7B5FC1F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符合性</w:t>
                  </w:r>
                </w:p>
              </w:tc>
            </w:tr>
            <w:tr w14:paraId="64A54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308" w:type="pct"/>
                  <w:noWrap w:val="0"/>
                  <w:vAlign w:val="center"/>
                </w:tcPr>
                <w:p w14:paraId="1B2D7DB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448" w:type="pct"/>
                  <w:noWrap w:val="0"/>
                  <w:vAlign w:val="center"/>
                </w:tcPr>
                <w:p w14:paraId="2FEC417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严格环境准入</w:t>
                  </w:r>
                </w:p>
              </w:tc>
              <w:tc>
                <w:tcPr>
                  <w:tcW w:w="2908" w:type="pct"/>
                  <w:noWrap w:val="0"/>
                  <w:vAlign w:val="center"/>
                </w:tcPr>
                <w:p w14:paraId="4345657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照国家要求的产业准入目录，严把永州项目产业政策关，促进产业转型升级，防止落后产能和污染严重项目转入永州市，严控化工、建材、有色、电镀、印染等高污染项目的审批，禁止新建、扩建落后产能项目。坚持新建工业企业必须入园，严控高污染高能耗企业入园。加强高能耗高排放项目准入管理，必须符合产业政策、行业发展规划和市场准入要求。实行排污总量前置管理,将建设项目污染物排放总量指标作为项目环评审批的前提条件，严控新增排放量。加强永州市11家省级工业园区生态环境准入管理。推进“三线一单”与排污许可、环评审批、环境监测、环境执法等数据系统共享。探索构建以“三线一单”为环境 空间管控基础，以规划环评和项目环评为环境准入关口，以排污许可为企业运行守法依据，以执法、督察为环境监管闭 环的全过程环境管理框架。</w:t>
                  </w:r>
                </w:p>
              </w:tc>
              <w:tc>
                <w:tcPr>
                  <w:tcW w:w="874" w:type="pct"/>
                  <w:noWrap w:val="0"/>
                  <w:vAlign w:val="center"/>
                </w:tcPr>
                <w:p w14:paraId="3E2355FD">
                  <w:pPr>
                    <w:spacing w:line="240" w:lineRule="auto"/>
                    <w:ind w:firstLine="0" w:firstLineChars="0"/>
                    <w:jc w:val="center"/>
                    <w:rPr>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本项目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汽车修理与维护</w:t>
                  </w:r>
                  <w:r>
                    <w:rPr>
                      <w:rFonts w:hint="eastAsia" w:ascii="Times New Roman" w:hAnsi="Times New Roman" w:eastAsia="宋体" w:cs="Times New Roman"/>
                      <w:color w:val="000000" w:themeColor="text1"/>
                      <w:sz w:val="21"/>
                      <w:szCs w:val="21"/>
                      <w14:textFill>
                        <w14:solidFill>
                          <w14:schemeClr w14:val="tx1"/>
                        </w14:solidFill>
                      </w14:textFill>
                    </w:rPr>
                    <w:t>，位于</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零陵区潇湘汽车城</w:t>
                  </w:r>
                  <w:r>
                    <w:rPr>
                      <w:rFonts w:hint="eastAsia" w:ascii="Times New Roman" w:hAnsi="Times New Roman" w:eastAsia="宋体" w:cs="Times New Roman"/>
                      <w:color w:val="000000" w:themeColor="text1"/>
                      <w:sz w:val="21"/>
                      <w:szCs w:val="21"/>
                      <w14:textFill>
                        <w14:solidFill>
                          <w14:schemeClr w14:val="tx1"/>
                        </w14:solidFill>
                      </w14:textFill>
                    </w:rPr>
                    <w:t>，不属于</w:t>
                  </w:r>
                  <w:r>
                    <w:rPr>
                      <w:rFonts w:ascii="Times New Roman" w:hAnsi="Times New Roman" w:eastAsia="宋体" w:cs="Times New Roman"/>
                      <w:color w:val="000000" w:themeColor="text1"/>
                      <w:sz w:val="21"/>
                      <w:szCs w:val="21"/>
                      <w14:textFill>
                        <w14:solidFill>
                          <w14:schemeClr w14:val="tx1"/>
                        </w14:solidFill>
                      </w14:textFill>
                    </w:rPr>
                    <w:t>落后产能和污染严重项目</w:t>
                  </w:r>
                </w:p>
              </w:tc>
              <w:tc>
                <w:tcPr>
                  <w:tcW w:w="458" w:type="pct"/>
                  <w:noWrap w:val="0"/>
                  <w:vAlign w:val="center"/>
                </w:tcPr>
                <w:p w14:paraId="667D328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117B9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08" w:type="pct"/>
                  <w:noWrap w:val="0"/>
                  <w:vAlign w:val="center"/>
                </w:tcPr>
                <w:p w14:paraId="4E245A9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448" w:type="pct"/>
                  <w:noWrap w:val="0"/>
                  <w:vAlign w:val="center"/>
                </w:tcPr>
                <w:p w14:paraId="6F2C5ED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加强规划环境影响评价</w:t>
                  </w:r>
                </w:p>
              </w:tc>
              <w:tc>
                <w:tcPr>
                  <w:tcW w:w="2908" w:type="pct"/>
                  <w:noWrap w:val="0"/>
                  <w:vAlign w:val="center"/>
                </w:tcPr>
                <w:p w14:paraId="26D865D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严格执行以环评制度为主体的生态环境源头预防制度，以国土空间规划、区域规划、行业 发展规划引导经济社会发展，全面推进重点区域、重点流域、重点行业规划环评。推动规划编制底线约束，前置考虑空间 管制、总量管控和生态环境准入，统筹区域空间布局与生态 安全格局，统筹发展目标与资源环境承载力。严格审查涉“两高”行业的有关综合性规划和工业、能源等专项规划，严格控制“两高”行业发展规模，优化规划布局与实施时序。推动在项目环评审批及事中事后监督管理中落实规划环评成果</w:t>
                  </w:r>
                  <w:r>
                    <w:rPr>
                      <w:rFonts w:hint="eastAsia"/>
                      <w:color w:val="000000" w:themeColor="text1"/>
                      <w:sz w:val="21"/>
                      <w:szCs w:val="21"/>
                      <w14:textFill>
                        <w14:solidFill>
                          <w14:schemeClr w14:val="tx1"/>
                        </w14:solidFill>
                      </w14:textFill>
                    </w:rPr>
                    <w:t>。</w:t>
                  </w:r>
                </w:p>
              </w:tc>
              <w:tc>
                <w:tcPr>
                  <w:tcW w:w="874" w:type="pct"/>
                  <w:noWrap w:val="0"/>
                  <w:vAlign w:val="center"/>
                </w:tcPr>
                <w:p w14:paraId="33D767BB">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本项目严格</w:t>
                  </w:r>
                  <w:r>
                    <w:rPr>
                      <w:color w:val="000000" w:themeColor="text1"/>
                      <w:sz w:val="21"/>
                      <w:szCs w:val="21"/>
                      <w14:textFill>
                        <w14:solidFill>
                          <w14:schemeClr w14:val="tx1"/>
                        </w14:solidFill>
                      </w14:textFill>
                    </w:rPr>
                    <w:t>执行以环评制度为主体的生态环境源头预防制度</w:t>
                  </w:r>
                </w:p>
              </w:tc>
              <w:tc>
                <w:tcPr>
                  <w:tcW w:w="458" w:type="pct"/>
                  <w:noWrap w:val="0"/>
                  <w:vAlign w:val="center"/>
                </w:tcPr>
                <w:p w14:paraId="45DD911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187C8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8" w:type="pct"/>
                  <w:noWrap w:val="0"/>
                  <w:vAlign w:val="center"/>
                </w:tcPr>
                <w:p w14:paraId="3720322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448" w:type="pct"/>
                  <w:noWrap w:val="0"/>
                  <w:vAlign w:val="center"/>
                </w:tcPr>
                <w:p w14:paraId="0273E91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全面实行排污许可制度</w:t>
                  </w:r>
                </w:p>
              </w:tc>
              <w:tc>
                <w:tcPr>
                  <w:tcW w:w="2908" w:type="pct"/>
                  <w:noWrap w:val="0"/>
                  <w:vAlign w:val="center"/>
                </w:tcPr>
                <w:p w14:paraId="36104C4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推行以排污许可制为核心的固定污染源监管制度，推动工业固体废物、土壤环境要素全覆盖，实现固定污染源排污许可全覆盖。严格落实企业持证排 污要求，按照“新老有别、平稳过渡”原则，推进排污口清理整治，规范排污口设置。依托排污许可证实施企事业单位 污染物排放总量指标分配、监管和考核。加强对排污许可的事中事后监管管理，将排污许可执法检查纳入生态环境执法年度计划，落实排污许可“一证式”管理。持续做好排污许可证换证或登记延续动态更新。推进全市排污许可制度与环 境影响评价制度有效融合，推动重点行业企业环境影响评价、排污许可、监管执法全闭环管理。</w:t>
                  </w:r>
                </w:p>
              </w:tc>
              <w:tc>
                <w:tcPr>
                  <w:tcW w:w="874" w:type="pct"/>
                  <w:noWrap w:val="0"/>
                  <w:vAlign w:val="center"/>
                </w:tcPr>
                <w:p w14:paraId="07AE51A0">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本项目严格执行</w:t>
                  </w:r>
                  <w:r>
                    <w:rPr>
                      <w:color w:val="000000" w:themeColor="text1"/>
                      <w:sz w:val="21"/>
                      <w:szCs w:val="21"/>
                      <w14:textFill>
                        <w14:solidFill>
                          <w14:schemeClr w14:val="tx1"/>
                        </w14:solidFill>
                      </w14:textFill>
                    </w:rPr>
                    <w:t>排污许可制为核心的固定污染源监管制度</w:t>
                  </w:r>
                </w:p>
              </w:tc>
              <w:tc>
                <w:tcPr>
                  <w:tcW w:w="458" w:type="pct"/>
                  <w:noWrap w:val="0"/>
                  <w:vAlign w:val="center"/>
                </w:tcPr>
                <w:p w14:paraId="72CEFD2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bl>
          <w:p w14:paraId="533CCE15">
            <w:pPr>
              <w:pStyle w:val="75"/>
              <w:adjustRightInd/>
              <w:snapToGrid/>
              <w:spacing w:line="360" w:lineRule="auto"/>
              <w:ind w:firstLine="480"/>
              <w:jc w:val="both"/>
              <w:rPr>
                <w:color w:val="000000" w:themeColor="text1"/>
                <w14:textFill>
                  <w14:solidFill>
                    <w14:schemeClr w14:val="tx1"/>
                  </w14:solidFill>
                </w14:textFill>
              </w:rPr>
            </w:pPr>
          </w:p>
          <w:p w14:paraId="21D2820F">
            <w:pPr>
              <w:pStyle w:val="75"/>
              <w:adjustRightInd/>
              <w:snapToGrid/>
              <w:spacing w:line="360" w:lineRule="auto"/>
              <w:ind w:firstLine="480"/>
              <w:jc w:val="both"/>
              <w:rPr>
                <w:color w:val="000000" w:themeColor="text1"/>
                <w14:textFill>
                  <w14:solidFill>
                    <w14:schemeClr w14:val="tx1"/>
                  </w14:solidFill>
                </w14:textFill>
              </w:rPr>
            </w:pPr>
          </w:p>
          <w:p w14:paraId="5C52F132">
            <w:pPr>
              <w:pStyle w:val="75"/>
              <w:adjustRightInd/>
              <w:snapToGrid/>
              <w:spacing w:line="360" w:lineRule="auto"/>
              <w:ind w:firstLine="480"/>
              <w:jc w:val="both"/>
              <w:rPr>
                <w:color w:val="000000" w:themeColor="text1"/>
                <w14:textFill>
                  <w14:solidFill>
                    <w14:schemeClr w14:val="tx1"/>
                  </w14:solidFill>
                </w14:textFill>
              </w:rPr>
            </w:pPr>
          </w:p>
          <w:p w14:paraId="2FDBF9D7">
            <w:pPr>
              <w:pStyle w:val="75"/>
              <w:adjustRightInd/>
              <w:snapToGrid/>
              <w:spacing w:line="360" w:lineRule="auto"/>
              <w:ind w:firstLine="480"/>
              <w:jc w:val="both"/>
              <w:rPr>
                <w:color w:val="000000" w:themeColor="text1"/>
                <w14:textFill>
                  <w14:solidFill>
                    <w14:schemeClr w14:val="tx1"/>
                  </w14:solidFill>
                </w14:textFill>
              </w:rPr>
            </w:pPr>
          </w:p>
          <w:p w14:paraId="064BBBB5">
            <w:pPr>
              <w:ind w:firstLine="480"/>
              <w:rPr>
                <w:color w:val="000000" w:themeColor="text1"/>
                <w14:textFill>
                  <w14:solidFill>
                    <w14:schemeClr w14:val="tx1"/>
                  </w14:solidFill>
                </w14:textFill>
              </w:rPr>
            </w:pPr>
          </w:p>
        </w:tc>
      </w:tr>
    </w:tbl>
    <w:p w14:paraId="18BE131E">
      <w:pPr>
        <w:ind w:firstLine="600"/>
        <w:outlineLvl w:val="0"/>
        <w:rPr>
          <w:rFonts w:eastAsia="黑体"/>
          <w:color w:val="000000" w:themeColor="text1"/>
          <w:sz w:val="30"/>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90D12AB">
      <w:pPr>
        <w:pStyle w:val="22"/>
        <w:ind w:firstLine="600"/>
        <w:jc w:val="center"/>
        <w:outlineLvl w:val="0"/>
        <w:rPr>
          <w:rFonts w:ascii="黑体" w:hAnsi="黑体" w:eastAsia="黑体"/>
          <w:snapToGrid w:val="0"/>
          <w:color w:val="000000" w:themeColor="text1"/>
          <w:sz w:val="30"/>
          <w:szCs w:val="30"/>
          <w14:textFill>
            <w14:solidFill>
              <w14:schemeClr w14:val="tx1"/>
            </w14:solidFill>
          </w14:textFill>
        </w:rPr>
      </w:pPr>
      <w:bookmarkStart w:id="5" w:name="_Toc20141"/>
      <w:bookmarkStart w:id="6" w:name="_Toc24957"/>
      <w:r>
        <w:rPr>
          <w:rFonts w:hint="eastAsia" w:ascii="黑体" w:hAnsi="黑体" w:eastAsia="黑体"/>
          <w:snapToGrid w:val="0"/>
          <w:color w:val="000000" w:themeColor="text1"/>
          <w:sz w:val="30"/>
          <w:szCs w:val="30"/>
          <w14:textFill>
            <w14:solidFill>
              <w14:schemeClr w14:val="tx1"/>
            </w14:solidFill>
          </w14:textFill>
        </w:rPr>
        <w:t>二、建设项目工程分析</w:t>
      </w:r>
      <w:bookmarkEnd w:id="5"/>
      <w:bookmarkEnd w:id="6"/>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0"/>
        <w:gridCol w:w="8670"/>
      </w:tblGrid>
      <w:tr w14:paraId="0AC0F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90" w:type="dxa"/>
            <w:noWrap w:val="0"/>
            <w:vAlign w:val="center"/>
          </w:tcPr>
          <w:p w14:paraId="26BBBE7C">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建设内容</w:t>
            </w:r>
          </w:p>
        </w:tc>
        <w:tc>
          <w:tcPr>
            <w:tcW w:w="8670" w:type="dxa"/>
            <w:noWrap w:val="0"/>
            <w:vAlign w:val="top"/>
          </w:tcPr>
          <w:p w14:paraId="39BBB01D">
            <w:pPr>
              <w:pStyle w:val="75"/>
              <w:adjustRightInd/>
              <w:snapToGrid/>
              <w:spacing w:line="360" w:lineRule="auto"/>
              <w:ind w:firstLine="482"/>
              <w:jc w:val="both"/>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项目背景：</w:t>
            </w:r>
          </w:p>
          <w:p w14:paraId="5794F9C4">
            <w:pPr>
              <w:pStyle w:val="75"/>
              <w:adjustRightInd/>
              <w:snapToGrid/>
              <w:spacing w:line="360" w:lineRule="auto"/>
              <w:ind w:firstLine="48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kern w:val="2"/>
                <w:sz w:val="24"/>
                <w:szCs w:val="24"/>
                <w:lang w:val="en-US" w:eastAsia="zh-CN" w:bidi="ar-SA"/>
              </w:rPr>
              <w:t>永州永通华悦汽车销售服务有限公司是一家从事汽车零配件零售、品牌汽车销售、汽车用品销售、汽车内饰用品销售、汽车修理与维护、机动车维修、汽车援救服务、汽车上牌代理服务、汽车美容、汽车清洗服务等业务的公司，成立于2011年01月26日，公司位于永州市零陵区零陵大道潇湘汽车城；</w:t>
            </w:r>
            <w:r>
              <w:rPr>
                <w:rFonts w:hint="eastAsia"/>
              </w:rPr>
              <w:t>根据《中华人民共和国环境保护法》、《中华人民共和国环境影响评价法》及《建设项目环境保护管理条例》等国家有关政策和规定，该项目需进行环境影响评价</w:t>
            </w:r>
            <w:r>
              <w:rPr>
                <w:rFonts w:hint="eastAsia"/>
                <w:lang w:eastAsia="zh-CN"/>
              </w:rPr>
              <w:t>，</w:t>
            </w:r>
            <w:r>
              <w:rPr>
                <w:rFonts w:hint="eastAsia"/>
                <w:lang w:val="en-US" w:eastAsia="zh-CN"/>
              </w:rPr>
              <w:t>项目</w:t>
            </w:r>
            <w:r>
              <w:rPr>
                <w:rFonts w:hint="eastAsia" w:ascii="Times New Roman" w:hAnsi="Times New Roman" w:eastAsia="宋体" w:cs="Times New Roman"/>
                <w:kern w:val="2"/>
                <w:sz w:val="24"/>
                <w:szCs w:val="24"/>
                <w:lang w:val="en-US" w:eastAsia="zh-CN" w:bidi="ar-SA"/>
              </w:rPr>
              <w:t>于2012年3月编制了《北京现代汽车永通华悦特约销售服务店环境影响登记表》并进行备案，</w:t>
            </w:r>
            <w:r>
              <w:rPr>
                <w:rFonts w:hint="eastAsia" w:cs="Times New Roman"/>
                <w:kern w:val="2"/>
                <w:sz w:val="24"/>
                <w:szCs w:val="24"/>
                <w:lang w:val="en-US" w:eastAsia="zh-CN" w:bidi="ar-SA"/>
              </w:rPr>
              <w:t>现企业进行内部布局优化调整，增加北侧的洗车场、四层的综合楼纳入营业面积（合计约900m</w:t>
            </w:r>
            <w:r>
              <w:rPr>
                <w:rFonts w:hint="eastAsia" w:cs="Times New Roman"/>
                <w:kern w:val="2"/>
                <w:sz w:val="24"/>
                <w:szCs w:val="24"/>
                <w:vertAlign w:val="superscript"/>
                <w:lang w:val="en-US" w:eastAsia="zh-CN" w:bidi="ar-SA"/>
              </w:rPr>
              <w:t>2</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企业实际总营业</w:t>
            </w:r>
            <w:r>
              <w:rPr>
                <w:rFonts w:hint="eastAsia" w:ascii="Times New Roman" w:hAnsi="Times New Roman" w:eastAsia="宋体" w:cs="Times New Roman"/>
                <w:color w:val="auto"/>
                <w:kern w:val="2"/>
                <w:sz w:val="24"/>
                <w:szCs w:val="24"/>
                <w:lang w:val="en-US" w:eastAsia="zh-CN" w:bidi="ar-SA"/>
              </w:rPr>
              <w:t>面积达</w:t>
            </w:r>
            <w:r>
              <w:rPr>
                <w:rFonts w:hint="eastAsia" w:ascii="Times New Roman" w:hAnsi="Times New Roman" w:eastAsia="宋体" w:cs="Times New Roman"/>
                <w:color w:val="auto"/>
                <w:lang w:val="en-US" w:eastAsia="zh-CN"/>
              </w:rPr>
              <w:t>5</w:t>
            </w:r>
            <w:r>
              <w:rPr>
                <w:rFonts w:hint="eastAsia" w:cs="Times New Roman"/>
                <w:color w:val="auto"/>
                <w:lang w:val="en-US" w:eastAsia="zh-CN"/>
              </w:rPr>
              <w:t>613</w:t>
            </w:r>
            <w:r>
              <w:rPr>
                <w:rFonts w:hint="eastAsia" w:eastAsia="宋体" w:cs="Times New Roman"/>
                <w:color w:val="auto"/>
                <w:lang w:val="en-US" w:eastAsia="zh-CN"/>
              </w:rPr>
              <w:t>m</w:t>
            </w:r>
            <w:r>
              <w:rPr>
                <w:rFonts w:hint="eastAsia" w:eastAsia="宋体" w:cs="Times New Roman"/>
                <w:color w:val="auto"/>
                <w:vertAlign w:val="superscript"/>
                <w:lang w:val="en-US" w:eastAsia="zh-CN"/>
              </w:rPr>
              <w:t>2</w:t>
            </w:r>
            <w:r>
              <w:rPr>
                <w:rFonts w:hint="eastAsia" w:ascii="Times New Roman" w:hAnsi="Times New Roman" w:eastAsia="宋体" w:cs="Times New Roman"/>
                <w:color w:val="auto"/>
                <w:kern w:val="2"/>
                <w:sz w:val="24"/>
                <w:szCs w:val="24"/>
                <w:lang w:val="en-US" w:eastAsia="zh-CN" w:bidi="ar-SA"/>
              </w:rPr>
              <w:t>。</w:t>
            </w:r>
          </w:p>
          <w:p w14:paraId="5B384FB6">
            <w:pPr>
              <w:bidi w:val="0"/>
              <w:rPr>
                <w:rFonts w:hint="eastAsia"/>
                <w:color w:val="auto"/>
              </w:rPr>
            </w:pPr>
            <w:r>
              <w:rPr>
                <w:rFonts w:hint="eastAsia"/>
                <w:color w:val="auto"/>
              </w:rPr>
              <w:t>依据《建设项目环境影响评价分类管理名录》（2021</w:t>
            </w:r>
            <w:bookmarkStart w:id="29" w:name="_GoBack"/>
            <w:bookmarkEnd w:id="29"/>
            <w:r>
              <w:rPr>
                <w:rFonts w:hint="eastAsia"/>
                <w:color w:val="auto"/>
              </w:rPr>
              <w:t>版）“</w:t>
            </w:r>
            <w:r>
              <w:rPr>
                <w:rFonts w:hint="eastAsia"/>
                <w:color w:val="auto"/>
                <w:lang w:val="en-US" w:eastAsia="zh-CN"/>
              </w:rPr>
              <w:t>五十、社会事业与服务业121</w:t>
            </w:r>
            <w:r>
              <w:rPr>
                <w:rFonts w:hint="eastAsia"/>
                <w:color w:val="auto"/>
              </w:rPr>
              <w:t>-</w:t>
            </w:r>
            <w:r>
              <w:rPr>
                <w:rFonts w:hint="eastAsia"/>
                <w:color w:val="auto"/>
                <w:lang w:val="en-US" w:eastAsia="zh-CN"/>
              </w:rPr>
              <w:t>汽车、摩托车维修场所</w:t>
            </w:r>
            <w:r>
              <w:rPr>
                <w:rFonts w:hint="eastAsia"/>
                <w:color w:val="auto"/>
              </w:rPr>
              <w:t>384-</w:t>
            </w:r>
            <w:r>
              <w:rPr>
                <w:rFonts w:hint="eastAsia"/>
                <w:color w:val="auto"/>
                <w:lang w:val="en-US" w:eastAsia="zh-CN"/>
              </w:rPr>
              <w:t>营业面积5000平方米及以上且使用溶剂型涂料的；营业面积5000平方米及以上且年用非溶剂型低VOCs含量涂料10吨及以上的</w:t>
            </w:r>
            <w:r>
              <w:rPr>
                <w:rFonts w:hint="eastAsia"/>
                <w:color w:val="auto"/>
              </w:rPr>
              <w:t>”，应编制环境影响报告表。特此，</w:t>
            </w:r>
            <w:r>
              <w:rPr>
                <w:rFonts w:hint="eastAsia"/>
                <w:color w:val="auto"/>
                <w:lang w:eastAsia="zh-CN"/>
              </w:rPr>
              <w:t>永州永通华悦汽车销售服务有限公司</w:t>
            </w:r>
            <w:r>
              <w:rPr>
                <w:rFonts w:hint="eastAsia"/>
                <w:color w:val="auto"/>
              </w:rPr>
              <w:t>委托我公司承担该项目的环境影响评价工作，接受委托后，我公司即组成编制小组，对项目</w:t>
            </w:r>
            <w:r>
              <w:rPr>
                <w:rFonts w:hint="eastAsia"/>
                <w:color w:val="auto"/>
                <w:lang w:val="en-US" w:eastAsia="zh-CN"/>
              </w:rPr>
              <w:t>项目地</w:t>
            </w:r>
            <w:r>
              <w:rPr>
                <w:rFonts w:hint="eastAsia"/>
                <w:color w:val="auto"/>
              </w:rPr>
              <w:t>进行了实地勘查，在进行较充分的现场调查和资料收集的基础上，按照《建设项目环境影响报告表编制技术指南（污染影响类）》有关要求，编制完成了本项目环境影响报告表。</w:t>
            </w:r>
          </w:p>
          <w:p w14:paraId="0B7C65AD">
            <w:pPr>
              <w:ind w:firstLine="482"/>
              <w:rPr>
                <w:rFonts w:hint="eastAsia"/>
                <w:b/>
                <w:bCs/>
                <w:color w:val="auto"/>
                <w:u w:val="single"/>
              </w:rPr>
            </w:pPr>
            <w:r>
              <w:rPr>
                <w:rFonts w:hint="eastAsia"/>
                <w:b/>
                <w:bCs/>
                <w:color w:val="auto"/>
                <w:u w:val="single"/>
              </w:rPr>
              <w:t>（一）项目组成</w:t>
            </w:r>
          </w:p>
          <w:p w14:paraId="18725E72">
            <w:pPr>
              <w:ind w:firstLine="480"/>
              <w:jc w:val="left"/>
              <w:rPr>
                <w:bCs/>
                <w:color w:val="000000" w:themeColor="text1"/>
                <w:u w:val="single"/>
                <w14:textFill>
                  <w14:solidFill>
                    <w14:schemeClr w14:val="tx1"/>
                  </w14:solidFill>
                </w14:textFill>
              </w:rPr>
            </w:pPr>
            <w:r>
              <w:rPr>
                <w:rFonts w:hint="eastAsia"/>
                <w:color w:val="auto"/>
                <w:u w:val="single"/>
                <w:shd w:val="clear" w:color="auto" w:fill="FFFFFF"/>
              </w:rPr>
              <w:t>项目</w:t>
            </w:r>
            <w:r>
              <w:rPr>
                <w:rFonts w:hint="default"/>
                <w:color w:val="auto"/>
                <w:sz w:val="24"/>
                <w:highlight w:val="none"/>
                <w:u w:val="single"/>
                <w:lang w:eastAsia="zh-CN"/>
              </w:rPr>
              <w:t>总占</w:t>
            </w:r>
            <w:r>
              <w:rPr>
                <w:rFonts w:hint="default" w:ascii="Times New Roman" w:hAnsi="Times New Roman" w:cs="Times New Roman"/>
                <w:color w:val="auto"/>
                <w:sz w:val="24"/>
                <w:szCs w:val="24"/>
                <w:highlight w:val="none"/>
                <w:u w:val="single"/>
                <w:lang w:eastAsia="zh-CN"/>
              </w:rPr>
              <w:t>地面积为</w:t>
            </w:r>
            <w:r>
              <w:rPr>
                <w:rFonts w:hint="eastAsia"/>
                <w:color w:val="auto"/>
                <w:kern w:val="0"/>
                <w:sz w:val="24"/>
                <w:highlight w:val="none"/>
                <w:u w:val="single"/>
                <w:lang w:val="en-US" w:eastAsia="zh-CN"/>
              </w:rPr>
              <w:t>6849.8</w:t>
            </w:r>
            <w:r>
              <w:rPr>
                <w:rFonts w:hint="default" w:ascii="Times New Roman" w:hAnsi="Times New Roman" w:cs="Times New Roman"/>
                <w:color w:val="auto"/>
                <w:sz w:val="24"/>
                <w:szCs w:val="24"/>
                <w:highlight w:val="none"/>
                <w:u w:val="single"/>
                <w:lang w:val="en-US" w:eastAsia="zh-CN"/>
              </w:rPr>
              <w:t>m</w:t>
            </w:r>
            <w:r>
              <w:rPr>
                <w:rFonts w:hint="default" w:ascii="Times New Roman" w:hAnsi="Times New Roman" w:cs="Times New Roman"/>
                <w:color w:val="auto"/>
                <w:sz w:val="24"/>
                <w:szCs w:val="24"/>
                <w:highlight w:val="none"/>
                <w:u w:val="single"/>
                <w:vertAlign w:val="superscript"/>
                <w:lang w:val="en-US" w:eastAsia="zh-CN"/>
              </w:rPr>
              <w:t>2</w:t>
            </w:r>
            <w:r>
              <w:rPr>
                <w:rFonts w:hint="eastAsia" w:ascii="Times New Roman" w:hAnsi="Times New Roman" w:cs="Times New Roman"/>
                <w:color w:val="auto"/>
                <w:sz w:val="24"/>
                <w:szCs w:val="24"/>
                <w:highlight w:val="none"/>
                <w:u w:val="single"/>
                <w:vertAlign w:val="baseline"/>
                <w:lang w:val="en-US" w:eastAsia="zh-CN"/>
              </w:rPr>
              <w:t>，</w:t>
            </w:r>
            <w:r>
              <w:rPr>
                <w:rFonts w:hint="eastAsia" w:cs="Times New Roman"/>
                <w:color w:val="auto"/>
                <w:sz w:val="24"/>
                <w:szCs w:val="24"/>
                <w:highlight w:val="none"/>
                <w:u w:val="single"/>
                <w:vertAlign w:val="baseline"/>
                <w:lang w:val="en-US" w:eastAsia="zh-CN"/>
              </w:rPr>
              <w:t>总建筑面积为5613m</w:t>
            </w:r>
            <w:r>
              <w:rPr>
                <w:rFonts w:hint="eastAsia" w:cs="Times New Roman"/>
                <w:color w:val="auto"/>
                <w:sz w:val="24"/>
                <w:szCs w:val="24"/>
                <w:highlight w:val="none"/>
                <w:u w:val="single"/>
                <w:vertAlign w:val="superscript"/>
                <w:lang w:val="en-US" w:eastAsia="zh-CN"/>
              </w:rPr>
              <w:t>2</w:t>
            </w:r>
            <w:r>
              <w:rPr>
                <w:rFonts w:hint="eastAsia" w:cs="Times New Roman"/>
                <w:color w:val="auto"/>
                <w:sz w:val="24"/>
                <w:szCs w:val="24"/>
                <w:highlight w:val="none"/>
                <w:u w:val="single"/>
                <w:vertAlign w:val="baseline"/>
                <w:lang w:val="en-US" w:eastAsia="zh-CN"/>
              </w:rPr>
              <w:t>，</w:t>
            </w:r>
            <w:r>
              <w:rPr>
                <w:rFonts w:hint="eastAsia" w:ascii="Times New Roman" w:hAnsi="Times New Roman" w:cs="Times New Roman"/>
                <w:color w:val="auto"/>
                <w:sz w:val="24"/>
                <w:szCs w:val="24"/>
                <w:highlight w:val="none"/>
                <w:u w:val="single"/>
                <w:vertAlign w:val="baseline"/>
                <w:lang w:val="en-US" w:eastAsia="zh-CN"/>
              </w:rPr>
              <w:t>主要建设内容为</w:t>
            </w:r>
            <w:r>
              <w:rPr>
                <w:rFonts w:hint="eastAsia" w:cs="Times New Roman"/>
                <w:color w:val="auto"/>
                <w:sz w:val="24"/>
                <w:szCs w:val="24"/>
                <w:highlight w:val="none"/>
                <w:u w:val="single"/>
                <w:vertAlign w:val="baseline"/>
                <w:lang w:val="en-US" w:eastAsia="zh-CN"/>
              </w:rPr>
              <w:t>：1栋2层4S店，一栋四层的综合楼，主要包括</w:t>
            </w:r>
            <w:r>
              <w:rPr>
                <w:rFonts w:hint="eastAsia"/>
                <w:color w:val="auto"/>
                <w:sz w:val="24"/>
                <w:szCs w:val="24"/>
                <w:highlight w:val="none"/>
                <w:u w:val="single"/>
                <w:lang w:val="en-US" w:eastAsia="zh-CN"/>
              </w:rPr>
              <w:t>销展厅、</w:t>
            </w:r>
            <w:r>
              <w:rPr>
                <w:rFonts w:hint="eastAsia"/>
                <w:color w:val="auto"/>
                <w:sz w:val="24"/>
                <w:szCs w:val="24"/>
                <w:highlight w:val="none"/>
                <w:u w:val="single"/>
                <w:vertAlign w:val="baseline"/>
                <w:lang w:val="en-US" w:eastAsia="zh-CN"/>
              </w:rPr>
              <w:t>汽车维修车间、办公室等功能区，</w:t>
            </w:r>
            <w:r>
              <w:rPr>
                <w:bCs/>
                <w:color w:val="000000" w:themeColor="text1"/>
                <w:u w:val="single"/>
                <w14:textFill>
                  <w14:solidFill>
                    <w14:schemeClr w14:val="tx1"/>
                  </w14:solidFill>
                </w14:textFill>
              </w:rPr>
              <w:t>同时建设</w:t>
            </w:r>
            <w:r>
              <w:rPr>
                <w:rFonts w:hint="eastAsia"/>
                <w:bCs/>
                <w:color w:val="000000" w:themeColor="text1"/>
                <w:u w:val="single"/>
                <w14:textFill>
                  <w14:solidFill>
                    <w14:schemeClr w14:val="tx1"/>
                  </w14:solidFill>
                </w14:textFill>
              </w:rPr>
              <w:t>供电</w:t>
            </w:r>
            <w:r>
              <w:rPr>
                <w:bCs/>
                <w:color w:val="000000" w:themeColor="text1"/>
                <w:u w:val="single"/>
                <w14:textFill>
                  <w14:solidFill>
                    <w14:schemeClr w14:val="tx1"/>
                  </w14:solidFill>
                </w14:textFill>
              </w:rPr>
              <w:t>、给排水等配套</w:t>
            </w:r>
            <w:r>
              <w:rPr>
                <w:rFonts w:hint="eastAsia"/>
                <w:bCs/>
                <w:color w:val="000000" w:themeColor="text1"/>
                <w:u w:val="single"/>
                <w:lang w:val="en-US" w:eastAsia="zh-CN"/>
                <w14:textFill>
                  <w14:solidFill>
                    <w14:schemeClr w14:val="tx1"/>
                  </w14:solidFill>
                </w14:textFill>
              </w:rPr>
              <w:t>设施及环保工程</w:t>
            </w:r>
            <w:r>
              <w:rPr>
                <w:rFonts w:hint="eastAsia"/>
                <w:bCs/>
                <w:color w:val="000000" w:themeColor="text1"/>
                <w:u w:val="single"/>
                <w14:textFill>
                  <w14:solidFill>
                    <w14:schemeClr w14:val="tx1"/>
                  </w14:solidFill>
                </w14:textFill>
              </w:rPr>
              <w:t>，</w:t>
            </w:r>
            <w:r>
              <w:rPr>
                <w:bCs/>
                <w:color w:val="000000" w:themeColor="text1"/>
                <w:u w:val="single"/>
                <w14:textFill>
                  <w14:solidFill>
                    <w14:schemeClr w14:val="tx1"/>
                  </w14:solidFill>
                </w14:textFill>
              </w:rPr>
              <w:t>主要工程组成见表</w:t>
            </w:r>
            <w:r>
              <w:rPr>
                <w:rFonts w:hint="eastAsia"/>
                <w:bCs/>
                <w:color w:val="000000" w:themeColor="text1"/>
                <w:u w:val="single"/>
                <w14:textFill>
                  <w14:solidFill>
                    <w14:schemeClr w14:val="tx1"/>
                  </w14:solidFill>
                </w14:textFill>
              </w:rPr>
              <w:t>2</w:t>
            </w:r>
            <w:r>
              <w:rPr>
                <w:bCs/>
                <w:color w:val="000000" w:themeColor="text1"/>
                <w:u w:val="single"/>
                <w14:textFill>
                  <w14:solidFill>
                    <w14:schemeClr w14:val="tx1"/>
                  </w14:solidFill>
                </w14:textFill>
              </w:rPr>
              <w:t>-1。</w:t>
            </w:r>
          </w:p>
          <w:p w14:paraId="7C68A76A">
            <w:pPr>
              <w:spacing w:line="400" w:lineRule="exact"/>
              <w:ind w:firstLine="422"/>
              <w:jc w:val="center"/>
              <w:rPr>
                <w:rFonts w:hint="eastAsia"/>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表2-1   主要建设内容一览表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69"/>
              <w:gridCol w:w="5392"/>
              <w:gridCol w:w="689"/>
            </w:tblGrid>
            <w:tr w14:paraId="0721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noWrap/>
                  <w:vAlign w:val="center"/>
                </w:tcPr>
                <w:p w14:paraId="52614A15">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类别</w:t>
                  </w:r>
                </w:p>
              </w:tc>
              <w:tc>
                <w:tcPr>
                  <w:tcW w:w="4181" w:type="pct"/>
                  <w:gridSpan w:val="2"/>
                  <w:noWrap/>
                  <w:vAlign w:val="center"/>
                </w:tcPr>
                <w:p w14:paraId="5644CEE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建设内容及规模</w:t>
                  </w:r>
                </w:p>
              </w:tc>
              <w:tc>
                <w:tcPr>
                  <w:tcW w:w="407" w:type="pct"/>
                  <w:noWrap/>
                  <w:vAlign w:val="center"/>
                </w:tcPr>
                <w:p w14:paraId="000A000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备注</w:t>
                  </w:r>
                </w:p>
              </w:tc>
            </w:tr>
            <w:tr w14:paraId="4FB1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restart"/>
                  <w:noWrap/>
                  <w:vAlign w:val="center"/>
                </w:tcPr>
                <w:p w14:paraId="24E42FB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主体工程</w:t>
                  </w:r>
                </w:p>
              </w:tc>
              <w:tc>
                <w:tcPr>
                  <w:tcW w:w="988" w:type="pct"/>
                  <w:tcBorders>
                    <w:bottom w:val="single" w:color="000000" w:sz="6" w:space="0"/>
                  </w:tcBorders>
                  <w:noWrap/>
                  <w:vAlign w:val="center"/>
                </w:tcPr>
                <w:p w14:paraId="5E2395FC">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维修车间</w:t>
                  </w:r>
                </w:p>
              </w:tc>
              <w:tc>
                <w:tcPr>
                  <w:tcW w:w="3192" w:type="pct"/>
                  <w:tcBorders>
                    <w:bottom w:val="single" w:color="000000" w:sz="6" w:space="0"/>
                  </w:tcBorders>
                  <w:noWrap/>
                  <w:vAlign w:val="center"/>
                </w:tcPr>
                <w:p w14:paraId="4818E3D3">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位于一层，</w:t>
                  </w:r>
                  <w:r>
                    <w:rPr>
                      <w:rFonts w:hint="eastAsia"/>
                      <w:color w:val="000000" w:themeColor="text1"/>
                      <w:sz w:val="21"/>
                      <w:szCs w:val="21"/>
                      <w:u w:val="single"/>
                      <w14:textFill>
                        <w14:solidFill>
                          <w14:schemeClr w14:val="tx1"/>
                        </w14:solidFill>
                      </w14:textFill>
                    </w:rPr>
                    <w:t>建筑面积</w:t>
                  </w:r>
                  <w:r>
                    <w:rPr>
                      <w:rFonts w:hint="eastAsia"/>
                      <w:color w:val="000000" w:themeColor="text1"/>
                      <w:sz w:val="21"/>
                      <w:szCs w:val="21"/>
                      <w:u w:val="single"/>
                      <w:lang w:val="en-US" w:eastAsia="zh-CN"/>
                      <w14:textFill>
                        <w14:solidFill>
                          <w14:schemeClr w14:val="tx1"/>
                        </w14:solidFill>
                      </w14:textFill>
                    </w:rPr>
                    <w:t>1496</w:t>
                  </w:r>
                  <w:r>
                    <w:rPr>
                      <w:rFonts w:hint="eastAsia"/>
                      <w:color w:val="000000" w:themeColor="text1"/>
                      <w:sz w:val="21"/>
                      <w:szCs w:val="21"/>
                      <w:u w:val="single"/>
                      <w14:textFill>
                        <w14:solidFill>
                          <w14:schemeClr w14:val="tx1"/>
                        </w14:solidFill>
                      </w14:textFill>
                    </w:rPr>
                    <w:t>m</w:t>
                  </w:r>
                  <w:r>
                    <w:rPr>
                      <w:rFonts w:hint="eastAsia"/>
                      <w:color w:val="000000" w:themeColor="text1"/>
                      <w:sz w:val="21"/>
                      <w:szCs w:val="21"/>
                      <w:u w:val="single"/>
                      <w:vertAlign w:val="superscript"/>
                      <w14:textFill>
                        <w14:solidFill>
                          <w14:schemeClr w14:val="tx1"/>
                        </w14:solidFill>
                      </w14:textFill>
                    </w:rPr>
                    <w:t>2</w:t>
                  </w:r>
                  <w:r>
                    <w:rPr>
                      <w:rFonts w:hint="eastAsia" w:ascii="Times New Roman" w:hAnsi="Times New Roman" w:eastAsia="宋体" w:cs="Times New Roman"/>
                      <w:color w:val="000000" w:themeColor="text1"/>
                      <w:sz w:val="21"/>
                      <w:szCs w:val="21"/>
                      <w:u w:val="single"/>
                      <w14:textFill>
                        <w14:solidFill>
                          <w14:schemeClr w14:val="tx1"/>
                        </w14:solidFill>
                      </w14:textFill>
                    </w:rPr>
                    <w:t>，</w:t>
                  </w:r>
                  <w:r>
                    <w:rPr>
                      <w:rFonts w:hint="eastAsia" w:ascii="Times New Roman" w:hAnsi="Times New Roman" w:eastAsia="宋体" w:cs="Times New Roman"/>
                      <w:color w:val="000000" w:themeColor="text1"/>
                      <w:sz w:val="21"/>
                      <w:szCs w:val="21"/>
                      <w:u w:val="single"/>
                      <w:lang w:eastAsia="zh-CN"/>
                      <w14:textFill>
                        <w14:solidFill>
                          <w14:schemeClr w14:val="tx1"/>
                        </w14:solidFill>
                      </w14:textFill>
                    </w:rPr>
                    <w:t>包括机修车间、喷漆</w:t>
                  </w: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房</w:t>
                  </w:r>
                  <w:r>
                    <w:rPr>
                      <w:rFonts w:hint="eastAsia" w:ascii="Times New Roman" w:hAnsi="Times New Roman" w:eastAsia="宋体" w:cs="Times New Roman"/>
                      <w:color w:val="000000" w:themeColor="text1"/>
                      <w:sz w:val="21"/>
                      <w:szCs w:val="21"/>
                      <w:u w:val="single"/>
                      <w:lang w:eastAsia="zh-CN"/>
                      <w14:textFill>
                        <w14:solidFill>
                          <w14:schemeClr w14:val="tx1"/>
                        </w14:solidFill>
                      </w14:textFill>
                    </w:rPr>
                    <w:t>、钣金车间、</w:t>
                  </w:r>
                  <w:r>
                    <w:rPr>
                      <w:rFonts w:hint="eastAsia"/>
                      <w:color w:val="000000" w:themeColor="text1"/>
                      <w:sz w:val="21"/>
                      <w:szCs w:val="21"/>
                      <w:u w:val="single"/>
                      <w:lang w:val="en-US" w:eastAsia="zh-CN"/>
                      <w14:textFill>
                        <w14:solidFill>
                          <w14:schemeClr w14:val="tx1"/>
                        </w14:solidFill>
                      </w14:textFill>
                    </w:rPr>
                    <w:t>备用件及新机油仓库。</w:t>
                  </w:r>
                </w:p>
              </w:tc>
              <w:tc>
                <w:tcPr>
                  <w:tcW w:w="407" w:type="pct"/>
                  <w:vMerge w:val="restart"/>
                  <w:noWrap/>
                  <w:vAlign w:val="center"/>
                </w:tcPr>
                <w:p w14:paraId="3B541DF6">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194E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continue"/>
                  <w:tcBorders>
                    <w:bottom w:val="single" w:color="000000" w:sz="6" w:space="0"/>
                  </w:tcBorders>
                  <w:noWrap/>
                  <w:vAlign w:val="center"/>
                </w:tcPr>
                <w:p w14:paraId="27C1FD23">
                  <w:pPr>
                    <w:spacing w:line="240" w:lineRule="auto"/>
                    <w:ind w:firstLine="0" w:firstLineChars="0"/>
                    <w:jc w:val="center"/>
                    <w:rPr>
                      <w:rFonts w:hint="eastAsia"/>
                      <w:color w:val="000000" w:themeColor="text1"/>
                      <w:sz w:val="21"/>
                      <w:szCs w:val="21"/>
                      <w:u w:val="single"/>
                      <w14:textFill>
                        <w14:solidFill>
                          <w14:schemeClr w14:val="tx1"/>
                        </w14:solidFill>
                      </w14:textFill>
                    </w:rPr>
                  </w:pPr>
                </w:p>
              </w:tc>
              <w:tc>
                <w:tcPr>
                  <w:tcW w:w="988" w:type="pct"/>
                  <w:tcBorders>
                    <w:top w:val="single" w:color="000000" w:sz="6" w:space="0"/>
                    <w:bottom w:val="single" w:color="000000" w:sz="6" w:space="0"/>
                  </w:tcBorders>
                  <w:noWrap/>
                  <w:vAlign w:val="center"/>
                </w:tcPr>
                <w:p w14:paraId="339CA7D7">
                  <w:pPr>
                    <w:spacing w:line="240" w:lineRule="auto"/>
                    <w:ind w:firstLine="0" w:firstLineChars="0"/>
                    <w:jc w:val="center"/>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展销厅</w:t>
                  </w:r>
                </w:p>
              </w:tc>
              <w:tc>
                <w:tcPr>
                  <w:tcW w:w="3192" w:type="pct"/>
                  <w:tcBorders>
                    <w:top w:val="single" w:color="000000" w:sz="6" w:space="0"/>
                    <w:bottom w:val="single" w:color="000000" w:sz="6" w:space="0"/>
                  </w:tcBorders>
                  <w:noWrap/>
                  <w:vAlign w:val="center"/>
                </w:tcPr>
                <w:p w14:paraId="1EF3F92B">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位于一层，</w:t>
                  </w:r>
                  <w:r>
                    <w:rPr>
                      <w:rFonts w:hint="eastAsia"/>
                      <w:color w:val="000000" w:themeColor="text1"/>
                      <w:sz w:val="21"/>
                      <w:szCs w:val="21"/>
                      <w:u w:val="single"/>
                      <w14:textFill>
                        <w14:solidFill>
                          <w14:schemeClr w14:val="tx1"/>
                        </w14:solidFill>
                      </w14:textFill>
                    </w:rPr>
                    <w:t>建筑面积</w:t>
                  </w:r>
                  <w:r>
                    <w:rPr>
                      <w:rFonts w:hint="eastAsia"/>
                      <w:color w:val="000000" w:themeColor="text1"/>
                      <w:sz w:val="21"/>
                      <w:szCs w:val="21"/>
                      <w:u w:val="single"/>
                      <w:lang w:val="en-US" w:eastAsia="zh-CN"/>
                      <w14:textFill>
                        <w14:solidFill>
                          <w14:schemeClr w14:val="tx1"/>
                        </w14:solidFill>
                      </w14:textFill>
                    </w:rPr>
                    <w:t>1152</w:t>
                  </w:r>
                  <w:r>
                    <w:rPr>
                      <w:rFonts w:hint="eastAsia"/>
                      <w:color w:val="000000" w:themeColor="text1"/>
                      <w:sz w:val="21"/>
                      <w:szCs w:val="21"/>
                      <w:u w:val="single"/>
                      <w14:textFill>
                        <w14:solidFill>
                          <w14:schemeClr w14:val="tx1"/>
                        </w14:solidFill>
                      </w14:textFill>
                    </w:rPr>
                    <w:t>m</w:t>
                  </w:r>
                  <w:r>
                    <w:rPr>
                      <w:rFonts w:hint="eastAsia"/>
                      <w:color w:val="000000" w:themeColor="text1"/>
                      <w:sz w:val="21"/>
                      <w:szCs w:val="21"/>
                      <w:u w:val="single"/>
                      <w:vertAlign w:val="superscript"/>
                      <w14:textFill>
                        <w14:solidFill>
                          <w14:schemeClr w14:val="tx1"/>
                        </w14:solidFill>
                      </w14:textFill>
                    </w:rPr>
                    <w:t>2</w:t>
                  </w:r>
                  <w:r>
                    <w:rPr>
                      <w:rFonts w:hint="eastAsia"/>
                      <w:color w:val="000000" w:themeColor="text1"/>
                      <w:sz w:val="21"/>
                      <w:szCs w:val="21"/>
                      <w:u w:val="single"/>
                      <w14:textFill>
                        <w14:solidFill>
                          <w14:schemeClr w14:val="tx1"/>
                        </w14:solidFill>
                      </w14:textFill>
                    </w:rPr>
                    <w:t>，</w:t>
                  </w:r>
                  <w:r>
                    <w:rPr>
                      <w:rFonts w:hint="eastAsia" w:ascii="Times New Roman" w:hAnsi="Times New Roman" w:eastAsia="宋体" w:cs="Times New Roman"/>
                      <w:color w:val="000000" w:themeColor="text1"/>
                      <w:sz w:val="21"/>
                      <w:szCs w:val="21"/>
                      <w:u w:val="single"/>
                      <w:lang w:eastAsia="zh-CN"/>
                      <w14:textFill>
                        <w14:solidFill>
                          <w14:schemeClr w14:val="tx1"/>
                        </w14:solidFill>
                      </w14:textFill>
                    </w:rPr>
                    <w:t>包括展厅、接待区、前台、客户休息区等</w:t>
                  </w:r>
                  <w:r>
                    <w:rPr>
                      <w:rFonts w:hint="eastAsia" w:ascii="Times New Roman" w:hAnsi="Times New Roman" w:eastAsia="宋体" w:cs="Times New Roman"/>
                      <w:color w:val="000000" w:themeColor="text1"/>
                      <w:sz w:val="21"/>
                      <w:szCs w:val="21"/>
                      <w:u w:val="single"/>
                      <w14:textFill>
                        <w14:solidFill>
                          <w14:schemeClr w14:val="tx1"/>
                        </w14:solidFill>
                      </w14:textFill>
                    </w:rPr>
                    <w:t>。</w:t>
                  </w:r>
                </w:p>
              </w:tc>
              <w:tc>
                <w:tcPr>
                  <w:tcW w:w="407" w:type="pct"/>
                  <w:vMerge w:val="continue"/>
                  <w:tcBorders>
                    <w:bottom w:val="single" w:color="000000" w:sz="6" w:space="0"/>
                  </w:tcBorders>
                  <w:noWrap/>
                  <w:vAlign w:val="center"/>
                </w:tcPr>
                <w:p w14:paraId="0036BEC2">
                  <w:pPr>
                    <w:spacing w:line="240" w:lineRule="auto"/>
                    <w:ind w:firstLine="0" w:firstLineChars="0"/>
                    <w:jc w:val="center"/>
                    <w:rPr>
                      <w:color w:val="000000" w:themeColor="text1"/>
                      <w:sz w:val="21"/>
                      <w:szCs w:val="21"/>
                      <w:u w:val="single"/>
                      <w14:textFill>
                        <w14:solidFill>
                          <w14:schemeClr w14:val="tx1"/>
                        </w14:solidFill>
                      </w14:textFill>
                    </w:rPr>
                  </w:pPr>
                </w:p>
              </w:tc>
            </w:tr>
            <w:tr w14:paraId="0212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0" w:type="pct"/>
                  <w:vMerge w:val="restart"/>
                  <w:tcBorders>
                    <w:top w:val="single" w:color="000000" w:sz="6" w:space="0"/>
                  </w:tcBorders>
                  <w:noWrap/>
                  <w:vAlign w:val="center"/>
                </w:tcPr>
                <w:p w14:paraId="7DAF5CCB">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辅助工程</w:t>
                  </w:r>
                </w:p>
              </w:tc>
              <w:tc>
                <w:tcPr>
                  <w:tcW w:w="988" w:type="pct"/>
                  <w:tcBorders>
                    <w:top w:val="single" w:color="000000" w:sz="6" w:space="0"/>
                  </w:tcBorders>
                  <w:noWrap/>
                  <w:vAlign w:val="center"/>
                </w:tcPr>
                <w:p w14:paraId="29AE8067">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楼顶停车坪</w:t>
                  </w:r>
                </w:p>
              </w:tc>
              <w:tc>
                <w:tcPr>
                  <w:tcW w:w="3192" w:type="pct"/>
                  <w:tcBorders>
                    <w:top w:val="single" w:color="000000" w:sz="6" w:space="0"/>
                  </w:tcBorders>
                  <w:shd w:val="clear" w:color="auto" w:fill="auto"/>
                  <w:noWrap/>
                  <w:vAlign w:val="center"/>
                </w:tcPr>
                <w:p w14:paraId="45F8927A">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位于二层，</w:t>
                  </w:r>
                  <w:r>
                    <w:rPr>
                      <w:rFonts w:hint="eastAsia"/>
                      <w:color w:val="000000" w:themeColor="text1"/>
                      <w:sz w:val="21"/>
                      <w:szCs w:val="21"/>
                      <w:u w:val="single"/>
                      <w14:textFill>
                        <w14:solidFill>
                          <w14:schemeClr w14:val="tx1"/>
                        </w14:solidFill>
                      </w14:textFill>
                    </w:rPr>
                    <w:t>建筑面积</w:t>
                  </w:r>
                  <w:r>
                    <w:rPr>
                      <w:rFonts w:hint="eastAsia"/>
                      <w:color w:val="000000" w:themeColor="text1"/>
                      <w:sz w:val="21"/>
                      <w:szCs w:val="21"/>
                      <w:u w:val="single"/>
                      <w:lang w:val="en-US" w:eastAsia="zh-CN"/>
                      <w14:textFill>
                        <w14:solidFill>
                          <w14:schemeClr w14:val="tx1"/>
                        </w14:solidFill>
                      </w14:textFill>
                    </w:rPr>
                    <w:t>2065</w:t>
                  </w:r>
                  <w:r>
                    <w:rPr>
                      <w:rFonts w:hint="eastAsia"/>
                      <w:color w:val="000000" w:themeColor="text1"/>
                      <w:sz w:val="21"/>
                      <w:szCs w:val="21"/>
                      <w:u w:val="single"/>
                      <w14:textFill>
                        <w14:solidFill>
                          <w14:schemeClr w14:val="tx1"/>
                        </w14:solidFill>
                      </w14:textFill>
                    </w:rPr>
                    <w:t>m</w:t>
                  </w:r>
                  <w:r>
                    <w:rPr>
                      <w:rFonts w:hint="eastAsia"/>
                      <w:color w:val="000000" w:themeColor="text1"/>
                      <w:sz w:val="21"/>
                      <w:szCs w:val="21"/>
                      <w:u w:val="single"/>
                      <w:vertAlign w:val="superscript"/>
                      <w14:textFill>
                        <w14:solidFill>
                          <w14:schemeClr w14:val="tx1"/>
                        </w14:solidFill>
                      </w14:textFill>
                    </w:rPr>
                    <w:t>2</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新车停放。</w:t>
                  </w:r>
                </w:p>
              </w:tc>
              <w:tc>
                <w:tcPr>
                  <w:tcW w:w="407" w:type="pct"/>
                  <w:tcBorders>
                    <w:top w:val="single" w:color="000000" w:sz="6" w:space="0"/>
                    <w:bottom w:val="single" w:color="000000" w:sz="4" w:space="0"/>
                  </w:tcBorders>
                  <w:noWrap/>
                  <w:vAlign w:val="center"/>
                </w:tcPr>
                <w:p w14:paraId="57D1ABEF">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608A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0" w:type="pct"/>
                  <w:vMerge w:val="continue"/>
                  <w:noWrap/>
                  <w:vAlign w:val="center"/>
                </w:tcPr>
                <w:p w14:paraId="1F00A16F">
                  <w:pPr>
                    <w:spacing w:line="240" w:lineRule="auto"/>
                    <w:ind w:firstLine="0" w:firstLineChars="0"/>
                    <w:jc w:val="center"/>
                    <w:rPr>
                      <w:rFonts w:hint="eastAsia"/>
                      <w:color w:val="000000" w:themeColor="text1"/>
                      <w:sz w:val="21"/>
                      <w:szCs w:val="21"/>
                      <w:u w:val="single"/>
                      <w14:textFill>
                        <w14:solidFill>
                          <w14:schemeClr w14:val="tx1"/>
                        </w14:solidFill>
                      </w14:textFill>
                    </w:rPr>
                  </w:pPr>
                </w:p>
              </w:tc>
              <w:tc>
                <w:tcPr>
                  <w:tcW w:w="988" w:type="pct"/>
                  <w:tcBorders>
                    <w:top w:val="single" w:color="000000" w:sz="4" w:space="0"/>
                    <w:bottom w:val="single" w:color="auto" w:sz="4" w:space="0"/>
                  </w:tcBorders>
                  <w:noWrap/>
                  <w:vAlign w:val="center"/>
                </w:tcPr>
                <w:p w14:paraId="4FCFD2B4">
                  <w:pPr>
                    <w:spacing w:line="240" w:lineRule="auto"/>
                    <w:ind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color w:val="auto"/>
                      <w:sz w:val="21"/>
                      <w:szCs w:val="21"/>
                      <w:u w:val="single"/>
                      <w:lang w:val="en-US" w:eastAsia="zh-CN"/>
                    </w:rPr>
                    <w:t>综合楼</w:t>
                  </w:r>
                </w:p>
              </w:tc>
              <w:tc>
                <w:tcPr>
                  <w:tcW w:w="3192" w:type="pct"/>
                  <w:tcBorders>
                    <w:top w:val="single" w:color="000000" w:sz="4" w:space="0"/>
                    <w:bottom w:val="single" w:color="auto" w:sz="4" w:space="0"/>
                  </w:tcBorders>
                  <w:noWrap/>
                  <w:vAlign w:val="center"/>
                </w:tcPr>
                <w:p w14:paraId="6A2F5741">
                  <w:pPr>
                    <w:spacing w:line="240" w:lineRule="auto"/>
                    <w:ind w:firstLine="0" w:firstLineChars="0"/>
                    <w:jc w:val="center"/>
                    <w:rPr>
                      <w:rFonts w:hint="default" w:ascii="Times New Roman" w:hAnsi="Times New Roman" w:eastAsia="宋体" w:cs="Times New Roman"/>
                      <w:color w:val="auto"/>
                      <w:kern w:val="2"/>
                      <w:sz w:val="21"/>
                      <w:szCs w:val="21"/>
                      <w:u w:val="single"/>
                      <w:vertAlign w:val="baseline"/>
                      <w:lang w:val="en-US" w:eastAsia="zh-CN" w:bidi="ar-SA"/>
                    </w:rPr>
                  </w:pPr>
                  <w:r>
                    <w:rPr>
                      <w:rFonts w:hint="eastAsia"/>
                      <w:color w:val="auto"/>
                      <w:sz w:val="21"/>
                      <w:szCs w:val="21"/>
                      <w:u w:val="single"/>
                      <w:lang w:val="en-US" w:eastAsia="zh-CN"/>
                    </w:rPr>
                    <w:t>一栋四层，建筑面积840m</w:t>
                  </w:r>
                  <w:r>
                    <w:rPr>
                      <w:rFonts w:hint="eastAsia"/>
                      <w:color w:val="auto"/>
                      <w:sz w:val="21"/>
                      <w:szCs w:val="21"/>
                      <w:u w:val="single"/>
                      <w:vertAlign w:val="superscript"/>
                      <w:lang w:val="en-US" w:eastAsia="zh-CN"/>
                    </w:rPr>
                    <w:t>2</w:t>
                  </w:r>
                  <w:r>
                    <w:rPr>
                      <w:rFonts w:hint="eastAsia"/>
                      <w:color w:val="auto"/>
                      <w:sz w:val="21"/>
                      <w:szCs w:val="21"/>
                      <w:u w:val="single"/>
                      <w:vertAlign w:val="baseline"/>
                      <w:lang w:val="en-US" w:eastAsia="zh-CN"/>
                    </w:rPr>
                    <w:t>，为闲置物、装饰品仓库及综合管理。</w:t>
                  </w:r>
                </w:p>
              </w:tc>
              <w:tc>
                <w:tcPr>
                  <w:tcW w:w="407" w:type="pct"/>
                  <w:tcBorders>
                    <w:top w:val="single" w:color="000000" w:sz="4" w:space="0"/>
                    <w:bottom w:val="single" w:color="auto" w:sz="4" w:space="0"/>
                  </w:tcBorders>
                  <w:noWrap/>
                  <w:vAlign w:val="center"/>
                </w:tcPr>
                <w:p w14:paraId="3000B405">
                  <w:pPr>
                    <w:spacing w:line="240" w:lineRule="auto"/>
                    <w:ind w:firstLine="0" w:firstLineChars="0"/>
                    <w:jc w:val="center"/>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扩建</w:t>
                  </w:r>
                </w:p>
              </w:tc>
            </w:tr>
            <w:tr w14:paraId="5F6E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0" w:type="pct"/>
                  <w:vMerge w:val="continue"/>
                  <w:noWrap/>
                  <w:vAlign w:val="center"/>
                </w:tcPr>
                <w:p w14:paraId="3A2F51AD">
                  <w:pPr>
                    <w:spacing w:line="240" w:lineRule="auto"/>
                    <w:ind w:firstLine="0" w:firstLineChars="0"/>
                    <w:jc w:val="center"/>
                    <w:rPr>
                      <w:rFonts w:hint="eastAsia"/>
                      <w:color w:val="000000" w:themeColor="text1"/>
                      <w:sz w:val="21"/>
                      <w:szCs w:val="21"/>
                      <w:u w:val="single"/>
                      <w14:textFill>
                        <w14:solidFill>
                          <w14:schemeClr w14:val="tx1"/>
                        </w14:solidFill>
                      </w14:textFill>
                    </w:rPr>
                  </w:pPr>
                </w:p>
              </w:tc>
              <w:tc>
                <w:tcPr>
                  <w:tcW w:w="988" w:type="pct"/>
                  <w:tcBorders>
                    <w:top w:val="single" w:color="auto" w:sz="4" w:space="0"/>
                  </w:tcBorders>
                  <w:noWrap/>
                  <w:vAlign w:val="center"/>
                </w:tcPr>
                <w:p w14:paraId="04BE7E2B">
                  <w:pPr>
                    <w:spacing w:line="240" w:lineRule="auto"/>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洗车场</w:t>
                  </w:r>
                </w:p>
              </w:tc>
              <w:tc>
                <w:tcPr>
                  <w:tcW w:w="3192" w:type="pct"/>
                  <w:tcBorders>
                    <w:top w:val="single" w:color="auto" w:sz="4" w:space="0"/>
                  </w:tcBorders>
                  <w:noWrap/>
                  <w:vAlign w:val="center"/>
                </w:tcPr>
                <w:p w14:paraId="468A1102">
                  <w:pPr>
                    <w:spacing w:line="240" w:lineRule="auto"/>
                    <w:ind w:firstLine="0" w:firstLineChars="0"/>
                    <w:jc w:val="center"/>
                    <w:rPr>
                      <w:rFonts w:hint="default"/>
                      <w:color w:val="auto"/>
                      <w:sz w:val="21"/>
                      <w:szCs w:val="21"/>
                      <w:u w:val="single"/>
                      <w:vertAlign w:val="baseline"/>
                      <w:lang w:val="en-US" w:eastAsia="zh-CN"/>
                    </w:rPr>
                  </w:pPr>
                  <w:r>
                    <w:rPr>
                      <w:rFonts w:hint="eastAsia"/>
                      <w:color w:val="auto"/>
                      <w:sz w:val="21"/>
                      <w:szCs w:val="21"/>
                      <w:u w:val="single"/>
                      <w:lang w:val="en-US" w:eastAsia="zh-CN"/>
                    </w:rPr>
                    <w:t>位于西北侧，建筑占地面积约60m</w:t>
                  </w:r>
                  <w:r>
                    <w:rPr>
                      <w:rFonts w:hint="eastAsia"/>
                      <w:color w:val="auto"/>
                      <w:sz w:val="21"/>
                      <w:szCs w:val="21"/>
                      <w:u w:val="single"/>
                      <w:vertAlign w:val="superscript"/>
                      <w:lang w:val="en-US" w:eastAsia="zh-CN"/>
                    </w:rPr>
                    <w:t>2</w:t>
                  </w:r>
                  <w:r>
                    <w:rPr>
                      <w:rFonts w:hint="eastAsia"/>
                      <w:color w:val="auto"/>
                      <w:sz w:val="21"/>
                      <w:szCs w:val="21"/>
                      <w:u w:val="single"/>
                      <w:vertAlign w:val="baseline"/>
                      <w:lang w:val="en-US" w:eastAsia="zh-CN"/>
                    </w:rPr>
                    <w:t>。</w:t>
                  </w:r>
                </w:p>
              </w:tc>
              <w:tc>
                <w:tcPr>
                  <w:tcW w:w="407" w:type="pct"/>
                  <w:tcBorders>
                    <w:top w:val="single" w:color="auto" w:sz="4" w:space="0"/>
                  </w:tcBorders>
                  <w:noWrap/>
                  <w:vAlign w:val="center"/>
                </w:tcPr>
                <w:p w14:paraId="68B098D4">
                  <w:pPr>
                    <w:spacing w:line="240" w:lineRule="auto"/>
                    <w:ind w:firstLine="0" w:firstLineChars="0"/>
                    <w:jc w:val="center"/>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扩建</w:t>
                  </w:r>
                </w:p>
              </w:tc>
            </w:tr>
            <w:tr w14:paraId="2C1C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restart"/>
                  <w:noWrap/>
                  <w:vAlign w:val="center"/>
                </w:tcPr>
                <w:p w14:paraId="164CB75C">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公用工程</w:t>
                  </w:r>
                </w:p>
              </w:tc>
              <w:tc>
                <w:tcPr>
                  <w:tcW w:w="988" w:type="pct"/>
                  <w:noWrap/>
                  <w:vAlign w:val="center"/>
                </w:tcPr>
                <w:p w14:paraId="0B27FB9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给水</w:t>
                  </w:r>
                </w:p>
              </w:tc>
              <w:tc>
                <w:tcPr>
                  <w:tcW w:w="3192" w:type="pct"/>
                  <w:noWrap/>
                  <w:vAlign w:val="center"/>
                </w:tcPr>
                <w:p w14:paraId="5589C285">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市政供水</w:t>
                  </w:r>
                </w:p>
              </w:tc>
              <w:tc>
                <w:tcPr>
                  <w:tcW w:w="407" w:type="pct"/>
                  <w:noWrap/>
                  <w:vAlign w:val="center"/>
                </w:tcPr>
                <w:p w14:paraId="7C0D1188">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r>
            <w:tr w14:paraId="2BE5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continue"/>
                  <w:noWrap/>
                  <w:vAlign w:val="center"/>
                </w:tcPr>
                <w:p w14:paraId="4A018CF2">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noWrap/>
                  <w:vAlign w:val="center"/>
                </w:tcPr>
                <w:p w14:paraId="20771EE2">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排水</w:t>
                  </w:r>
                </w:p>
              </w:tc>
              <w:tc>
                <w:tcPr>
                  <w:tcW w:w="3192" w:type="pct"/>
                  <w:noWrap/>
                  <w:vAlign w:val="center"/>
                </w:tcPr>
                <w:p w14:paraId="76018ED1">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雨污分流 </w:t>
                  </w:r>
                </w:p>
              </w:tc>
              <w:tc>
                <w:tcPr>
                  <w:tcW w:w="407" w:type="pct"/>
                  <w:noWrap/>
                  <w:vAlign w:val="center"/>
                </w:tcPr>
                <w:p w14:paraId="74CFE791">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r>
            <w:tr w14:paraId="26B5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continue"/>
                  <w:noWrap/>
                  <w:vAlign w:val="center"/>
                </w:tcPr>
                <w:p w14:paraId="62B76C35">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noWrap/>
                  <w:vAlign w:val="center"/>
                </w:tcPr>
                <w:p w14:paraId="08F09AA9">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供电</w:t>
                  </w:r>
                </w:p>
              </w:tc>
              <w:tc>
                <w:tcPr>
                  <w:tcW w:w="3192" w:type="pct"/>
                  <w:noWrap/>
                  <w:vAlign w:val="center"/>
                </w:tcPr>
                <w:p w14:paraId="1529959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市政供电 </w:t>
                  </w:r>
                </w:p>
              </w:tc>
              <w:tc>
                <w:tcPr>
                  <w:tcW w:w="407" w:type="pct"/>
                  <w:noWrap/>
                  <w:vAlign w:val="center"/>
                </w:tcPr>
                <w:p w14:paraId="1EBB23AB">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r>
            <w:tr w14:paraId="7EF7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restart"/>
                  <w:noWrap/>
                  <w:vAlign w:val="center"/>
                </w:tcPr>
                <w:p w14:paraId="0814696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环保工程</w:t>
                  </w:r>
                </w:p>
              </w:tc>
              <w:tc>
                <w:tcPr>
                  <w:tcW w:w="988" w:type="pct"/>
                  <w:vMerge w:val="restart"/>
                  <w:noWrap/>
                  <w:vAlign w:val="center"/>
                </w:tcPr>
                <w:p w14:paraId="6B2E1C6E">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废水治理</w:t>
                  </w:r>
                </w:p>
              </w:tc>
              <w:tc>
                <w:tcPr>
                  <w:tcW w:w="3192" w:type="pct"/>
                  <w:noWrap/>
                  <w:vAlign w:val="center"/>
                </w:tcPr>
                <w:p w14:paraId="12F68AE0">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生活污水经化粪池处理后排入</w:t>
                  </w:r>
                  <w:r>
                    <w:rPr>
                      <w:rFonts w:hint="eastAsia"/>
                      <w:color w:val="000000" w:themeColor="text1"/>
                      <w:sz w:val="21"/>
                      <w:szCs w:val="21"/>
                      <w:u w:val="single"/>
                      <w:lang w:val="en-US" w:eastAsia="zh-CN"/>
                      <w14:textFill>
                        <w14:solidFill>
                          <w14:schemeClr w14:val="tx1"/>
                        </w14:solidFill>
                      </w14:textFill>
                    </w:rPr>
                    <w:t>市政污水管网</w:t>
                  </w:r>
                </w:p>
              </w:tc>
              <w:tc>
                <w:tcPr>
                  <w:tcW w:w="407" w:type="pct"/>
                  <w:noWrap/>
                  <w:vAlign w:val="center"/>
                </w:tcPr>
                <w:p w14:paraId="3E546DEC">
                  <w:pPr>
                    <w:spacing w:line="240" w:lineRule="auto"/>
                    <w:ind w:firstLine="0" w:firstLineChars="0"/>
                    <w:jc w:val="center"/>
                    <w:rPr>
                      <w:rFonts w:hint="eastAsia" w:eastAsia="宋体"/>
                      <w:color w:val="000000" w:themeColor="text1"/>
                      <w:sz w:val="21"/>
                      <w:szCs w:val="21"/>
                      <w:u w:val="single"/>
                      <w:lang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5B79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continue"/>
                  <w:noWrap/>
                  <w:vAlign w:val="center"/>
                </w:tcPr>
                <w:p w14:paraId="3746C538">
                  <w:pPr>
                    <w:spacing w:line="240" w:lineRule="auto"/>
                    <w:ind w:firstLine="0" w:firstLineChars="0"/>
                    <w:jc w:val="center"/>
                    <w:rPr>
                      <w:rFonts w:hint="eastAsia"/>
                      <w:color w:val="000000" w:themeColor="text1"/>
                      <w:sz w:val="21"/>
                      <w:szCs w:val="21"/>
                      <w:u w:val="single"/>
                      <w14:textFill>
                        <w14:solidFill>
                          <w14:schemeClr w14:val="tx1"/>
                        </w14:solidFill>
                      </w14:textFill>
                    </w:rPr>
                  </w:pPr>
                </w:p>
              </w:tc>
              <w:tc>
                <w:tcPr>
                  <w:tcW w:w="988" w:type="pct"/>
                  <w:vMerge w:val="continue"/>
                  <w:noWrap/>
                  <w:vAlign w:val="center"/>
                </w:tcPr>
                <w:p w14:paraId="4D454034">
                  <w:pPr>
                    <w:spacing w:line="240" w:lineRule="auto"/>
                    <w:ind w:firstLine="0" w:firstLineChars="0"/>
                    <w:jc w:val="center"/>
                    <w:rPr>
                      <w:rFonts w:hint="eastAsia"/>
                      <w:color w:val="000000" w:themeColor="text1"/>
                      <w:sz w:val="21"/>
                      <w:szCs w:val="21"/>
                      <w:u w:val="single"/>
                      <w14:textFill>
                        <w14:solidFill>
                          <w14:schemeClr w14:val="tx1"/>
                        </w14:solidFill>
                      </w14:textFill>
                    </w:rPr>
                  </w:pPr>
                </w:p>
              </w:tc>
              <w:tc>
                <w:tcPr>
                  <w:tcW w:w="3192" w:type="pct"/>
                  <w:noWrap/>
                  <w:vAlign w:val="center"/>
                </w:tcPr>
                <w:p w14:paraId="5E87A67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洗车废水经沉淀后</w:t>
                  </w:r>
                  <w:r>
                    <w:rPr>
                      <w:rFonts w:hint="eastAsia"/>
                      <w:color w:val="000000" w:themeColor="text1"/>
                      <w:sz w:val="21"/>
                      <w:szCs w:val="21"/>
                      <w:u w:val="single"/>
                      <w14:textFill>
                        <w14:solidFill>
                          <w14:schemeClr w14:val="tx1"/>
                        </w14:solidFill>
                      </w14:textFill>
                    </w:rPr>
                    <w:t>排入</w:t>
                  </w:r>
                  <w:r>
                    <w:rPr>
                      <w:rFonts w:hint="eastAsia"/>
                      <w:color w:val="000000" w:themeColor="text1"/>
                      <w:sz w:val="21"/>
                      <w:szCs w:val="21"/>
                      <w:u w:val="single"/>
                      <w:lang w:val="en-US" w:eastAsia="zh-CN"/>
                      <w14:textFill>
                        <w14:solidFill>
                          <w14:schemeClr w14:val="tx1"/>
                        </w14:solidFill>
                      </w14:textFill>
                    </w:rPr>
                    <w:t>市政污水管网</w:t>
                  </w:r>
                </w:p>
              </w:tc>
              <w:tc>
                <w:tcPr>
                  <w:tcW w:w="407" w:type="pct"/>
                  <w:noWrap/>
                  <w:vAlign w:val="center"/>
                </w:tcPr>
                <w:p w14:paraId="2A0FCF0F">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1A8F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10" w:type="pct"/>
                  <w:vMerge w:val="continue"/>
                  <w:noWrap/>
                  <w:vAlign w:val="center"/>
                </w:tcPr>
                <w:p w14:paraId="4BF34442">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vMerge w:val="restart"/>
                  <w:noWrap/>
                  <w:vAlign w:val="center"/>
                </w:tcPr>
                <w:p w14:paraId="2F8247B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废气治理</w:t>
                  </w:r>
                </w:p>
              </w:tc>
              <w:tc>
                <w:tcPr>
                  <w:tcW w:w="3192" w:type="pct"/>
                  <w:tcBorders>
                    <w:bottom w:val="single" w:color="000000" w:sz="6" w:space="0"/>
                  </w:tcBorders>
                  <w:noWrap/>
                  <w:vAlign w:val="center"/>
                </w:tcPr>
                <w:p w14:paraId="28AFD3C3">
                  <w:pPr>
                    <w:spacing w:line="240" w:lineRule="auto"/>
                    <w:ind w:firstLine="0" w:firstLineChars="0"/>
                    <w:jc w:val="center"/>
                    <w:rPr>
                      <w:rFonts w:hint="eastAsia" w:eastAsia="宋体"/>
                      <w:color w:val="auto"/>
                      <w:sz w:val="21"/>
                      <w:szCs w:val="21"/>
                      <w:u w:val="single"/>
                      <w:lang w:eastAsia="zh-CN"/>
                    </w:rPr>
                  </w:pPr>
                  <w:r>
                    <w:rPr>
                      <w:rFonts w:hint="eastAsia"/>
                      <w:color w:val="auto"/>
                      <w:sz w:val="21"/>
                      <w:szCs w:val="21"/>
                      <w:u w:val="single"/>
                      <w:lang w:val="en-US" w:eastAsia="zh-CN"/>
                    </w:rPr>
                    <w:t>喷漆</w:t>
                  </w:r>
                  <w:r>
                    <w:rPr>
                      <w:rFonts w:hint="eastAsia"/>
                      <w:color w:val="auto"/>
                      <w:sz w:val="21"/>
                      <w:szCs w:val="21"/>
                      <w:u w:val="single"/>
                    </w:rPr>
                    <w:t>废气经</w:t>
                  </w:r>
                  <w:r>
                    <w:rPr>
                      <w:rFonts w:hint="eastAsia"/>
                      <w:color w:val="auto"/>
                      <w:sz w:val="21"/>
                      <w:szCs w:val="21"/>
                      <w:u w:val="single"/>
                      <w:lang w:val="en-US" w:eastAsia="zh-CN"/>
                    </w:rPr>
                    <w:t>过滤棉+活性炭吸附装置处理后经不低于15</w:t>
                  </w:r>
                  <w:r>
                    <w:rPr>
                      <w:rFonts w:hint="eastAsia"/>
                      <w:color w:val="auto"/>
                      <w:sz w:val="21"/>
                      <w:szCs w:val="21"/>
                      <w:u w:val="single"/>
                    </w:rPr>
                    <w:t>m</w:t>
                  </w:r>
                  <w:r>
                    <w:rPr>
                      <w:rFonts w:hint="eastAsia"/>
                      <w:color w:val="auto"/>
                      <w:sz w:val="21"/>
                      <w:szCs w:val="21"/>
                      <w:u w:val="single"/>
                      <w:lang w:val="en-US" w:eastAsia="zh-CN"/>
                    </w:rPr>
                    <w:t>高</w:t>
                  </w:r>
                  <w:r>
                    <w:rPr>
                      <w:rFonts w:hint="eastAsia"/>
                      <w:color w:val="auto"/>
                      <w:sz w:val="21"/>
                      <w:szCs w:val="21"/>
                      <w:u w:val="single"/>
                    </w:rPr>
                    <w:t>排气筒</w:t>
                  </w:r>
                  <w:r>
                    <w:rPr>
                      <w:rFonts w:hint="eastAsia"/>
                      <w:color w:val="auto"/>
                      <w:sz w:val="21"/>
                      <w:szCs w:val="21"/>
                      <w:u w:val="single"/>
                      <w:lang w:val="en-US" w:eastAsia="zh-CN"/>
                    </w:rPr>
                    <w:t>排放</w:t>
                  </w:r>
                </w:p>
              </w:tc>
              <w:tc>
                <w:tcPr>
                  <w:tcW w:w="407" w:type="pct"/>
                  <w:tcBorders>
                    <w:bottom w:val="single" w:color="000000" w:sz="6" w:space="0"/>
                  </w:tcBorders>
                  <w:noWrap/>
                  <w:vAlign w:val="center"/>
                </w:tcPr>
                <w:p w14:paraId="1134FC27">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282A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410" w:type="pct"/>
                  <w:vMerge w:val="continue"/>
                  <w:noWrap/>
                  <w:vAlign w:val="center"/>
                </w:tcPr>
                <w:p w14:paraId="4F46391C">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vMerge w:val="continue"/>
                  <w:noWrap/>
                  <w:vAlign w:val="center"/>
                </w:tcPr>
                <w:p w14:paraId="3297148B">
                  <w:pPr>
                    <w:spacing w:line="240" w:lineRule="auto"/>
                    <w:ind w:firstLine="0" w:firstLineChars="0"/>
                    <w:jc w:val="center"/>
                    <w:rPr>
                      <w:rFonts w:hint="eastAsia"/>
                      <w:color w:val="000000" w:themeColor="text1"/>
                      <w:sz w:val="21"/>
                      <w:szCs w:val="21"/>
                      <w:u w:val="single"/>
                      <w14:textFill>
                        <w14:solidFill>
                          <w14:schemeClr w14:val="tx1"/>
                        </w14:solidFill>
                      </w14:textFill>
                    </w:rPr>
                  </w:pPr>
                </w:p>
              </w:tc>
              <w:tc>
                <w:tcPr>
                  <w:tcW w:w="3192" w:type="pct"/>
                  <w:tcBorders>
                    <w:top w:val="single" w:color="000000" w:sz="6" w:space="0"/>
                    <w:bottom w:val="single" w:color="000000" w:sz="6" w:space="0"/>
                  </w:tcBorders>
                  <w:noWrap/>
                  <w:vAlign w:val="center"/>
                </w:tcPr>
                <w:p w14:paraId="73A005A8">
                  <w:pPr>
                    <w:spacing w:line="240" w:lineRule="auto"/>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打磨粉尘经吸尘器处理后车间内无组织排放</w:t>
                  </w:r>
                </w:p>
              </w:tc>
              <w:tc>
                <w:tcPr>
                  <w:tcW w:w="407" w:type="pct"/>
                  <w:tcBorders>
                    <w:top w:val="single" w:color="000000" w:sz="6" w:space="0"/>
                    <w:bottom w:val="single" w:color="000000" w:sz="6" w:space="0"/>
                  </w:tcBorders>
                  <w:noWrap/>
                  <w:vAlign w:val="center"/>
                </w:tcPr>
                <w:p w14:paraId="16E03913">
                  <w:pPr>
                    <w:spacing w:line="240" w:lineRule="auto"/>
                    <w:ind w:firstLine="0" w:firstLineChars="0"/>
                    <w:jc w:val="center"/>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2A1B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0" w:type="pct"/>
                  <w:vMerge w:val="continue"/>
                  <w:noWrap/>
                  <w:vAlign w:val="center"/>
                </w:tcPr>
                <w:p w14:paraId="31C6CEA7">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vMerge w:val="continue"/>
                  <w:noWrap/>
                  <w:vAlign w:val="center"/>
                </w:tcPr>
                <w:p w14:paraId="5754F5AE">
                  <w:pPr>
                    <w:spacing w:line="240" w:lineRule="auto"/>
                    <w:ind w:firstLine="0" w:firstLineChars="0"/>
                    <w:jc w:val="center"/>
                    <w:rPr>
                      <w:rFonts w:hint="eastAsia"/>
                      <w:color w:val="000000" w:themeColor="text1"/>
                      <w:sz w:val="21"/>
                      <w:szCs w:val="21"/>
                      <w:u w:val="single"/>
                      <w14:textFill>
                        <w14:solidFill>
                          <w14:schemeClr w14:val="tx1"/>
                        </w14:solidFill>
                      </w14:textFill>
                    </w:rPr>
                  </w:pPr>
                </w:p>
              </w:tc>
              <w:tc>
                <w:tcPr>
                  <w:tcW w:w="3192" w:type="pct"/>
                  <w:tcBorders>
                    <w:top w:val="single" w:color="000000" w:sz="6" w:space="0"/>
                  </w:tcBorders>
                  <w:noWrap/>
                  <w:vAlign w:val="center"/>
                </w:tcPr>
                <w:p w14:paraId="3584C730">
                  <w:pPr>
                    <w:spacing w:line="240" w:lineRule="auto"/>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焊接烟气经焊烟净化器处理后车间内无组织排放</w:t>
                  </w:r>
                </w:p>
              </w:tc>
              <w:tc>
                <w:tcPr>
                  <w:tcW w:w="407" w:type="pct"/>
                  <w:tcBorders>
                    <w:top w:val="single" w:color="000000" w:sz="6" w:space="0"/>
                  </w:tcBorders>
                  <w:noWrap/>
                  <w:vAlign w:val="center"/>
                </w:tcPr>
                <w:p w14:paraId="1B81902D">
                  <w:pPr>
                    <w:spacing w:line="240" w:lineRule="auto"/>
                    <w:ind w:firstLine="0" w:firstLineChars="0"/>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新增</w:t>
                  </w:r>
                </w:p>
              </w:tc>
            </w:tr>
            <w:tr w14:paraId="4C57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continue"/>
                  <w:noWrap/>
                  <w:vAlign w:val="center"/>
                </w:tcPr>
                <w:p w14:paraId="5507F949">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noWrap/>
                  <w:vAlign w:val="center"/>
                </w:tcPr>
                <w:p w14:paraId="5FD7E88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噪声治理</w:t>
                  </w:r>
                </w:p>
              </w:tc>
              <w:tc>
                <w:tcPr>
                  <w:tcW w:w="3192" w:type="pct"/>
                  <w:noWrap/>
                  <w:vAlign w:val="center"/>
                </w:tcPr>
                <w:p w14:paraId="16F96C2D">
                  <w:pPr>
                    <w:spacing w:line="240" w:lineRule="auto"/>
                    <w:ind w:firstLine="0" w:firstLineChars="0"/>
                    <w:jc w:val="center"/>
                    <w:rPr>
                      <w:rFonts w:hint="eastAsia"/>
                      <w:color w:val="auto"/>
                      <w:sz w:val="21"/>
                      <w:szCs w:val="21"/>
                      <w:u w:val="single"/>
                    </w:rPr>
                  </w:pPr>
                  <w:r>
                    <w:rPr>
                      <w:rFonts w:hint="eastAsia"/>
                      <w:color w:val="auto"/>
                      <w:sz w:val="21"/>
                      <w:szCs w:val="21"/>
                      <w:u w:val="single"/>
                    </w:rPr>
                    <w:t>噪声设备减振、厂房墙壁隔声等措施</w:t>
                  </w:r>
                </w:p>
              </w:tc>
              <w:tc>
                <w:tcPr>
                  <w:tcW w:w="407" w:type="pct"/>
                  <w:noWrap/>
                  <w:vAlign w:val="center"/>
                </w:tcPr>
                <w:p w14:paraId="3CFFCB04">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187B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continue"/>
                  <w:noWrap/>
                  <w:vAlign w:val="center"/>
                </w:tcPr>
                <w:p w14:paraId="447245A4">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vMerge w:val="restart"/>
                  <w:noWrap/>
                  <w:vAlign w:val="center"/>
                </w:tcPr>
                <w:p w14:paraId="3FAAEE2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固废治理</w:t>
                  </w:r>
                </w:p>
              </w:tc>
              <w:tc>
                <w:tcPr>
                  <w:tcW w:w="3192" w:type="pct"/>
                  <w:noWrap/>
                  <w:vAlign w:val="center"/>
                </w:tcPr>
                <w:p w14:paraId="4DB4BF53">
                  <w:pPr>
                    <w:spacing w:line="240" w:lineRule="auto"/>
                    <w:ind w:firstLine="0" w:firstLineChars="0"/>
                    <w:jc w:val="center"/>
                    <w:rPr>
                      <w:color w:val="auto"/>
                      <w:sz w:val="21"/>
                      <w:szCs w:val="21"/>
                      <w:u w:val="single"/>
                    </w:rPr>
                  </w:pPr>
                  <w:r>
                    <w:rPr>
                      <w:rFonts w:hint="eastAsia"/>
                      <w:color w:val="auto"/>
                      <w:sz w:val="21"/>
                      <w:szCs w:val="21"/>
                      <w:u w:val="single"/>
                    </w:rPr>
                    <w:t>危废暂存间</w:t>
                  </w:r>
                  <w:r>
                    <w:rPr>
                      <w:rFonts w:hint="eastAsia"/>
                      <w:color w:val="auto"/>
                      <w:sz w:val="21"/>
                      <w:szCs w:val="21"/>
                      <w:u w:val="single"/>
                      <w:lang w:val="en-US" w:eastAsia="zh-CN"/>
                    </w:rPr>
                    <w:t>15</w:t>
                  </w:r>
                  <w:r>
                    <w:rPr>
                      <w:rFonts w:hint="eastAsia"/>
                      <w:color w:val="auto"/>
                      <w:sz w:val="21"/>
                      <w:szCs w:val="21"/>
                      <w:u w:val="single"/>
                    </w:rPr>
                    <w:t>m</w:t>
                  </w:r>
                  <w:r>
                    <w:rPr>
                      <w:rFonts w:hint="eastAsia"/>
                      <w:color w:val="auto"/>
                      <w:sz w:val="21"/>
                      <w:szCs w:val="21"/>
                      <w:u w:val="single"/>
                      <w:vertAlign w:val="superscript"/>
                    </w:rPr>
                    <w:t>2</w:t>
                  </w:r>
                  <w:r>
                    <w:rPr>
                      <w:rFonts w:hint="eastAsia"/>
                      <w:color w:val="auto"/>
                      <w:sz w:val="21"/>
                      <w:szCs w:val="21"/>
                      <w:u w:val="single"/>
                    </w:rPr>
                    <w:t>位于1层，定期委托有危险废物处理处置资质的单位处置；一般固废间</w:t>
                  </w:r>
                  <w:r>
                    <w:rPr>
                      <w:rFonts w:hint="eastAsia"/>
                      <w:color w:val="auto"/>
                      <w:sz w:val="21"/>
                      <w:szCs w:val="21"/>
                      <w:u w:val="single"/>
                      <w:lang w:val="en-US" w:eastAsia="zh-CN"/>
                    </w:rPr>
                    <w:t>15</w:t>
                  </w:r>
                  <w:r>
                    <w:rPr>
                      <w:rFonts w:hint="eastAsia"/>
                      <w:color w:val="auto"/>
                      <w:sz w:val="21"/>
                      <w:szCs w:val="21"/>
                      <w:u w:val="single"/>
                    </w:rPr>
                    <w:t>m</w:t>
                  </w:r>
                  <w:r>
                    <w:rPr>
                      <w:rFonts w:hint="eastAsia"/>
                      <w:color w:val="auto"/>
                      <w:sz w:val="21"/>
                      <w:szCs w:val="21"/>
                      <w:u w:val="single"/>
                      <w:vertAlign w:val="superscript"/>
                    </w:rPr>
                    <w:t>2</w:t>
                  </w:r>
                  <w:r>
                    <w:rPr>
                      <w:rFonts w:hint="eastAsia"/>
                      <w:color w:val="auto"/>
                      <w:sz w:val="21"/>
                      <w:szCs w:val="21"/>
                      <w:u w:val="single"/>
                    </w:rPr>
                    <w:t>位于1层</w:t>
                  </w:r>
                </w:p>
              </w:tc>
              <w:tc>
                <w:tcPr>
                  <w:tcW w:w="407" w:type="pct"/>
                  <w:noWrap/>
                  <w:vAlign w:val="center"/>
                </w:tcPr>
                <w:p w14:paraId="3ED9A9CC">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r w14:paraId="4F46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pct"/>
                  <w:vMerge w:val="continue"/>
                  <w:noWrap/>
                  <w:vAlign w:val="center"/>
                </w:tcPr>
                <w:p w14:paraId="33C145CD">
                  <w:pPr>
                    <w:spacing w:line="240" w:lineRule="auto"/>
                    <w:ind w:firstLine="0" w:firstLineChars="0"/>
                    <w:jc w:val="center"/>
                    <w:rPr>
                      <w:color w:val="000000" w:themeColor="text1"/>
                      <w:sz w:val="21"/>
                      <w:szCs w:val="21"/>
                      <w:u w:val="single"/>
                      <w14:textFill>
                        <w14:solidFill>
                          <w14:schemeClr w14:val="tx1"/>
                        </w14:solidFill>
                      </w14:textFill>
                    </w:rPr>
                  </w:pPr>
                </w:p>
              </w:tc>
              <w:tc>
                <w:tcPr>
                  <w:tcW w:w="988" w:type="pct"/>
                  <w:vMerge w:val="continue"/>
                  <w:noWrap/>
                  <w:vAlign w:val="center"/>
                </w:tcPr>
                <w:p w14:paraId="0437C69E">
                  <w:pPr>
                    <w:spacing w:line="240" w:lineRule="auto"/>
                    <w:ind w:firstLine="0" w:firstLineChars="0"/>
                    <w:jc w:val="center"/>
                    <w:rPr>
                      <w:color w:val="000000" w:themeColor="text1"/>
                      <w:sz w:val="21"/>
                      <w:szCs w:val="21"/>
                      <w:u w:val="single"/>
                      <w14:textFill>
                        <w14:solidFill>
                          <w14:schemeClr w14:val="tx1"/>
                        </w14:solidFill>
                      </w14:textFill>
                    </w:rPr>
                  </w:pPr>
                </w:p>
              </w:tc>
              <w:tc>
                <w:tcPr>
                  <w:tcW w:w="3192" w:type="pct"/>
                  <w:noWrap/>
                  <w:vAlign w:val="center"/>
                </w:tcPr>
                <w:p w14:paraId="261C117E">
                  <w:pPr>
                    <w:spacing w:line="240" w:lineRule="auto"/>
                    <w:ind w:firstLine="0" w:firstLineChars="0"/>
                    <w:jc w:val="center"/>
                    <w:rPr>
                      <w:color w:val="auto"/>
                      <w:sz w:val="21"/>
                      <w:szCs w:val="21"/>
                      <w:u w:val="single"/>
                    </w:rPr>
                  </w:pPr>
                  <w:r>
                    <w:rPr>
                      <w:rFonts w:hint="eastAsia"/>
                      <w:color w:val="auto"/>
                      <w:sz w:val="21"/>
                      <w:szCs w:val="21"/>
                      <w:u w:val="single"/>
                    </w:rPr>
                    <w:t>生活垃圾统一收集，定期交环卫部门清运</w:t>
                  </w:r>
                </w:p>
              </w:tc>
              <w:tc>
                <w:tcPr>
                  <w:tcW w:w="407" w:type="pct"/>
                  <w:noWrap/>
                  <w:vAlign w:val="center"/>
                </w:tcPr>
                <w:p w14:paraId="32F1340B">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已建</w:t>
                  </w:r>
                </w:p>
              </w:tc>
            </w:tr>
          </w:tbl>
          <w:p w14:paraId="3A5D0B7A">
            <w:pPr>
              <w:widowControl/>
              <w:ind w:firstLine="482"/>
              <w:jc w:val="left"/>
              <w:rPr>
                <w:b/>
                <w:color w:val="000000" w:themeColor="text1"/>
                <w:kern w:val="0"/>
                <w:u w:val="single"/>
                <w14:textFill>
                  <w14:solidFill>
                    <w14:schemeClr w14:val="tx1"/>
                  </w14:solidFill>
                </w14:textFill>
              </w:rPr>
            </w:pPr>
            <w:r>
              <w:rPr>
                <w:rFonts w:hint="eastAsia"/>
                <w:b/>
                <w:color w:val="000000" w:themeColor="text1"/>
                <w:kern w:val="0"/>
                <w:u w:val="single"/>
                <w14:textFill>
                  <w14:solidFill>
                    <w14:schemeClr w14:val="tx1"/>
                  </w14:solidFill>
                </w14:textFill>
              </w:rPr>
              <w:t>（二）主要产品</w:t>
            </w:r>
          </w:p>
          <w:p w14:paraId="01D7C14F">
            <w:pPr>
              <w:ind w:firstLine="480"/>
              <w:rPr>
                <w:rFonts w:hint="eastAsia" w:ascii="Times New Roman" w:hAnsi="Times New Roman" w:eastAsia="宋体" w:cs="Times New Roman"/>
                <w:color w:val="auto"/>
                <w:sz w:val="24"/>
                <w:highlight w:val="none"/>
                <w:u w:val="single"/>
                <w:lang w:eastAsia="zh-CN"/>
              </w:rPr>
            </w:pPr>
            <w:r>
              <w:rPr>
                <w:rFonts w:hint="eastAsia" w:ascii="Times New Roman" w:hAnsi="Times New Roman" w:eastAsia="宋体" w:cs="Times New Roman"/>
                <w:color w:val="auto"/>
                <w:sz w:val="24"/>
                <w:highlight w:val="none"/>
                <w:u w:val="single"/>
                <w:lang w:val="en-US" w:eastAsia="zh-CN"/>
              </w:rPr>
              <w:t>本项目</w:t>
            </w:r>
            <w:r>
              <w:rPr>
                <w:rFonts w:hint="eastAsia" w:ascii="Times New Roman" w:hAnsi="Times New Roman" w:eastAsia="宋体" w:cs="Times New Roman"/>
                <w:color w:val="auto"/>
                <w:sz w:val="24"/>
                <w:highlight w:val="none"/>
                <w:u w:val="single"/>
                <w:lang w:eastAsia="zh-CN"/>
              </w:rPr>
              <w:t>设计年维修保养汽车</w:t>
            </w:r>
            <w:r>
              <w:rPr>
                <w:rFonts w:hint="eastAsia" w:ascii="Times New Roman" w:hAnsi="Times New Roman" w:eastAsia="宋体" w:cs="Times New Roman"/>
                <w:color w:val="auto"/>
                <w:sz w:val="24"/>
                <w:highlight w:val="none"/>
                <w:u w:val="single"/>
                <w:lang w:val="en-US" w:eastAsia="zh-CN"/>
              </w:rPr>
              <w:t>4500台次</w:t>
            </w:r>
            <w:r>
              <w:rPr>
                <w:rFonts w:hint="eastAsia" w:ascii="Times New Roman" w:hAnsi="Times New Roman" w:cs="Times New Roman"/>
                <w:color w:val="auto"/>
                <w:sz w:val="24"/>
                <w:highlight w:val="none"/>
                <w:u w:val="single"/>
                <w:lang w:val="en-US" w:eastAsia="zh-CN"/>
              </w:rPr>
              <w:t>，其中</w:t>
            </w:r>
            <w:r>
              <w:rPr>
                <w:rFonts w:hint="eastAsia" w:ascii="Times New Roman" w:hAnsi="Times New Roman" w:eastAsia="宋体" w:cs="Times New Roman"/>
                <w:color w:val="auto"/>
                <w:sz w:val="24"/>
                <w:highlight w:val="none"/>
                <w:u w:val="single"/>
                <w:lang w:val="en-US" w:eastAsia="zh-CN"/>
              </w:rPr>
              <w:t>年保养车辆为3300台</w:t>
            </w:r>
            <w:r>
              <w:rPr>
                <w:rFonts w:hint="eastAsia" w:ascii="Times New Roman" w:hAnsi="Times New Roman" w:cs="Times New Roman"/>
                <w:color w:val="auto"/>
                <w:sz w:val="24"/>
                <w:highlight w:val="none"/>
                <w:u w:val="single"/>
                <w:lang w:val="en-US" w:eastAsia="zh-CN"/>
              </w:rPr>
              <w:t>，</w:t>
            </w:r>
            <w:r>
              <w:rPr>
                <w:rFonts w:hint="eastAsia" w:ascii="Times New Roman" w:hAnsi="Times New Roman" w:eastAsia="宋体" w:cs="Times New Roman"/>
                <w:color w:val="auto"/>
                <w:sz w:val="24"/>
                <w:highlight w:val="none"/>
                <w:u w:val="single"/>
                <w:lang w:val="en-US" w:eastAsia="zh-CN"/>
              </w:rPr>
              <w:t>年维修车辆1200台</w:t>
            </w:r>
            <w:r>
              <w:rPr>
                <w:rFonts w:hint="eastAsia" w:ascii="Times New Roman" w:hAnsi="Times New Roman" w:cs="Times New Roman"/>
                <w:color w:val="auto"/>
                <w:sz w:val="24"/>
                <w:highlight w:val="none"/>
                <w:u w:val="single"/>
                <w:lang w:val="en-US" w:eastAsia="zh-CN"/>
              </w:rPr>
              <w:t>（</w:t>
            </w:r>
            <w:r>
              <w:rPr>
                <w:rFonts w:hint="eastAsia" w:ascii="Times New Roman" w:hAnsi="Times New Roman" w:eastAsia="宋体" w:cs="Times New Roman"/>
                <w:color w:val="auto"/>
                <w:sz w:val="24"/>
                <w:highlight w:val="none"/>
                <w:u w:val="single"/>
                <w:lang w:val="en-US" w:eastAsia="zh-CN"/>
              </w:rPr>
              <w:t>其中一般维修车辆</w:t>
            </w:r>
            <w:r>
              <w:rPr>
                <w:rFonts w:hint="eastAsia" w:ascii="Times New Roman" w:hAnsi="Times New Roman" w:cs="Times New Roman"/>
                <w:color w:val="auto"/>
                <w:sz w:val="24"/>
                <w:highlight w:val="none"/>
                <w:u w:val="single"/>
                <w:lang w:val="en-US" w:eastAsia="zh-CN"/>
              </w:rPr>
              <w:t>5</w:t>
            </w:r>
            <w:r>
              <w:rPr>
                <w:rFonts w:hint="eastAsia" w:ascii="Times New Roman" w:hAnsi="Times New Roman" w:eastAsia="宋体" w:cs="Times New Roman"/>
                <w:color w:val="auto"/>
                <w:sz w:val="24"/>
                <w:highlight w:val="none"/>
                <w:u w:val="single"/>
                <w:lang w:val="en-US" w:eastAsia="zh-CN"/>
              </w:rPr>
              <w:t>00台，事故维修车辆</w:t>
            </w:r>
            <w:r>
              <w:rPr>
                <w:rFonts w:hint="eastAsia" w:ascii="Times New Roman" w:hAnsi="Times New Roman" w:cs="Times New Roman"/>
                <w:color w:val="auto"/>
                <w:sz w:val="24"/>
                <w:highlight w:val="none"/>
                <w:u w:val="single"/>
                <w:lang w:val="en-US" w:eastAsia="zh-CN"/>
              </w:rPr>
              <w:t>7</w:t>
            </w:r>
            <w:r>
              <w:rPr>
                <w:rFonts w:hint="eastAsia" w:ascii="Times New Roman" w:hAnsi="Times New Roman" w:eastAsia="宋体" w:cs="Times New Roman"/>
                <w:color w:val="auto"/>
                <w:sz w:val="24"/>
                <w:highlight w:val="none"/>
                <w:u w:val="single"/>
                <w:lang w:val="en-US" w:eastAsia="zh-CN"/>
              </w:rPr>
              <w:t>00台</w:t>
            </w:r>
            <w:r>
              <w:rPr>
                <w:rFonts w:hint="eastAsia" w:ascii="Times New Roman" w:hAnsi="Times New Roman" w:cs="Times New Roman"/>
                <w:color w:val="auto"/>
                <w:sz w:val="24"/>
                <w:highlight w:val="none"/>
                <w:u w:val="single"/>
                <w:lang w:val="en-US" w:eastAsia="zh-CN"/>
              </w:rPr>
              <w:t>），</w:t>
            </w:r>
            <w:r>
              <w:rPr>
                <w:rFonts w:hint="eastAsia" w:ascii="Times New Roman" w:hAnsi="Times New Roman" w:eastAsia="宋体" w:cs="Times New Roman"/>
                <w:color w:val="auto"/>
                <w:sz w:val="24"/>
                <w:highlight w:val="none"/>
                <w:u w:val="single"/>
                <w:lang w:val="en-US" w:eastAsia="zh-CN"/>
              </w:rPr>
              <w:t>年清洗汽车辆为4500台），预计年销售新车500辆。</w:t>
            </w:r>
          </w:p>
          <w:p w14:paraId="43376CCB">
            <w:pPr>
              <w:ind w:firstLine="482"/>
              <w:jc w:val="left"/>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（三）主要原辅材料</w:t>
            </w:r>
          </w:p>
          <w:p w14:paraId="16461D11">
            <w:pPr>
              <w:tabs>
                <w:tab w:val="center" w:pos="4871"/>
              </w:tabs>
              <w:ind w:firstLine="480"/>
              <w:jc w:val="left"/>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本项目主要原辅材料见下表2-</w:t>
            </w:r>
            <w:r>
              <w:rPr>
                <w:rFonts w:hint="eastAsia"/>
                <w:color w:val="000000" w:themeColor="text1"/>
                <w:u w:val="single"/>
                <w:lang w:val="en-US" w:eastAsia="zh-CN"/>
                <w14:textFill>
                  <w14:solidFill>
                    <w14:schemeClr w14:val="tx1"/>
                  </w14:solidFill>
                </w14:textFill>
              </w:rPr>
              <w:t>2</w:t>
            </w:r>
            <w:r>
              <w:rPr>
                <w:rFonts w:hint="eastAsia"/>
                <w:color w:val="000000" w:themeColor="text1"/>
                <w:u w:val="single"/>
                <w14:textFill>
                  <w14:solidFill>
                    <w14:schemeClr w14:val="tx1"/>
                  </w14:solidFill>
                </w14:textFill>
              </w:rPr>
              <w:t>。</w:t>
            </w:r>
          </w:p>
          <w:p w14:paraId="39B265BF">
            <w:pPr>
              <w:spacing w:line="400" w:lineRule="exact"/>
              <w:ind w:firstLine="422"/>
              <w:jc w:val="center"/>
              <w:rPr>
                <w:rFonts w:hint="eastAsia"/>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表2-</w:t>
            </w:r>
            <w:r>
              <w:rPr>
                <w:rFonts w:hint="eastAsia"/>
                <w:b/>
                <w:bCs/>
                <w:color w:val="000000" w:themeColor="text1"/>
                <w:sz w:val="21"/>
                <w:szCs w:val="21"/>
                <w:u w:val="single"/>
                <w:lang w:val="en-US" w:eastAsia="zh-CN"/>
                <w14:textFill>
                  <w14:solidFill>
                    <w14:schemeClr w14:val="tx1"/>
                  </w14:solidFill>
                </w14:textFill>
              </w:rPr>
              <w:t>2</w:t>
            </w:r>
            <w:r>
              <w:rPr>
                <w:rFonts w:hint="eastAsia"/>
                <w:b/>
                <w:bCs/>
                <w:color w:val="000000" w:themeColor="text1"/>
                <w:sz w:val="21"/>
                <w:szCs w:val="21"/>
                <w:u w:val="single"/>
                <w14:textFill>
                  <w14:solidFill>
                    <w14:schemeClr w14:val="tx1"/>
                  </w14:solidFill>
                </w14:textFill>
              </w:rPr>
              <w:t xml:space="preserve">  主要原辅材料一览表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278"/>
              <w:gridCol w:w="1363"/>
              <w:gridCol w:w="1199"/>
              <w:gridCol w:w="1199"/>
              <w:gridCol w:w="844"/>
              <w:gridCol w:w="913"/>
            </w:tblGrid>
            <w:tr w14:paraId="6E6D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noWrap w:val="0"/>
                  <w:vAlign w:val="center"/>
                </w:tcPr>
                <w:p w14:paraId="3AC0A2E7">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序号</w:t>
                  </w:r>
                </w:p>
              </w:tc>
              <w:tc>
                <w:tcPr>
                  <w:tcW w:w="1349" w:type="pct"/>
                  <w:tcBorders>
                    <w:tl2br w:val="nil"/>
                    <w:tr2bl w:val="nil"/>
                  </w:tcBorders>
                  <w:noWrap w:val="0"/>
                  <w:vAlign w:val="center"/>
                </w:tcPr>
                <w:p w14:paraId="6AF2CBDB">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原辅料名称</w:t>
                  </w:r>
                </w:p>
              </w:tc>
              <w:tc>
                <w:tcPr>
                  <w:tcW w:w="807" w:type="pct"/>
                  <w:tcBorders>
                    <w:tl2br w:val="nil"/>
                    <w:tr2bl w:val="nil"/>
                  </w:tcBorders>
                  <w:noWrap w:val="0"/>
                  <w:vAlign w:val="center"/>
                </w:tcPr>
                <w:p w14:paraId="35FC5959">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用量（t/a）</w:t>
                  </w:r>
                </w:p>
              </w:tc>
              <w:tc>
                <w:tcPr>
                  <w:tcW w:w="710" w:type="pct"/>
                  <w:tcBorders>
                    <w:tl2br w:val="nil"/>
                    <w:tr2bl w:val="nil"/>
                  </w:tcBorders>
                  <w:noWrap w:val="0"/>
                  <w:vAlign w:val="center"/>
                </w:tcPr>
                <w:p w14:paraId="00699728">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最大存放量（L）</w:t>
                  </w:r>
                </w:p>
              </w:tc>
              <w:tc>
                <w:tcPr>
                  <w:tcW w:w="710" w:type="pct"/>
                  <w:tcBorders>
                    <w:tl2br w:val="nil"/>
                    <w:tr2bl w:val="nil"/>
                  </w:tcBorders>
                  <w:noWrap w:val="0"/>
                  <w:vAlign w:val="center"/>
                </w:tcPr>
                <w:p w14:paraId="6D762621">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包装规格</w:t>
                  </w:r>
                </w:p>
              </w:tc>
              <w:tc>
                <w:tcPr>
                  <w:tcW w:w="500" w:type="pct"/>
                  <w:tcBorders>
                    <w:tl2br w:val="nil"/>
                    <w:tr2bl w:val="nil"/>
                  </w:tcBorders>
                  <w:noWrap w:val="0"/>
                  <w:vAlign w:val="center"/>
                </w:tcPr>
                <w:p w14:paraId="377101F7">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性状</w:t>
                  </w:r>
                </w:p>
              </w:tc>
              <w:tc>
                <w:tcPr>
                  <w:tcW w:w="540" w:type="pct"/>
                  <w:tcBorders>
                    <w:tl2br w:val="nil"/>
                    <w:tr2bl w:val="nil"/>
                  </w:tcBorders>
                  <w:noWrap w:val="0"/>
                  <w:vAlign w:val="center"/>
                </w:tcPr>
                <w:p w14:paraId="1709672A">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主要用途</w:t>
                  </w:r>
                </w:p>
              </w:tc>
            </w:tr>
            <w:tr w14:paraId="75A7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noWrap/>
                  <w:vAlign w:val="center"/>
                </w:tcPr>
                <w:p w14:paraId="58328C50">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1</w:t>
                  </w:r>
                </w:p>
              </w:tc>
              <w:tc>
                <w:tcPr>
                  <w:tcW w:w="1349" w:type="pct"/>
                  <w:tcBorders>
                    <w:tl2br w:val="nil"/>
                    <w:tr2bl w:val="nil"/>
                  </w:tcBorders>
                  <w:noWrap w:val="0"/>
                  <w:vAlign w:val="center"/>
                </w:tcPr>
                <w:p w14:paraId="4EA6F412">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水性漆</w:t>
                  </w:r>
                </w:p>
              </w:tc>
              <w:tc>
                <w:tcPr>
                  <w:tcW w:w="807" w:type="pct"/>
                  <w:tcBorders>
                    <w:tl2br w:val="nil"/>
                    <w:tr2bl w:val="nil"/>
                  </w:tcBorders>
                  <w:noWrap/>
                  <w:vAlign w:val="center"/>
                </w:tcPr>
                <w:p w14:paraId="0FE25FCC">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0.15</w:t>
                  </w:r>
                </w:p>
              </w:tc>
              <w:tc>
                <w:tcPr>
                  <w:tcW w:w="710" w:type="pct"/>
                  <w:tcBorders>
                    <w:tl2br w:val="nil"/>
                    <w:tr2bl w:val="nil"/>
                  </w:tcBorders>
                  <w:noWrap/>
                  <w:vAlign w:val="center"/>
                </w:tcPr>
                <w:p w14:paraId="4AC33E63">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150</w:t>
                  </w:r>
                </w:p>
              </w:tc>
              <w:tc>
                <w:tcPr>
                  <w:tcW w:w="710" w:type="pct"/>
                  <w:tcBorders>
                    <w:tl2br w:val="nil"/>
                    <w:tr2bl w:val="nil"/>
                  </w:tcBorders>
                  <w:noWrap/>
                  <w:vAlign w:val="center"/>
                </w:tcPr>
                <w:p w14:paraId="1BB25B6A">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罐装</w:t>
                  </w:r>
                </w:p>
              </w:tc>
              <w:tc>
                <w:tcPr>
                  <w:tcW w:w="500" w:type="pct"/>
                  <w:tcBorders>
                    <w:tl2br w:val="nil"/>
                    <w:tr2bl w:val="nil"/>
                  </w:tcBorders>
                  <w:noWrap/>
                  <w:vAlign w:val="center"/>
                </w:tcPr>
                <w:p w14:paraId="5210E239">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液态</w:t>
                  </w:r>
                </w:p>
              </w:tc>
              <w:tc>
                <w:tcPr>
                  <w:tcW w:w="540" w:type="pct"/>
                  <w:tcBorders>
                    <w:tl2br w:val="nil"/>
                    <w:tr2bl w:val="nil"/>
                  </w:tcBorders>
                  <w:noWrap/>
                  <w:vAlign w:val="center"/>
                </w:tcPr>
                <w:p w14:paraId="33D070B2">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喷涂</w:t>
                  </w:r>
                </w:p>
              </w:tc>
            </w:tr>
            <w:tr w14:paraId="6847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shd w:val="clear" w:color="auto" w:fill="auto"/>
                  <w:noWrap/>
                  <w:vAlign w:val="center"/>
                </w:tcPr>
                <w:p w14:paraId="7B6E8129">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2</w:t>
                  </w:r>
                </w:p>
              </w:tc>
              <w:tc>
                <w:tcPr>
                  <w:tcW w:w="1349" w:type="pct"/>
                  <w:tcBorders>
                    <w:tl2br w:val="nil"/>
                    <w:tr2bl w:val="nil"/>
                  </w:tcBorders>
                  <w:noWrap w:val="0"/>
                  <w:vAlign w:val="center"/>
                </w:tcPr>
                <w:p w14:paraId="12799064">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油漆</w:t>
                  </w:r>
                </w:p>
              </w:tc>
              <w:tc>
                <w:tcPr>
                  <w:tcW w:w="807" w:type="pct"/>
                  <w:tcBorders>
                    <w:tl2br w:val="nil"/>
                    <w:tr2bl w:val="nil"/>
                  </w:tcBorders>
                  <w:noWrap/>
                  <w:vAlign w:val="center"/>
                </w:tcPr>
                <w:p w14:paraId="65209ACC">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0.05</w:t>
                  </w:r>
                </w:p>
              </w:tc>
              <w:tc>
                <w:tcPr>
                  <w:tcW w:w="710" w:type="pct"/>
                  <w:tcBorders>
                    <w:tl2br w:val="nil"/>
                    <w:tr2bl w:val="nil"/>
                  </w:tcBorders>
                  <w:noWrap/>
                  <w:vAlign w:val="center"/>
                </w:tcPr>
                <w:p w14:paraId="436F86EA">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50</w:t>
                  </w:r>
                </w:p>
              </w:tc>
              <w:tc>
                <w:tcPr>
                  <w:tcW w:w="710" w:type="pct"/>
                  <w:tcBorders>
                    <w:tl2br w:val="nil"/>
                    <w:tr2bl w:val="nil"/>
                  </w:tcBorders>
                  <w:shd w:val="clear" w:color="auto" w:fill="auto"/>
                  <w:noWrap/>
                  <w:vAlign w:val="center"/>
                </w:tcPr>
                <w:p w14:paraId="658021E3">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罐装</w:t>
                  </w:r>
                </w:p>
              </w:tc>
              <w:tc>
                <w:tcPr>
                  <w:tcW w:w="500" w:type="pct"/>
                  <w:tcBorders>
                    <w:tl2br w:val="nil"/>
                    <w:tr2bl w:val="nil"/>
                  </w:tcBorders>
                  <w:shd w:val="clear" w:color="auto" w:fill="auto"/>
                  <w:noWrap/>
                  <w:vAlign w:val="center"/>
                </w:tcPr>
                <w:p w14:paraId="423D4789">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液态</w:t>
                  </w:r>
                </w:p>
              </w:tc>
              <w:tc>
                <w:tcPr>
                  <w:tcW w:w="540" w:type="pct"/>
                  <w:tcBorders>
                    <w:tl2br w:val="nil"/>
                    <w:tr2bl w:val="nil"/>
                  </w:tcBorders>
                  <w:shd w:val="clear" w:color="auto" w:fill="auto"/>
                  <w:noWrap/>
                  <w:vAlign w:val="center"/>
                </w:tcPr>
                <w:p w14:paraId="66D3ABA5">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喷涂</w:t>
                  </w:r>
                </w:p>
              </w:tc>
            </w:tr>
            <w:tr w14:paraId="15FF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shd w:val="clear" w:color="auto" w:fill="auto"/>
                  <w:noWrap/>
                  <w:vAlign w:val="center"/>
                </w:tcPr>
                <w:p w14:paraId="4F3ECA5A">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3</w:t>
                  </w:r>
                </w:p>
              </w:tc>
              <w:tc>
                <w:tcPr>
                  <w:tcW w:w="1349" w:type="pct"/>
                  <w:tcBorders>
                    <w:tl2br w:val="nil"/>
                    <w:tr2bl w:val="nil"/>
                  </w:tcBorders>
                  <w:noWrap w:val="0"/>
                  <w:vAlign w:val="center"/>
                </w:tcPr>
                <w:p w14:paraId="081687E6">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稀释剂</w:t>
                  </w:r>
                </w:p>
              </w:tc>
              <w:tc>
                <w:tcPr>
                  <w:tcW w:w="807" w:type="pct"/>
                  <w:tcBorders>
                    <w:tl2br w:val="nil"/>
                    <w:tr2bl w:val="nil"/>
                  </w:tcBorders>
                  <w:noWrap/>
                  <w:vAlign w:val="center"/>
                </w:tcPr>
                <w:p w14:paraId="51D5EBA2">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0.075</w:t>
                  </w:r>
                </w:p>
              </w:tc>
              <w:tc>
                <w:tcPr>
                  <w:tcW w:w="710" w:type="pct"/>
                  <w:tcBorders>
                    <w:tl2br w:val="nil"/>
                    <w:tr2bl w:val="nil"/>
                  </w:tcBorders>
                  <w:noWrap/>
                  <w:vAlign w:val="center"/>
                </w:tcPr>
                <w:p w14:paraId="2BECB3C3">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50</w:t>
                  </w:r>
                </w:p>
              </w:tc>
              <w:tc>
                <w:tcPr>
                  <w:tcW w:w="710" w:type="pct"/>
                  <w:tcBorders>
                    <w:tl2br w:val="nil"/>
                    <w:tr2bl w:val="nil"/>
                  </w:tcBorders>
                  <w:noWrap/>
                  <w:vAlign w:val="center"/>
                </w:tcPr>
                <w:p w14:paraId="4FDFCB29">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桶装</w:t>
                  </w:r>
                </w:p>
              </w:tc>
              <w:tc>
                <w:tcPr>
                  <w:tcW w:w="500" w:type="pct"/>
                  <w:tcBorders>
                    <w:tl2br w:val="nil"/>
                    <w:tr2bl w:val="nil"/>
                  </w:tcBorders>
                  <w:noWrap/>
                  <w:vAlign w:val="center"/>
                </w:tcPr>
                <w:p w14:paraId="10C99D73">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液态</w:t>
                  </w:r>
                </w:p>
              </w:tc>
              <w:tc>
                <w:tcPr>
                  <w:tcW w:w="540" w:type="pct"/>
                  <w:tcBorders>
                    <w:tl2br w:val="nil"/>
                    <w:tr2bl w:val="nil"/>
                  </w:tcBorders>
                  <w:noWrap/>
                  <w:vAlign w:val="center"/>
                </w:tcPr>
                <w:p w14:paraId="1BD7A41B">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喷涂</w:t>
                  </w:r>
                </w:p>
              </w:tc>
            </w:tr>
            <w:tr w14:paraId="7144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shd w:val="clear" w:color="auto" w:fill="auto"/>
                  <w:noWrap/>
                  <w:vAlign w:val="center"/>
                </w:tcPr>
                <w:p w14:paraId="32D28E59">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4</w:t>
                  </w:r>
                </w:p>
              </w:tc>
              <w:tc>
                <w:tcPr>
                  <w:tcW w:w="1349" w:type="pct"/>
                  <w:tcBorders>
                    <w:tl2br w:val="nil"/>
                    <w:tr2bl w:val="nil"/>
                  </w:tcBorders>
                  <w:noWrap w:val="0"/>
                  <w:vAlign w:val="center"/>
                </w:tcPr>
                <w:p w14:paraId="1BECDE1E">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各种机油</w:t>
                  </w:r>
                </w:p>
              </w:tc>
              <w:tc>
                <w:tcPr>
                  <w:tcW w:w="807" w:type="pct"/>
                  <w:tcBorders>
                    <w:tl2br w:val="nil"/>
                    <w:tr2bl w:val="nil"/>
                  </w:tcBorders>
                  <w:noWrap/>
                  <w:vAlign w:val="center"/>
                </w:tcPr>
                <w:p w14:paraId="53FEB742">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8</w:t>
                  </w:r>
                </w:p>
              </w:tc>
              <w:tc>
                <w:tcPr>
                  <w:tcW w:w="710" w:type="pct"/>
                  <w:tcBorders>
                    <w:tl2br w:val="nil"/>
                    <w:tr2bl w:val="nil"/>
                  </w:tcBorders>
                  <w:noWrap/>
                  <w:vAlign w:val="center"/>
                </w:tcPr>
                <w:p w14:paraId="796F44D9">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500</w:t>
                  </w:r>
                </w:p>
              </w:tc>
              <w:tc>
                <w:tcPr>
                  <w:tcW w:w="710" w:type="pct"/>
                  <w:tcBorders>
                    <w:tl2br w:val="nil"/>
                    <w:tr2bl w:val="nil"/>
                  </w:tcBorders>
                  <w:noWrap/>
                  <w:vAlign w:val="center"/>
                </w:tcPr>
                <w:p w14:paraId="292846A3">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瓶装</w:t>
                  </w:r>
                </w:p>
              </w:tc>
              <w:tc>
                <w:tcPr>
                  <w:tcW w:w="500" w:type="pct"/>
                  <w:tcBorders>
                    <w:tl2br w:val="nil"/>
                    <w:tr2bl w:val="nil"/>
                  </w:tcBorders>
                  <w:noWrap/>
                  <w:vAlign w:val="center"/>
                </w:tcPr>
                <w:p w14:paraId="56AF4358">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液态</w:t>
                  </w:r>
                </w:p>
              </w:tc>
              <w:tc>
                <w:tcPr>
                  <w:tcW w:w="540" w:type="pct"/>
                  <w:tcBorders>
                    <w:tl2br w:val="nil"/>
                    <w:tr2bl w:val="nil"/>
                  </w:tcBorders>
                  <w:noWrap/>
                  <w:vAlign w:val="center"/>
                </w:tcPr>
                <w:p w14:paraId="43E7E72D">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保养</w:t>
                  </w:r>
                </w:p>
              </w:tc>
            </w:tr>
            <w:tr w14:paraId="5400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80" w:type="pct"/>
                  <w:tcBorders>
                    <w:tl2br w:val="nil"/>
                    <w:tr2bl w:val="nil"/>
                  </w:tcBorders>
                  <w:shd w:val="clear" w:color="auto" w:fill="auto"/>
                  <w:noWrap/>
                  <w:vAlign w:val="center"/>
                </w:tcPr>
                <w:p w14:paraId="720B9281">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5</w:t>
                  </w:r>
                </w:p>
              </w:tc>
              <w:tc>
                <w:tcPr>
                  <w:tcW w:w="1349" w:type="pct"/>
                  <w:tcBorders>
                    <w:tl2br w:val="nil"/>
                    <w:tr2bl w:val="nil"/>
                  </w:tcBorders>
                  <w:noWrap w:val="0"/>
                  <w:vAlign w:val="center"/>
                </w:tcPr>
                <w:p w14:paraId="7C05C0E7">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防冻冷却液</w:t>
                  </w:r>
                </w:p>
              </w:tc>
              <w:tc>
                <w:tcPr>
                  <w:tcW w:w="807" w:type="pct"/>
                  <w:tcBorders>
                    <w:tl2br w:val="nil"/>
                    <w:tr2bl w:val="nil"/>
                  </w:tcBorders>
                  <w:noWrap/>
                  <w:vAlign w:val="center"/>
                </w:tcPr>
                <w:p w14:paraId="031E229F">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0.2</w:t>
                  </w:r>
                </w:p>
              </w:tc>
              <w:tc>
                <w:tcPr>
                  <w:tcW w:w="710" w:type="pct"/>
                  <w:tcBorders>
                    <w:tl2br w:val="nil"/>
                    <w:tr2bl w:val="nil"/>
                  </w:tcBorders>
                  <w:noWrap/>
                  <w:vAlign w:val="center"/>
                </w:tcPr>
                <w:p w14:paraId="4FA13F84">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150</w:t>
                  </w:r>
                </w:p>
              </w:tc>
              <w:tc>
                <w:tcPr>
                  <w:tcW w:w="710" w:type="pct"/>
                  <w:tcBorders>
                    <w:tl2br w:val="nil"/>
                    <w:tr2bl w:val="nil"/>
                  </w:tcBorders>
                  <w:noWrap/>
                  <w:vAlign w:val="center"/>
                </w:tcPr>
                <w:p w14:paraId="5C3970D9">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瓶装</w:t>
                  </w:r>
                </w:p>
              </w:tc>
              <w:tc>
                <w:tcPr>
                  <w:tcW w:w="500" w:type="pct"/>
                  <w:tcBorders>
                    <w:tl2br w:val="nil"/>
                    <w:tr2bl w:val="nil"/>
                  </w:tcBorders>
                  <w:noWrap/>
                  <w:vAlign w:val="center"/>
                </w:tcPr>
                <w:p w14:paraId="7B2FDD24">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液态</w:t>
                  </w:r>
                </w:p>
              </w:tc>
              <w:tc>
                <w:tcPr>
                  <w:tcW w:w="540" w:type="pct"/>
                  <w:tcBorders>
                    <w:tl2br w:val="nil"/>
                    <w:tr2bl w:val="nil"/>
                  </w:tcBorders>
                  <w:noWrap/>
                  <w:vAlign w:val="center"/>
                </w:tcPr>
                <w:p w14:paraId="24493E06">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保养</w:t>
                  </w:r>
                </w:p>
              </w:tc>
            </w:tr>
            <w:tr w14:paraId="7A8B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shd w:val="clear" w:color="auto" w:fill="auto"/>
                  <w:noWrap/>
                  <w:vAlign w:val="center"/>
                </w:tcPr>
                <w:p w14:paraId="27D3EE13">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6</w:t>
                  </w:r>
                </w:p>
              </w:tc>
              <w:tc>
                <w:tcPr>
                  <w:tcW w:w="1349" w:type="pct"/>
                  <w:tcBorders>
                    <w:tl2br w:val="nil"/>
                    <w:tr2bl w:val="nil"/>
                  </w:tcBorders>
                  <w:noWrap w:val="0"/>
                  <w:vAlign w:val="center"/>
                </w:tcPr>
                <w:p w14:paraId="3AAAB510">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万能原子灰</w:t>
                  </w:r>
                </w:p>
              </w:tc>
              <w:tc>
                <w:tcPr>
                  <w:tcW w:w="807" w:type="pct"/>
                  <w:tcBorders>
                    <w:tl2br w:val="nil"/>
                    <w:tr2bl w:val="nil"/>
                  </w:tcBorders>
                  <w:noWrap/>
                  <w:vAlign w:val="center"/>
                </w:tcPr>
                <w:p w14:paraId="1A8184DC">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0.05</w:t>
                  </w:r>
                </w:p>
              </w:tc>
              <w:tc>
                <w:tcPr>
                  <w:tcW w:w="710" w:type="pct"/>
                  <w:tcBorders>
                    <w:tl2br w:val="nil"/>
                    <w:tr2bl w:val="nil"/>
                  </w:tcBorders>
                  <w:noWrap/>
                  <w:vAlign w:val="center"/>
                </w:tcPr>
                <w:p w14:paraId="793E2204">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0.5kg</w:t>
                  </w:r>
                </w:p>
              </w:tc>
              <w:tc>
                <w:tcPr>
                  <w:tcW w:w="710" w:type="pct"/>
                  <w:tcBorders>
                    <w:tl2br w:val="nil"/>
                    <w:tr2bl w:val="nil"/>
                  </w:tcBorders>
                  <w:noWrap/>
                  <w:vAlign w:val="center"/>
                </w:tcPr>
                <w:p w14:paraId="1DF8A53B">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罐装</w:t>
                  </w:r>
                </w:p>
              </w:tc>
              <w:tc>
                <w:tcPr>
                  <w:tcW w:w="500" w:type="pct"/>
                  <w:tcBorders>
                    <w:tl2br w:val="nil"/>
                    <w:tr2bl w:val="nil"/>
                  </w:tcBorders>
                  <w:noWrap/>
                  <w:vAlign w:val="center"/>
                </w:tcPr>
                <w:p w14:paraId="24D1887C">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固态</w:t>
                  </w:r>
                </w:p>
              </w:tc>
              <w:tc>
                <w:tcPr>
                  <w:tcW w:w="540" w:type="pct"/>
                  <w:tcBorders>
                    <w:tl2br w:val="nil"/>
                    <w:tr2bl w:val="nil"/>
                  </w:tcBorders>
                  <w:noWrap/>
                  <w:vAlign w:val="center"/>
                </w:tcPr>
                <w:p w14:paraId="01EB1253">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刮腻子</w:t>
                  </w:r>
                </w:p>
              </w:tc>
            </w:tr>
            <w:tr w14:paraId="1E5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shd w:val="clear" w:color="auto" w:fill="auto"/>
                  <w:noWrap/>
                  <w:vAlign w:val="center"/>
                </w:tcPr>
                <w:p w14:paraId="0383A493">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7</w:t>
                  </w:r>
                </w:p>
              </w:tc>
              <w:tc>
                <w:tcPr>
                  <w:tcW w:w="1349" w:type="pct"/>
                  <w:tcBorders>
                    <w:tl2br w:val="nil"/>
                    <w:tr2bl w:val="nil"/>
                  </w:tcBorders>
                  <w:noWrap w:val="0"/>
                  <w:vAlign w:val="center"/>
                </w:tcPr>
                <w:p w14:paraId="55E52781">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汽车零配件</w:t>
                  </w:r>
                </w:p>
              </w:tc>
              <w:tc>
                <w:tcPr>
                  <w:tcW w:w="807" w:type="pct"/>
                  <w:tcBorders>
                    <w:tl2br w:val="nil"/>
                    <w:tr2bl w:val="nil"/>
                  </w:tcBorders>
                  <w:noWrap/>
                  <w:vAlign w:val="center"/>
                </w:tcPr>
                <w:p w14:paraId="75E967E9">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若干</w:t>
                  </w:r>
                </w:p>
              </w:tc>
              <w:tc>
                <w:tcPr>
                  <w:tcW w:w="710" w:type="pct"/>
                  <w:tcBorders>
                    <w:tl2br w:val="nil"/>
                    <w:tr2bl w:val="nil"/>
                  </w:tcBorders>
                  <w:noWrap/>
                  <w:vAlign w:val="center"/>
                </w:tcPr>
                <w:p w14:paraId="69E9A17F">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若干</w:t>
                  </w:r>
                </w:p>
              </w:tc>
              <w:tc>
                <w:tcPr>
                  <w:tcW w:w="710" w:type="pct"/>
                  <w:tcBorders>
                    <w:tl2br w:val="nil"/>
                    <w:tr2bl w:val="nil"/>
                  </w:tcBorders>
                  <w:noWrap/>
                  <w:vAlign w:val="center"/>
                </w:tcPr>
                <w:p w14:paraId="703771FE">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w:t>
                  </w:r>
                </w:p>
              </w:tc>
              <w:tc>
                <w:tcPr>
                  <w:tcW w:w="500" w:type="pct"/>
                  <w:tcBorders>
                    <w:tl2br w:val="nil"/>
                    <w:tr2bl w:val="nil"/>
                  </w:tcBorders>
                  <w:noWrap/>
                  <w:vAlign w:val="center"/>
                </w:tcPr>
                <w:p w14:paraId="2EEB2F74">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固态</w:t>
                  </w:r>
                </w:p>
              </w:tc>
              <w:tc>
                <w:tcPr>
                  <w:tcW w:w="540" w:type="pct"/>
                  <w:tcBorders>
                    <w:tl2br w:val="nil"/>
                    <w:tr2bl w:val="nil"/>
                  </w:tcBorders>
                  <w:noWrap/>
                  <w:vAlign w:val="center"/>
                </w:tcPr>
                <w:p w14:paraId="72B895DF">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维修</w:t>
                  </w:r>
                </w:p>
              </w:tc>
            </w:tr>
            <w:tr w14:paraId="1A89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shd w:val="clear" w:color="auto" w:fill="auto"/>
                  <w:noWrap/>
                  <w:vAlign w:val="center"/>
                </w:tcPr>
                <w:p w14:paraId="40AD09B2">
                  <w:pPr>
                    <w:spacing w:line="240" w:lineRule="auto"/>
                    <w:ind w:firstLine="0" w:firstLineChars="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8</w:t>
                  </w:r>
                </w:p>
              </w:tc>
              <w:tc>
                <w:tcPr>
                  <w:tcW w:w="1349" w:type="pct"/>
                  <w:tcBorders>
                    <w:tl2br w:val="nil"/>
                    <w:tr2bl w:val="nil"/>
                  </w:tcBorders>
                  <w:noWrap w:val="0"/>
                  <w:vAlign w:val="center"/>
                </w:tcPr>
                <w:p w14:paraId="67242D63">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洗车液</w:t>
                  </w:r>
                </w:p>
              </w:tc>
              <w:tc>
                <w:tcPr>
                  <w:tcW w:w="807" w:type="pct"/>
                  <w:tcBorders>
                    <w:tl2br w:val="nil"/>
                    <w:tr2bl w:val="nil"/>
                  </w:tcBorders>
                  <w:noWrap/>
                  <w:vAlign w:val="center"/>
                </w:tcPr>
                <w:p w14:paraId="65E7B4C3">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0.15</w:t>
                  </w:r>
                </w:p>
              </w:tc>
              <w:tc>
                <w:tcPr>
                  <w:tcW w:w="710" w:type="pct"/>
                  <w:tcBorders>
                    <w:tl2br w:val="nil"/>
                    <w:tr2bl w:val="nil"/>
                  </w:tcBorders>
                  <w:noWrap/>
                  <w:vAlign w:val="center"/>
                </w:tcPr>
                <w:p w14:paraId="1D11A9CC">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3002</w:t>
                  </w:r>
                </w:p>
              </w:tc>
              <w:tc>
                <w:tcPr>
                  <w:tcW w:w="710" w:type="pct"/>
                  <w:tcBorders>
                    <w:tl2br w:val="nil"/>
                    <w:tr2bl w:val="nil"/>
                  </w:tcBorders>
                  <w:noWrap/>
                  <w:vAlign w:val="center"/>
                </w:tcPr>
                <w:p w14:paraId="17653861">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20L/瓶</w:t>
                  </w:r>
                </w:p>
              </w:tc>
              <w:tc>
                <w:tcPr>
                  <w:tcW w:w="500" w:type="pct"/>
                  <w:tcBorders>
                    <w:tl2br w:val="nil"/>
                    <w:tr2bl w:val="nil"/>
                  </w:tcBorders>
                  <w:noWrap/>
                  <w:vAlign w:val="center"/>
                </w:tcPr>
                <w:p w14:paraId="29672D25">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液态</w:t>
                  </w:r>
                </w:p>
              </w:tc>
              <w:tc>
                <w:tcPr>
                  <w:tcW w:w="540" w:type="pct"/>
                  <w:tcBorders>
                    <w:tl2br w:val="nil"/>
                    <w:tr2bl w:val="nil"/>
                  </w:tcBorders>
                  <w:noWrap/>
                  <w:vAlign w:val="center"/>
                </w:tcPr>
                <w:p w14:paraId="368F0128">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洗车</w:t>
                  </w:r>
                </w:p>
              </w:tc>
            </w:tr>
            <w:tr w14:paraId="22A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shd w:val="clear" w:color="auto" w:fill="auto"/>
                  <w:noWrap/>
                  <w:vAlign w:val="center"/>
                </w:tcPr>
                <w:p w14:paraId="169CD550">
                  <w:pPr>
                    <w:spacing w:line="240" w:lineRule="auto"/>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9</w:t>
                  </w:r>
                </w:p>
              </w:tc>
              <w:tc>
                <w:tcPr>
                  <w:tcW w:w="1349" w:type="pct"/>
                  <w:tcBorders>
                    <w:tl2br w:val="nil"/>
                    <w:tr2bl w:val="nil"/>
                  </w:tcBorders>
                  <w:noWrap w:val="0"/>
                  <w:vAlign w:val="center"/>
                </w:tcPr>
                <w:p w14:paraId="52D7ACEA">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二氧化碳钢瓶</w:t>
                  </w:r>
                </w:p>
              </w:tc>
              <w:tc>
                <w:tcPr>
                  <w:tcW w:w="807" w:type="pct"/>
                  <w:tcBorders>
                    <w:tl2br w:val="nil"/>
                    <w:tr2bl w:val="nil"/>
                  </w:tcBorders>
                  <w:noWrap/>
                  <w:vAlign w:val="center"/>
                </w:tcPr>
                <w:p w14:paraId="36BCB80D">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0.24</w:t>
                  </w:r>
                </w:p>
              </w:tc>
              <w:tc>
                <w:tcPr>
                  <w:tcW w:w="710" w:type="pct"/>
                  <w:tcBorders>
                    <w:tl2br w:val="nil"/>
                    <w:tr2bl w:val="nil"/>
                  </w:tcBorders>
                  <w:noWrap/>
                  <w:vAlign w:val="center"/>
                </w:tcPr>
                <w:p w14:paraId="31B651FD">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80L</w:t>
                  </w:r>
                </w:p>
              </w:tc>
              <w:tc>
                <w:tcPr>
                  <w:tcW w:w="710" w:type="pct"/>
                  <w:tcBorders>
                    <w:tl2br w:val="nil"/>
                    <w:tr2bl w:val="nil"/>
                  </w:tcBorders>
                  <w:noWrap/>
                  <w:vAlign w:val="center"/>
                </w:tcPr>
                <w:p w14:paraId="0BEA03C9">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40L/瓶</w:t>
                  </w:r>
                </w:p>
              </w:tc>
              <w:tc>
                <w:tcPr>
                  <w:tcW w:w="500" w:type="pct"/>
                  <w:tcBorders>
                    <w:tl2br w:val="nil"/>
                    <w:tr2bl w:val="nil"/>
                  </w:tcBorders>
                  <w:noWrap/>
                  <w:vAlign w:val="center"/>
                </w:tcPr>
                <w:p w14:paraId="5147D40E">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液态</w:t>
                  </w:r>
                </w:p>
              </w:tc>
              <w:tc>
                <w:tcPr>
                  <w:tcW w:w="540" w:type="pct"/>
                  <w:tcBorders>
                    <w:tl2br w:val="nil"/>
                    <w:tr2bl w:val="nil"/>
                  </w:tcBorders>
                  <w:noWrap/>
                  <w:vAlign w:val="center"/>
                </w:tcPr>
                <w:p w14:paraId="49E2A10B">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焊接</w:t>
                  </w:r>
                </w:p>
              </w:tc>
            </w:tr>
            <w:tr w14:paraId="56A0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tcBorders>
                    <w:tl2br w:val="nil"/>
                    <w:tr2bl w:val="nil"/>
                  </w:tcBorders>
                  <w:noWrap/>
                  <w:vAlign w:val="center"/>
                </w:tcPr>
                <w:p w14:paraId="7BEAF083">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10</w:t>
                  </w:r>
                </w:p>
              </w:tc>
              <w:tc>
                <w:tcPr>
                  <w:tcW w:w="1349" w:type="pct"/>
                  <w:tcBorders>
                    <w:tl2br w:val="nil"/>
                    <w:tr2bl w:val="nil"/>
                  </w:tcBorders>
                  <w:noWrap w:val="0"/>
                  <w:vAlign w:val="center"/>
                </w:tcPr>
                <w:p w14:paraId="5FC3BBFC">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二氧化碳保护实心焊丝</w:t>
                  </w:r>
                </w:p>
              </w:tc>
              <w:tc>
                <w:tcPr>
                  <w:tcW w:w="807" w:type="pct"/>
                  <w:tcBorders>
                    <w:tl2br w:val="nil"/>
                    <w:tr2bl w:val="nil"/>
                  </w:tcBorders>
                  <w:noWrap/>
                  <w:vAlign w:val="center"/>
                </w:tcPr>
                <w:p w14:paraId="68D7600F">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0.2</w:t>
                  </w:r>
                </w:p>
              </w:tc>
              <w:tc>
                <w:tcPr>
                  <w:tcW w:w="710" w:type="pct"/>
                  <w:tcBorders>
                    <w:tl2br w:val="nil"/>
                    <w:tr2bl w:val="nil"/>
                  </w:tcBorders>
                  <w:noWrap/>
                  <w:vAlign w:val="center"/>
                </w:tcPr>
                <w:p w14:paraId="5525C236">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2</w:t>
                  </w:r>
                </w:p>
              </w:tc>
              <w:tc>
                <w:tcPr>
                  <w:tcW w:w="710" w:type="pct"/>
                  <w:tcBorders>
                    <w:tl2br w:val="nil"/>
                    <w:tr2bl w:val="nil"/>
                  </w:tcBorders>
                  <w:noWrap/>
                  <w:vAlign w:val="center"/>
                </w:tcPr>
                <w:p w14:paraId="795D90C0">
                  <w:pPr>
                    <w:spacing w:line="240" w:lineRule="auto"/>
                    <w:ind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20KG/卷</w:t>
                  </w:r>
                </w:p>
              </w:tc>
              <w:tc>
                <w:tcPr>
                  <w:tcW w:w="500" w:type="pct"/>
                  <w:tcBorders>
                    <w:tl2br w:val="nil"/>
                    <w:tr2bl w:val="nil"/>
                  </w:tcBorders>
                  <w:noWrap/>
                  <w:vAlign w:val="center"/>
                </w:tcPr>
                <w:p w14:paraId="0CE6487D">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固态</w:t>
                  </w:r>
                </w:p>
              </w:tc>
              <w:tc>
                <w:tcPr>
                  <w:tcW w:w="540" w:type="pct"/>
                  <w:tcBorders>
                    <w:tl2br w:val="nil"/>
                    <w:tr2bl w:val="nil"/>
                  </w:tcBorders>
                  <w:noWrap/>
                  <w:vAlign w:val="center"/>
                </w:tcPr>
                <w:p w14:paraId="353F8EE1">
                  <w:pPr>
                    <w:spacing w:line="240" w:lineRule="auto"/>
                    <w:ind w:firstLine="0" w:firstLineChars="0"/>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焊接</w:t>
                  </w:r>
                </w:p>
              </w:tc>
            </w:tr>
          </w:tbl>
          <w:p w14:paraId="232FA855">
            <w:pPr>
              <w:bidi w:val="0"/>
              <w:rPr>
                <w:rFonts w:hint="eastAsia"/>
                <w:u w:val="single"/>
              </w:rPr>
            </w:pPr>
            <w:r>
              <w:rPr>
                <w:rFonts w:hint="eastAsia"/>
                <w:u w:val="single"/>
                <w:lang w:eastAsia="zh-CN"/>
              </w:rPr>
              <w:t>（</w:t>
            </w:r>
            <w:r>
              <w:rPr>
                <w:rFonts w:hint="eastAsia"/>
                <w:u w:val="single"/>
                <w:lang w:val="en-US" w:eastAsia="zh-CN"/>
              </w:rPr>
              <w:t>1</w:t>
            </w:r>
            <w:r>
              <w:rPr>
                <w:rFonts w:hint="eastAsia"/>
                <w:u w:val="single"/>
                <w:lang w:eastAsia="zh-CN"/>
              </w:rPr>
              <w:t>）水性漆</w:t>
            </w:r>
            <w:r>
              <w:rPr>
                <w:rFonts w:hint="eastAsia"/>
                <w:u w:val="single"/>
              </w:rPr>
              <w:t>：</w:t>
            </w:r>
          </w:p>
          <w:p w14:paraId="52020255">
            <w:pPr>
              <w:bidi w:val="0"/>
              <w:rPr>
                <w:rFonts w:hint="default" w:eastAsia="宋体"/>
                <w:u w:val="single"/>
                <w:lang w:val="en-US" w:eastAsia="zh-CN"/>
              </w:rPr>
            </w:pPr>
            <w:r>
              <w:rPr>
                <w:rFonts w:hint="eastAsia"/>
                <w:u w:val="single"/>
              </w:rPr>
              <w:t>水性漆</w:t>
            </w:r>
            <w:r>
              <w:rPr>
                <w:rFonts w:hint="eastAsia"/>
                <w:u w:val="single"/>
                <w:lang w:val="en-US" w:eastAsia="zh-CN"/>
              </w:rPr>
              <w:t>是以水作为溶剂的，主要成分包括水、树脂（丙烯酸树脂、聚氨酯树脂）、颜料、助剂（流平剂、消泡剂、防腐剂、增稠剂）等，水：树脂：颜料：助剂=45%：35%：15%：5%。</w:t>
            </w:r>
          </w:p>
          <w:p w14:paraId="70D6AB91">
            <w:pPr>
              <w:bidi w:val="0"/>
              <w:rPr>
                <w:rFonts w:hint="eastAsia"/>
                <w:u w:val="single"/>
                <w:lang w:val="en-US" w:eastAsia="zh-CN"/>
              </w:rPr>
            </w:pPr>
            <w:r>
              <w:rPr>
                <w:rFonts w:hint="eastAsia"/>
                <w:u w:val="single"/>
                <w:lang w:eastAsia="zh-CN"/>
              </w:rPr>
              <w:t>（</w:t>
            </w:r>
            <w:r>
              <w:rPr>
                <w:rFonts w:hint="eastAsia"/>
                <w:u w:val="single"/>
                <w:lang w:val="en-US" w:eastAsia="zh-CN"/>
              </w:rPr>
              <w:t>2</w:t>
            </w:r>
            <w:r>
              <w:rPr>
                <w:rFonts w:hint="eastAsia"/>
                <w:u w:val="single"/>
                <w:lang w:eastAsia="zh-CN"/>
              </w:rPr>
              <w:t>）</w:t>
            </w:r>
            <w:r>
              <w:rPr>
                <w:rFonts w:hint="eastAsia"/>
                <w:u w:val="single"/>
                <w:lang w:val="en-US" w:eastAsia="zh-CN"/>
              </w:rPr>
              <w:t>油漆</w:t>
            </w:r>
          </w:p>
          <w:p w14:paraId="5329A7E7">
            <w:pPr>
              <w:bidi w:val="0"/>
              <w:rPr>
                <w:rFonts w:hint="default" w:eastAsia="宋体"/>
                <w:u w:val="single"/>
                <w:lang w:val="en-US" w:eastAsia="zh-CN"/>
              </w:rPr>
            </w:pPr>
            <w:r>
              <w:rPr>
                <w:rFonts w:hint="eastAsia"/>
                <w:u w:val="single"/>
                <w:lang w:val="en-US" w:eastAsia="zh-CN"/>
              </w:rPr>
              <w:t>油漆主要成分包括树脂（丙烯酸树脂、聚氨酯树脂）、颜料、溶剂（苯、甲苯、二甲苯等）、助剂（流平剂、消泡剂、防腐剂、增稠剂）等，树脂：颜料：溶剂：助剂=38%：20%：40%：2%。</w:t>
            </w:r>
          </w:p>
          <w:p w14:paraId="2661CFA5">
            <w:pPr>
              <w:bidi w:val="0"/>
              <w:rPr>
                <w:rFonts w:hint="eastAsia"/>
                <w:u w:val="single"/>
                <w:lang w:val="en-US" w:eastAsia="zh-CN"/>
              </w:rPr>
            </w:pPr>
            <w:r>
              <w:rPr>
                <w:rFonts w:hint="eastAsia"/>
                <w:u w:val="single"/>
                <w:lang w:eastAsia="zh-CN"/>
              </w:rPr>
              <w:t>（</w:t>
            </w:r>
            <w:r>
              <w:rPr>
                <w:rFonts w:hint="eastAsia"/>
                <w:u w:val="single"/>
                <w:lang w:val="en-US" w:eastAsia="zh-CN"/>
              </w:rPr>
              <w:t>3</w:t>
            </w:r>
            <w:r>
              <w:rPr>
                <w:rFonts w:hint="eastAsia"/>
                <w:u w:val="single"/>
                <w:lang w:eastAsia="zh-CN"/>
              </w:rPr>
              <w:t>）稀释剂：</w:t>
            </w:r>
            <w:r>
              <w:rPr>
                <w:rFonts w:hint="eastAsia"/>
                <w:u w:val="single"/>
              </w:rPr>
              <w:t>是一种为了降低树脂粘度，改善其工艺性能而加入的与树脂混溶性良好的液体物质。油漆稀释剂主要成为</w:t>
            </w:r>
            <w:r>
              <w:rPr>
                <w:rFonts w:hint="eastAsia"/>
                <w:u w:val="single"/>
                <w:lang w:val="en-US" w:eastAsia="zh-CN"/>
              </w:rPr>
              <w:t>去离子水、助溶剂（醇类、醚类）、表面活性剂</w:t>
            </w:r>
            <w:r>
              <w:rPr>
                <w:rFonts w:hint="eastAsia"/>
                <w:u w:val="single"/>
                <w:lang w:eastAsia="zh-CN"/>
              </w:rPr>
              <w:t>，其中</w:t>
            </w:r>
            <w:r>
              <w:rPr>
                <w:rFonts w:hint="eastAsia"/>
                <w:u w:val="single"/>
                <w:lang w:val="en-US" w:eastAsia="zh-CN"/>
              </w:rPr>
              <w:t>去离子水、助溶剂（醇类、醚类）、表面活性剂</w:t>
            </w:r>
            <w:r>
              <w:rPr>
                <w:rFonts w:hint="eastAsia"/>
                <w:u w:val="single"/>
                <w:lang w:eastAsia="zh-CN"/>
              </w:rPr>
              <w:t>成分分配比例为：</w:t>
            </w:r>
            <w:r>
              <w:rPr>
                <w:rFonts w:hint="eastAsia"/>
                <w:u w:val="single"/>
                <w:lang w:val="en-US" w:eastAsia="zh-CN"/>
              </w:rPr>
              <w:t>85：12：3。</w:t>
            </w:r>
          </w:p>
          <w:p w14:paraId="38A6E9B4">
            <w:pPr>
              <w:bidi w:val="0"/>
              <w:rPr>
                <w:rFonts w:hint="eastAsia"/>
                <w:u w:val="single"/>
                <w:lang w:eastAsia="zh-CN"/>
              </w:rPr>
            </w:pPr>
            <w:r>
              <w:rPr>
                <w:rFonts w:hint="eastAsia"/>
                <w:u w:val="single"/>
                <w:lang w:eastAsia="zh-CN"/>
              </w:rPr>
              <w:t>（</w:t>
            </w:r>
            <w:r>
              <w:rPr>
                <w:rFonts w:hint="eastAsia"/>
                <w:u w:val="single"/>
                <w:lang w:val="en-US" w:eastAsia="zh-CN"/>
              </w:rPr>
              <w:t>4</w:t>
            </w:r>
            <w:r>
              <w:rPr>
                <w:rFonts w:hint="eastAsia"/>
                <w:u w:val="single"/>
                <w:lang w:eastAsia="zh-CN"/>
              </w:rPr>
              <w:t>）机油：即</w:t>
            </w:r>
            <w:r>
              <w:rPr>
                <w:rFonts w:hint="eastAsia"/>
                <w:u w:val="single"/>
                <w:lang w:eastAsia="zh-CN"/>
              </w:rPr>
              <w:fldChar w:fldCharType="begin"/>
            </w:r>
            <w:r>
              <w:rPr>
                <w:rFonts w:hint="eastAsia"/>
                <w:u w:val="single"/>
                <w:lang w:eastAsia="zh-CN"/>
              </w:rPr>
              <w:instrText xml:space="preserve"> HYPERLINK "http://baike.baidu.com/view/47475.htm" \t "_blank" </w:instrText>
            </w:r>
            <w:r>
              <w:rPr>
                <w:rFonts w:hint="eastAsia"/>
                <w:u w:val="single"/>
                <w:lang w:eastAsia="zh-CN"/>
              </w:rPr>
              <w:fldChar w:fldCharType="separate"/>
            </w:r>
            <w:r>
              <w:rPr>
                <w:rFonts w:hint="eastAsia"/>
                <w:u w:val="single"/>
                <w:lang w:eastAsia="zh-CN"/>
              </w:rPr>
              <w:t>发动机</w:t>
            </w:r>
            <w:r>
              <w:rPr>
                <w:rFonts w:hint="eastAsia"/>
                <w:u w:val="single"/>
                <w:lang w:eastAsia="zh-CN"/>
              </w:rPr>
              <w:fldChar w:fldCharType="end"/>
            </w:r>
            <w:r>
              <w:rPr>
                <w:rFonts w:hint="eastAsia"/>
                <w:u w:val="single"/>
                <w:lang w:eastAsia="zh-CN"/>
              </w:rPr>
              <w:t>润滑油，润滑油一般由基础油和添加剂两部分组成。基础油是润滑油的主要成分，决定着润滑油的基本性质；添加剂则可弥补和改善基础油性能方面的不足，赋予某些新的性能，是润滑油的重要组成部分。</w:t>
            </w:r>
          </w:p>
          <w:p w14:paraId="0A7506D4">
            <w:pPr>
              <w:bidi w:val="0"/>
              <w:rPr>
                <w:rFonts w:hint="eastAsia"/>
                <w:u w:val="single"/>
                <w:lang w:val="en-US" w:eastAsia="zh-CN"/>
              </w:rPr>
            </w:pPr>
            <w:r>
              <w:rPr>
                <w:rFonts w:hint="eastAsia"/>
                <w:u w:val="single"/>
                <w:lang w:val="en-US" w:eastAsia="zh-CN"/>
              </w:rPr>
              <w:t>（5）HF0-R1234yf制冷剂：本项目汽车保养更换的制冷剂使用新型环保制冷剂HF0-R1234yf，中文名2,3,3,3-四氟丙烯，化学式C</w:t>
            </w:r>
            <w:r>
              <w:rPr>
                <w:rFonts w:hint="eastAsia"/>
                <w:u w:val="single"/>
                <w:vertAlign w:val="subscript"/>
                <w:lang w:val="en-US" w:eastAsia="zh-CN"/>
              </w:rPr>
              <w:t>3</w:t>
            </w:r>
            <w:r>
              <w:rPr>
                <w:rFonts w:hint="eastAsia"/>
                <w:u w:val="single"/>
                <w:lang w:val="en-US" w:eastAsia="zh-CN"/>
              </w:rPr>
              <w:t>H</w:t>
            </w:r>
            <w:r>
              <w:rPr>
                <w:rFonts w:hint="eastAsia"/>
                <w:u w:val="single"/>
                <w:vertAlign w:val="subscript"/>
                <w:lang w:val="en-US" w:eastAsia="zh-CN"/>
              </w:rPr>
              <w:t>2</w:t>
            </w:r>
            <w:r>
              <w:rPr>
                <w:rFonts w:hint="eastAsia"/>
                <w:u w:val="single"/>
                <w:lang w:val="en-US" w:eastAsia="zh-CN"/>
              </w:rPr>
              <w:t>F</w:t>
            </w:r>
            <w:r>
              <w:rPr>
                <w:rFonts w:hint="eastAsia"/>
                <w:u w:val="single"/>
                <w:vertAlign w:val="subscript"/>
                <w:lang w:val="en-US" w:eastAsia="zh-CN"/>
              </w:rPr>
              <w:t>4</w:t>
            </w:r>
            <w:r>
              <w:rPr>
                <w:rFonts w:hint="eastAsia"/>
                <w:u w:val="single"/>
                <w:lang w:val="en-US" w:eastAsia="zh-CN"/>
              </w:rPr>
              <w:t>，沸点-30℃，自燃温度405℃，该制冷剂对臭氧层无破坏，对地球温室效应很低且无毒，完全符合国际节能环保减排的标准，不属于《蒙特利尔议定书》、《京都议定书》中限制的制冷剂。</w:t>
            </w:r>
          </w:p>
          <w:p w14:paraId="52569D0A">
            <w:pPr>
              <w:bidi w:val="0"/>
              <w:rPr>
                <w:rFonts w:hint="eastAsia"/>
                <w:u w:val="single"/>
                <w:lang w:val="en-US" w:eastAsia="zh-CN"/>
              </w:rPr>
            </w:pPr>
            <w:r>
              <w:rPr>
                <w:rFonts w:hint="eastAsia"/>
                <w:u w:val="single"/>
                <w:lang w:val="en-US" w:eastAsia="zh-CN"/>
              </w:rPr>
              <w:t>（6）洗车液：主要成分是天然生物表面活性液，生物酶和漆面增亮活性因子，不刺鼻，不含磷，苯，硒等有害成份。</w:t>
            </w:r>
          </w:p>
          <w:p w14:paraId="3734C664">
            <w:pPr>
              <w:tabs>
                <w:tab w:val="left" w:pos="484"/>
              </w:tabs>
              <w:ind w:firstLine="482"/>
              <w:jc w:val="left"/>
              <w:rPr>
                <w:b/>
                <w:bCs/>
                <w:color w:val="000000" w:themeColor="text1"/>
                <w:u w:val="none"/>
                <w14:textFill>
                  <w14:solidFill>
                    <w14:schemeClr w14:val="tx1"/>
                  </w14:solidFill>
                </w14:textFill>
              </w:rPr>
            </w:pPr>
            <w:r>
              <w:rPr>
                <w:rFonts w:hint="eastAsia"/>
                <w:b/>
                <w:bCs/>
                <w:color w:val="000000" w:themeColor="text1"/>
                <w:u w:val="none"/>
                <w14:textFill>
                  <w14:solidFill>
                    <w14:schemeClr w14:val="tx1"/>
                  </w14:solidFill>
                </w14:textFill>
              </w:rPr>
              <w:t>（四）</w:t>
            </w:r>
            <w:r>
              <w:rPr>
                <w:b/>
                <w:bCs/>
                <w:color w:val="000000" w:themeColor="text1"/>
                <w:u w:val="none"/>
                <w14:textFill>
                  <w14:solidFill>
                    <w14:schemeClr w14:val="tx1"/>
                  </w14:solidFill>
                </w14:textFill>
              </w:rPr>
              <w:t>主要生产设备</w:t>
            </w:r>
          </w:p>
          <w:p w14:paraId="6DB59A4E">
            <w:pPr>
              <w:ind w:firstLine="48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项目使用的生产设备均不属于《产业结构调整指导目录（20</w:t>
            </w:r>
            <w:r>
              <w:rPr>
                <w:rFonts w:hint="eastAsia"/>
                <w:color w:val="000000" w:themeColor="text1"/>
                <w:u w:val="none"/>
                <w:lang w:val="en-US" w:eastAsia="zh-CN"/>
                <w14:textFill>
                  <w14:solidFill>
                    <w14:schemeClr w14:val="tx1"/>
                  </w14:solidFill>
                </w14:textFill>
              </w:rPr>
              <w:t>24</w:t>
            </w:r>
            <w:r>
              <w:rPr>
                <w:rFonts w:hint="eastAsia"/>
                <w:color w:val="000000" w:themeColor="text1"/>
                <w:u w:val="none"/>
                <w14:textFill>
                  <w14:solidFill>
                    <w14:schemeClr w14:val="tx1"/>
                  </w14:solidFill>
                </w14:textFill>
              </w:rPr>
              <w:t>年本）》中限制、淘汰类，符合国家产业政策要求。</w:t>
            </w:r>
            <w:r>
              <w:rPr>
                <w:color w:val="000000" w:themeColor="text1"/>
                <w:u w:val="none"/>
                <w14:textFill>
                  <w14:solidFill>
                    <w14:schemeClr w14:val="tx1"/>
                  </w14:solidFill>
                </w14:textFill>
              </w:rPr>
              <w:t>本项目主要生产设备详见下表。</w:t>
            </w:r>
          </w:p>
          <w:p w14:paraId="050817AA">
            <w:pPr>
              <w:adjustRightInd w:val="0"/>
              <w:snapToGrid w:val="0"/>
              <w:spacing w:line="240" w:lineRule="auto"/>
              <w:ind w:firstLine="422"/>
              <w:jc w:val="center"/>
              <w:rPr>
                <w:rFonts w:hint="eastAsia"/>
                <w:b/>
                <w:bCs/>
                <w:color w:val="000000" w:themeColor="text1"/>
                <w:sz w:val="21"/>
                <w:szCs w:val="21"/>
                <w:u w:val="none"/>
                <w14:textFill>
                  <w14:solidFill>
                    <w14:schemeClr w14:val="tx1"/>
                  </w14:solidFill>
                </w14:textFill>
              </w:rPr>
            </w:pPr>
            <w:r>
              <w:rPr>
                <w:rFonts w:hint="eastAsia"/>
                <w:b/>
                <w:bCs/>
                <w:color w:val="000000" w:themeColor="text1"/>
                <w:sz w:val="21"/>
                <w:szCs w:val="21"/>
                <w:u w:val="none"/>
                <w14:textFill>
                  <w14:solidFill>
                    <w14:schemeClr w14:val="tx1"/>
                  </w14:solidFill>
                </w14:textFill>
              </w:rPr>
              <w:t>表2-</w:t>
            </w:r>
            <w:r>
              <w:rPr>
                <w:rFonts w:hint="eastAsia"/>
                <w:b/>
                <w:bCs/>
                <w:color w:val="000000" w:themeColor="text1"/>
                <w:sz w:val="21"/>
                <w:szCs w:val="21"/>
                <w:u w:val="none"/>
                <w:lang w:val="en-US" w:eastAsia="zh-CN"/>
                <w14:textFill>
                  <w14:solidFill>
                    <w14:schemeClr w14:val="tx1"/>
                  </w14:solidFill>
                </w14:textFill>
              </w:rPr>
              <w:t>3</w:t>
            </w:r>
            <w:r>
              <w:rPr>
                <w:rFonts w:hint="eastAsia"/>
                <w:b/>
                <w:bCs/>
                <w:color w:val="000000" w:themeColor="text1"/>
                <w:sz w:val="21"/>
                <w:szCs w:val="21"/>
                <w:u w:val="none"/>
                <w14:textFill>
                  <w14:solidFill>
                    <w14:schemeClr w14:val="tx1"/>
                  </w14:solidFill>
                </w14:textFill>
              </w:rPr>
              <w:t xml:space="preserve"> 项目主要设备一览表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803"/>
              <w:gridCol w:w="2932"/>
              <w:gridCol w:w="890"/>
              <w:gridCol w:w="1000"/>
            </w:tblGrid>
            <w:tr w14:paraId="086B23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314ABD6E">
                  <w:pPr>
                    <w:pStyle w:val="90"/>
                    <w:spacing w:line="240" w:lineRule="auto"/>
                    <w:ind w:left="0" w:leftChars="0" w:firstLine="0" w:firstLineChars="0"/>
                    <w:jc w:val="center"/>
                    <w:rPr>
                      <w:rFonts w:ascii="Times New Roman" w:hAnsi="Times New Roman" w:eastAsia="宋体" w:cs="Times New Roman"/>
                      <w:color w:val="000000"/>
                      <w:sz w:val="21"/>
                      <w:szCs w:val="21"/>
                    </w:rPr>
                  </w:pPr>
                  <w:bookmarkStart w:id="7" w:name="_Toc118086918"/>
                  <w:r>
                    <w:rPr>
                      <w:rFonts w:ascii="Times New Roman" w:hAnsi="Times New Roman" w:eastAsia="宋体" w:cs="Times New Roman"/>
                      <w:color w:val="000000"/>
                      <w:sz w:val="21"/>
                      <w:szCs w:val="21"/>
                    </w:rPr>
                    <w:t>序号</w:t>
                  </w:r>
                  <w:bookmarkEnd w:id="7"/>
                </w:p>
              </w:tc>
              <w:tc>
                <w:tcPr>
                  <w:tcW w:w="1660" w:type="pct"/>
                  <w:tcBorders>
                    <w:tl2br w:val="nil"/>
                    <w:tr2bl w:val="nil"/>
                  </w:tcBorders>
                  <w:noWrap w:val="0"/>
                  <w:vAlign w:val="center"/>
                </w:tcPr>
                <w:p w14:paraId="58BF5884">
                  <w:pPr>
                    <w:pStyle w:val="90"/>
                    <w:spacing w:line="240" w:lineRule="auto"/>
                    <w:ind w:left="0" w:leftChars="0" w:firstLine="0" w:firstLineChars="0"/>
                    <w:jc w:val="center"/>
                    <w:rPr>
                      <w:rFonts w:ascii="Times New Roman" w:hAnsi="Times New Roman" w:eastAsia="宋体" w:cs="Times New Roman"/>
                      <w:color w:val="000000"/>
                      <w:sz w:val="21"/>
                      <w:szCs w:val="21"/>
                    </w:rPr>
                  </w:pPr>
                  <w:bookmarkStart w:id="8" w:name="_Toc118086919"/>
                  <w:r>
                    <w:rPr>
                      <w:rFonts w:ascii="Times New Roman" w:hAnsi="Times New Roman" w:eastAsia="宋体" w:cs="Times New Roman"/>
                      <w:color w:val="000000"/>
                      <w:sz w:val="21"/>
                      <w:szCs w:val="21"/>
                    </w:rPr>
                    <w:t>设备（设施）名称</w:t>
                  </w:r>
                  <w:bookmarkEnd w:id="8"/>
                </w:p>
              </w:tc>
              <w:tc>
                <w:tcPr>
                  <w:tcW w:w="1736" w:type="pct"/>
                  <w:tcBorders>
                    <w:tl2br w:val="nil"/>
                    <w:tr2bl w:val="nil"/>
                  </w:tcBorders>
                  <w:noWrap w:val="0"/>
                  <w:vAlign w:val="center"/>
                </w:tcPr>
                <w:p w14:paraId="239F0B35">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bookmarkStart w:id="9" w:name="_Toc118086921"/>
                  <w:r>
                    <w:rPr>
                      <w:rFonts w:hint="eastAsia" w:ascii="Times New Roman" w:hAnsi="Times New Roman" w:eastAsia="宋体" w:cs="Times New Roman"/>
                      <w:color w:val="000000"/>
                      <w:sz w:val="21"/>
                      <w:szCs w:val="21"/>
                      <w:lang w:val="en-US" w:eastAsia="zh-CN"/>
                    </w:rPr>
                    <w:t>规格型号</w:t>
                  </w:r>
                </w:p>
              </w:tc>
              <w:tc>
                <w:tcPr>
                  <w:tcW w:w="527" w:type="pct"/>
                  <w:tcBorders>
                    <w:tl2br w:val="nil"/>
                    <w:tr2bl w:val="nil"/>
                  </w:tcBorders>
                  <w:noWrap w:val="0"/>
                  <w:vAlign w:val="center"/>
                </w:tcPr>
                <w:p w14:paraId="5E45C328">
                  <w:pPr>
                    <w:pStyle w:val="90"/>
                    <w:spacing w:line="240" w:lineRule="auto"/>
                    <w:ind w:left="0" w:leftChars="0"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单位</w:t>
                  </w:r>
                  <w:bookmarkEnd w:id="9"/>
                </w:p>
              </w:tc>
              <w:tc>
                <w:tcPr>
                  <w:tcW w:w="592" w:type="pct"/>
                  <w:tcBorders>
                    <w:tl2br w:val="nil"/>
                    <w:tr2bl w:val="nil"/>
                  </w:tcBorders>
                  <w:noWrap w:val="0"/>
                  <w:vAlign w:val="center"/>
                </w:tcPr>
                <w:p w14:paraId="01EAD156">
                  <w:pPr>
                    <w:pStyle w:val="90"/>
                    <w:spacing w:line="240" w:lineRule="auto"/>
                    <w:ind w:left="0" w:leftChars="0" w:firstLine="0" w:firstLineChars="0"/>
                    <w:jc w:val="center"/>
                    <w:rPr>
                      <w:rFonts w:ascii="Times New Roman" w:hAnsi="Times New Roman" w:eastAsia="宋体" w:cs="Times New Roman"/>
                      <w:color w:val="000000"/>
                      <w:sz w:val="21"/>
                      <w:szCs w:val="21"/>
                    </w:rPr>
                  </w:pPr>
                  <w:bookmarkStart w:id="10" w:name="_Toc118086922"/>
                  <w:r>
                    <w:rPr>
                      <w:rFonts w:ascii="Times New Roman" w:hAnsi="Times New Roman" w:eastAsia="宋体" w:cs="Times New Roman"/>
                      <w:color w:val="000000"/>
                      <w:sz w:val="21"/>
                      <w:szCs w:val="21"/>
                    </w:rPr>
                    <w:t>数量</w:t>
                  </w:r>
                  <w:bookmarkEnd w:id="10"/>
                </w:p>
              </w:tc>
            </w:tr>
            <w:tr w14:paraId="656826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7898504F">
                  <w:pPr>
                    <w:pStyle w:val="90"/>
                    <w:spacing w:line="240" w:lineRule="auto"/>
                    <w:ind w:left="0" w:leftChars="0" w:firstLine="0" w:firstLineChars="0"/>
                    <w:jc w:val="center"/>
                    <w:rPr>
                      <w:rFonts w:ascii="Times New Roman" w:hAnsi="Times New Roman" w:eastAsia="宋体" w:cs="Times New Roman"/>
                      <w:color w:val="000000"/>
                      <w:sz w:val="21"/>
                      <w:szCs w:val="21"/>
                    </w:rPr>
                  </w:pPr>
                  <w:bookmarkStart w:id="11" w:name="_Toc118086923"/>
                  <w:r>
                    <w:rPr>
                      <w:rFonts w:ascii="Times New Roman" w:hAnsi="Times New Roman" w:eastAsia="宋体" w:cs="Times New Roman"/>
                      <w:color w:val="000000"/>
                      <w:sz w:val="21"/>
                      <w:szCs w:val="21"/>
                    </w:rPr>
                    <w:t>1</w:t>
                  </w:r>
                  <w:bookmarkEnd w:id="11"/>
                </w:p>
              </w:tc>
              <w:tc>
                <w:tcPr>
                  <w:tcW w:w="1660" w:type="pct"/>
                  <w:tcBorders>
                    <w:tl2br w:val="nil"/>
                    <w:tr2bl w:val="nil"/>
                  </w:tcBorders>
                  <w:noWrap w:val="0"/>
                  <w:vAlign w:val="center"/>
                </w:tcPr>
                <w:p w14:paraId="26E5F09B">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汽车举升机</w:t>
                  </w:r>
                </w:p>
              </w:tc>
              <w:tc>
                <w:tcPr>
                  <w:tcW w:w="1736" w:type="pct"/>
                  <w:tcBorders>
                    <w:tl2br w:val="nil"/>
                    <w:tr2bl w:val="nil"/>
                  </w:tcBorders>
                  <w:noWrap w:val="0"/>
                  <w:vAlign w:val="center"/>
                </w:tcPr>
                <w:p w14:paraId="3C47D835">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YSJ35液压门式</w:t>
                  </w:r>
                </w:p>
              </w:tc>
              <w:tc>
                <w:tcPr>
                  <w:tcW w:w="527" w:type="pct"/>
                  <w:tcBorders>
                    <w:tl2br w:val="nil"/>
                    <w:tr2bl w:val="nil"/>
                  </w:tcBorders>
                  <w:noWrap w:val="0"/>
                  <w:vAlign w:val="center"/>
                </w:tcPr>
                <w:p w14:paraId="38643754">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2BBAD6F7">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r>
            <w:tr w14:paraId="778951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4F2C9DE5">
                  <w:pPr>
                    <w:pStyle w:val="90"/>
                    <w:spacing w:line="240" w:lineRule="auto"/>
                    <w:ind w:left="0" w:leftChars="0" w:firstLine="0" w:firstLineChars="0"/>
                    <w:jc w:val="center"/>
                    <w:rPr>
                      <w:rFonts w:ascii="Times New Roman" w:hAnsi="Times New Roman" w:eastAsia="宋体" w:cs="Times New Roman"/>
                      <w:color w:val="000000"/>
                      <w:sz w:val="21"/>
                      <w:szCs w:val="21"/>
                    </w:rPr>
                  </w:pPr>
                  <w:bookmarkStart w:id="12" w:name="_Toc118086928"/>
                  <w:r>
                    <w:rPr>
                      <w:rFonts w:ascii="Times New Roman" w:hAnsi="Times New Roman" w:eastAsia="宋体" w:cs="Times New Roman"/>
                      <w:color w:val="000000"/>
                      <w:sz w:val="21"/>
                      <w:szCs w:val="21"/>
                    </w:rPr>
                    <w:t>2</w:t>
                  </w:r>
                  <w:bookmarkEnd w:id="12"/>
                </w:p>
              </w:tc>
              <w:tc>
                <w:tcPr>
                  <w:tcW w:w="1660" w:type="pct"/>
                  <w:tcBorders>
                    <w:tl2br w:val="nil"/>
                    <w:tr2bl w:val="nil"/>
                  </w:tcBorders>
                  <w:noWrap w:val="0"/>
                  <w:vAlign w:val="center"/>
                </w:tcPr>
                <w:p w14:paraId="4C426968">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喷烤漆房</w:t>
                  </w:r>
                </w:p>
              </w:tc>
              <w:tc>
                <w:tcPr>
                  <w:tcW w:w="1736" w:type="pct"/>
                  <w:tcBorders>
                    <w:tl2br w:val="nil"/>
                    <w:tr2bl w:val="nil"/>
                  </w:tcBorders>
                  <w:noWrap w:val="0"/>
                  <w:vAlign w:val="center"/>
                </w:tcPr>
                <w:p w14:paraId="2E87D2DA">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GL</w:t>
                  </w:r>
                </w:p>
              </w:tc>
              <w:tc>
                <w:tcPr>
                  <w:tcW w:w="527" w:type="pct"/>
                  <w:tcBorders>
                    <w:tl2br w:val="nil"/>
                    <w:tr2bl w:val="nil"/>
                  </w:tcBorders>
                  <w:noWrap w:val="0"/>
                  <w:vAlign w:val="center"/>
                </w:tcPr>
                <w:p w14:paraId="1566681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507752F5">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r>
            <w:tr w14:paraId="0A39C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12ACFD59">
                  <w:pPr>
                    <w:pStyle w:val="90"/>
                    <w:spacing w:line="240" w:lineRule="auto"/>
                    <w:ind w:left="0" w:leftChars="0" w:firstLine="0" w:firstLineChars="0"/>
                    <w:jc w:val="center"/>
                    <w:rPr>
                      <w:rFonts w:ascii="Times New Roman" w:hAnsi="Times New Roman" w:eastAsia="宋体" w:cs="Times New Roman"/>
                      <w:color w:val="000000"/>
                      <w:sz w:val="21"/>
                      <w:szCs w:val="21"/>
                    </w:rPr>
                  </w:pPr>
                  <w:bookmarkStart w:id="13" w:name="_Toc118086932"/>
                  <w:r>
                    <w:rPr>
                      <w:rFonts w:ascii="Times New Roman" w:hAnsi="Times New Roman" w:eastAsia="宋体" w:cs="Times New Roman"/>
                      <w:color w:val="000000"/>
                      <w:sz w:val="21"/>
                      <w:szCs w:val="21"/>
                    </w:rPr>
                    <w:t>3</w:t>
                  </w:r>
                  <w:bookmarkEnd w:id="13"/>
                </w:p>
              </w:tc>
              <w:tc>
                <w:tcPr>
                  <w:tcW w:w="1660" w:type="pct"/>
                  <w:tcBorders>
                    <w:tl2br w:val="nil"/>
                    <w:tr2bl w:val="nil"/>
                  </w:tcBorders>
                  <w:noWrap w:val="0"/>
                  <w:vAlign w:val="center"/>
                </w:tcPr>
                <w:p w14:paraId="55DF63AE">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洗车机</w:t>
                  </w:r>
                </w:p>
              </w:tc>
              <w:tc>
                <w:tcPr>
                  <w:tcW w:w="1736" w:type="pct"/>
                  <w:tcBorders>
                    <w:tl2br w:val="nil"/>
                    <w:tr2bl w:val="nil"/>
                  </w:tcBorders>
                  <w:noWrap w:val="0"/>
                  <w:vAlign w:val="center"/>
                </w:tcPr>
                <w:p w14:paraId="3212BAB8">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3-4-380铝壳</w:t>
                  </w:r>
                </w:p>
              </w:tc>
              <w:tc>
                <w:tcPr>
                  <w:tcW w:w="527" w:type="pct"/>
                  <w:tcBorders>
                    <w:tl2br w:val="nil"/>
                    <w:tr2bl w:val="nil"/>
                  </w:tcBorders>
                  <w:noWrap w:val="0"/>
                  <w:vAlign w:val="center"/>
                </w:tcPr>
                <w:p w14:paraId="4999DA6A">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35EA9D87">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r>
            <w:tr w14:paraId="31DBD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7C360C10">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4</w:t>
                  </w:r>
                </w:p>
              </w:tc>
              <w:tc>
                <w:tcPr>
                  <w:tcW w:w="1660" w:type="pct"/>
                  <w:tcBorders>
                    <w:tl2br w:val="nil"/>
                    <w:tr2bl w:val="nil"/>
                  </w:tcBorders>
                  <w:noWrap w:val="0"/>
                  <w:vAlign w:val="center"/>
                </w:tcPr>
                <w:p w14:paraId="2D201D19">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维修工具</w:t>
                  </w:r>
                </w:p>
              </w:tc>
              <w:tc>
                <w:tcPr>
                  <w:tcW w:w="1736" w:type="pct"/>
                  <w:tcBorders>
                    <w:tl2br w:val="nil"/>
                    <w:tr2bl w:val="nil"/>
                  </w:tcBorders>
                  <w:noWrap w:val="0"/>
                  <w:vAlign w:val="center"/>
                </w:tcPr>
                <w:p w14:paraId="2AAB0CF3">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YT-3887</w:t>
                  </w:r>
                </w:p>
              </w:tc>
              <w:tc>
                <w:tcPr>
                  <w:tcW w:w="527" w:type="pct"/>
                  <w:tcBorders>
                    <w:tl2br w:val="nil"/>
                    <w:tr2bl w:val="nil"/>
                  </w:tcBorders>
                  <w:noWrap w:val="0"/>
                  <w:vAlign w:val="center"/>
                </w:tcPr>
                <w:p w14:paraId="351BFEBC">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套</w:t>
                  </w:r>
                </w:p>
              </w:tc>
              <w:tc>
                <w:tcPr>
                  <w:tcW w:w="592" w:type="pct"/>
                  <w:tcBorders>
                    <w:tl2br w:val="nil"/>
                    <w:tr2bl w:val="nil"/>
                  </w:tcBorders>
                  <w:noWrap w:val="0"/>
                  <w:vAlign w:val="center"/>
                </w:tcPr>
                <w:p w14:paraId="091F357C">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w:t>
                  </w:r>
                </w:p>
              </w:tc>
            </w:tr>
            <w:tr w14:paraId="2F07C6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7349FE44">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5</w:t>
                  </w:r>
                </w:p>
              </w:tc>
              <w:tc>
                <w:tcPr>
                  <w:tcW w:w="1660" w:type="pct"/>
                  <w:tcBorders>
                    <w:tl2br w:val="nil"/>
                    <w:tr2bl w:val="nil"/>
                  </w:tcBorders>
                  <w:noWrap w:val="0"/>
                  <w:vAlign w:val="center"/>
                </w:tcPr>
                <w:p w14:paraId="7A950E3C">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电阻焊接机</w:t>
                  </w:r>
                </w:p>
              </w:tc>
              <w:tc>
                <w:tcPr>
                  <w:tcW w:w="1736" w:type="pct"/>
                  <w:tcBorders>
                    <w:tl2br w:val="nil"/>
                    <w:tr2bl w:val="nil"/>
                  </w:tcBorders>
                  <w:noWrap w:val="0"/>
                  <w:vAlign w:val="center"/>
                </w:tcPr>
                <w:p w14:paraId="1B796725">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BX6-300</w:t>
                  </w:r>
                </w:p>
              </w:tc>
              <w:tc>
                <w:tcPr>
                  <w:tcW w:w="527" w:type="pct"/>
                  <w:tcBorders>
                    <w:tl2br w:val="nil"/>
                    <w:tr2bl w:val="nil"/>
                  </w:tcBorders>
                  <w:noWrap w:val="0"/>
                  <w:vAlign w:val="center"/>
                </w:tcPr>
                <w:p w14:paraId="1EE6F794">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592" w:type="pct"/>
                  <w:tcBorders>
                    <w:tl2br w:val="nil"/>
                    <w:tr2bl w:val="nil"/>
                  </w:tcBorders>
                  <w:noWrap w:val="0"/>
                  <w:vAlign w:val="center"/>
                </w:tcPr>
                <w:p w14:paraId="4893E98D">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r>
            <w:tr w14:paraId="2A60FE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112E7453">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6</w:t>
                  </w:r>
                </w:p>
              </w:tc>
              <w:tc>
                <w:tcPr>
                  <w:tcW w:w="1660" w:type="pct"/>
                  <w:tcBorders>
                    <w:tl2br w:val="nil"/>
                    <w:tr2bl w:val="nil"/>
                  </w:tcBorders>
                  <w:noWrap w:val="0"/>
                  <w:vAlign w:val="center"/>
                </w:tcPr>
                <w:p w14:paraId="6D4C6C71">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拆胎机</w:t>
                  </w:r>
                </w:p>
              </w:tc>
              <w:tc>
                <w:tcPr>
                  <w:tcW w:w="1736" w:type="pct"/>
                  <w:tcBorders>
                    <w:tl2br w:val="nil"/>
                    <w:tr2bl w:val="nil"/>
                  </w:tcBorders>
                  <w:noWrap w:val="0"/>
                  <w:vAlign w:val="center"/>
                </w:tcPr>
                <w:p w14:paraId="5FA41C98">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U-201</w:t>
                  </w:r>
                </w:p>
              </w:tc>
              <w:tc>
                <w:tcPr>
                  <w:tcW w:w="527" w:type="pct"/>
                  <w:tcBorders>
                    <w:tl2br w:val="nil"/>
                    <w:tr2bl w:val="nil"/>
                  </w:tcBorders>
                  <w:noWrap w:val="0"/>
                  <w:vAlign w:val="center"/>
                </w:tcPr>
                <w:p w14:paraId="0AEED8B1">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5A384C11">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1ED8E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44A0687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7</w:t>
                  </w:r>
                </w:p>
              </w:tc>
              <w:tc>
                <w:tcPr>
                  <w:tcW w:w="1660" w:type="pct"/>
                  <w:tcBorders>
                    <w:tl2br w:val="nil"/>
                    <w:tr2bl w:val="nil"/>
                  </w:tcBorders>
                  <w:noWrap w:val="0"/>
                  <w:vAlign w:val="center"/>
                </w:tcPr>
                <w:p w14:paraId="5A27D5C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四轮定位</w:t>
                  </w:r>
                </w:p>
              </w:tc>
              <w:tc>
                <w:tcPr>
                  <w:tcW w:w="1736" w:type="pct"/>
                  <w:tcBorders>
                    <w:tl2br w:val="nil"/>
                    <w:tr2bl w:val="nil"/>
                  </w:tcBorders>
                  <w:noWrap w:val="0"/>
                  <w:vAlign w:val="center"/>
                </w:tcPr>
                <w:p w14:paraId="3157A628">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WD-3D</w:t>
                  </w:r>
                </w:p>
              </w:tc>
              <w:tc>
                <w:tcPr>
                  <w:tcW w:w="527" w:type="pct"/>
                  <w:tcBorders>
                    <w:tl2br w:val="nil"/>
                    <w:tr2bl w:val="nil"/>
                  </w:tcBorders>
                  <w:noWrap w:val="0"/>
                  <w:vAlign w:val="center"/>
                </w:tcPr>
                <w:p w14:paraId="31B3F7B2">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78248159">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11B0E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45CE7F3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8</w:t>
                  </w:r>
                </w:p>
              </w:tc>
              <w:tc>
                <w:tcPr>
                  <w:tcW w:w="1660" w:type="pct"/>
                  <w:tcBorders>
                    <w:tl2br w:val="nil"/>
                    <w:tr2bl w:val="nil"/>
                  </w:tcBorders>
                  <w:noWrap w:val="0"/>
                  <w:vAlign w:val="center"/>
                </w:tcPr>
                <w:p w14:paraId="55D95EFF">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干磨机</w:t>
                  </w:r>
                </w:p>
              </w:tc>
              <w:tc>
                <w:tcPr>
                  <w:tcW w:w="1736" w:type="pct"/>
                  <w:tcBorders>
                    <w:tl2br w:val="nil"/>
                    <w:tr2bl w:val="nil"/>
                  </w:tcBorders>
                  <w:noWrap w:val="0"/>
                  <w:vAlign w:val="center"/>
                </w:tcPr>
                <w:p w14:paraId="60C2FC5D">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DE1242L AFC</w:t>
                  </w:r>
                </w:p>
              </w:tc>
              <w:tc>
                <w:tcPr>
                  <w:tcW w:w="527" w:type="pct"/>
                  <w:tcBorders>
                    <w:tl2br w:val="nil"/>
                    <w:tr2bl w:val="nil"/>
                  </w:tcBorders>
                  <w:noWrap w:val="0"/>
                  <w:vAlign w:val="center"/>
                </w:tcPr>
                <w:p w14:paraId="3B5CF6D0">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592" w:type="pct"/>
                  <w:tcBorders>
                    <w:tl2br w:val="nil"/>
                    <w:tr2bl w:val="nil"/>
                  </w:tcBorders>
                  <w:noWrap w:val="0"/>
                  <w:vAlign w:val="center"/>
                </w:tcPr>
                <w:p w14:paraId="1A848F31">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3E9CF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142976A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9</w:t>
                  </w:r>
                </w:p>
              </w:tc>
              <w:tc>
                <w:tcPr>
                  <w:tcW w:w="1660" w:type="pct"/>
                  <w:tcBorders>
                    <w:tl2br w:val="nil"/>
                    <w:tr2bl w:val="nil"/>
                  </w:tcBorders>
                  <w:noWrap w:val="0"/>
                  <w:vAlign w:val="center"/>
                </w:tcPr>
                <w:p w14:paraId="6865E2B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高压枪</w:t>
                  </w:r>
                </w:p>
              </w:tc>
              <w:tc>
                <w:tcPr>
                  <w:tcW w:w="1736" w:type="pct"/>
                  <w:tcBorders>
                    <w:tl2br w:val="nil"/>
                    <w:tr2bl w:val="nil"/>
                  </w:tcBorders>
                  <w:noWrap w:val="0"/>
                  <w:vAlign w:val="center"/>
                </w:tcPr>
                <w:p w14:paraId="258D4119">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3B10</w:t>
                  </w:r>
                </w:p>
              </w:tc>
              <w:tc>
                <w:tcPr>
                  <w:tcW w:w="527" w:type="pct"/>
                  <w:tcBorders>
                    <w:tl2br w:val="nil"/>
                    <w:tr2bl w:val="nil"/>
                  </w:tcBorders>
                  <w:noWrap w:val="0"/>
                  <w:vAlign w:val="center"/>
                </w:tcPr>
                <w:p w14:paraId="6E43A08B">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592" w:type="pct"/>
                  <w:tcBorders>
                    <w:tl2br w:val="nil"/>
                    <w:tr2bl w:val="nil"/>
                  </w:tcBorders>
                  <w:noWrap w:val="0"/>
                  <w:vAlign w:val="center"/>
                </w:tcPr>
                <w:p w14:paraId="2769ED26">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r>
            <w:tr w14:paraId="56BC3C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28CD3238">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1</w:t>
                  </w:r>
                  <w:r>
                    <w:rPr>
                      <w:rFonts w:hint="eastAsia" w:cs="Times New Roman"/>
                      <w:color w:val="000000"/>
                      <w:sz w:val="21"/>
                      <w:szCs w:val="21"/>
                      <w:lang w:val="en-US" w:eastAsia="zh-CN"/>
                    </w:rPr>
                    <w:t>0</w:t>
                  </w:r>
                </w:p>
              </w:tc>
              <w:tc>
                <w:tcPr>
                  <w:tcW w:w="1660" w:type="pct"/>
                  <w:tcBorders>
                    <w:tl2br w:val="nil"/>
                    <w:tr2bl w:val="nil"/>
                  </w:tcBorders>
                  <w:noWrap w:val="0"/>
                  <w:vAlign w:val="center"/>
                </w:tcPr>
                <w:p w14:paraId="7B33332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吸尘机</w:t>
                  </w:r>
                </w:p>
              </w:tc>
              <w:tc>
                <w:tcPr>
                  <w:tcW w:w="1736" w:type="pct"/>
                  <w:tcBorders>
                    <w:tl2br w:val="nil"/>
                    <w:tr2bl w:val="nil"/>
                  </w:tcBorders>
                  <w:noWrap w:val="0"/>
                  <w:vAlign w:val="center"/>
                </w:tcPr>
                <w:p w14:paraId="110B86A9">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CB30</w:t>
                  </w:r>
                </w:p>
              </w:tc>
              <w:tc>
                <w:tcPr>
                  <w:tcW w:w="527" w:type="pct"/>
                  <w:tcBorders>
                    <w:tl2br w:val="nil"/>
                    <w:tr2bl w:val="nil"/>
                  </w:tcBorders>
                  <w:noWrap w:val="0"/>
                  <w:vAlign w:val="center"/>
                </w:tcPr>
                <w:p w14:paraId="0921F911">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066A05F1">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707FC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4CD48ED3">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rPr>
                    <w:t>1</w:t>
                  </w:r>
                  <w:r>
                    <w:rPr>
                      <w:rFonts w:hint="eastAsia" w:cs="Times New Roman"/>
                      <w:color w:val="000000"/>
                      <w:sz w:val="21"/>
                      <w:szCs w:val="21"/>
                      <w:lang w:val="en-US" w:eastAsia="zh-CN"/>
                    </w:rPr>
                    <w:t>1</w:t>
                  </w:r>
                </w:p>
              </w:tc>
              <w:tc>
                <w:tcPr>
                  <w:tcW w:w="1660" w:type="pct"/>
                  <w:tcBorders>
                    <w:tl2br w:val="nil"/>
                    <w:tr2bl w:val="nil"/>
                  </w:tcBorders>
                  <w:noWrap w:val="0"/>
                  <w:vAlign w:val="center"/>
                </w:tcPr>
                <w:p w14:paraId="349154C2">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空压机</w:t>
                  </w:r>
                </w:p>
              </w:tc>
              <w:tc>
                <w:tcPr>
                  <w:tcW w:w="1736" w:type="pct"/>
                  <w:tcBorders>
                    <w:tl2br w:val="nil"/>
                    <w:tr2bl w:val="nil"/>
                  </w:tcBorders>
                  <w:noWrap w:val="0"/>
                  <w:vAlign w:val="center"/>
                </w:tcPr>
                <w:p w14:paraId="4158D453">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BS-11F</w:t>
                  </w:r>
                </w:p>
              </w:tc>
              <w:tc>
                <w:tcPr>
                  <w:tcW w:w="527" w:type="pct"/>
                  <w:tcBorders>
                    <w:tl2br w:val="nil"/>
                    <w:tr2bl w:val="nil"/>
                  </w:tcBorders>
                  <w:noWrap w:val="0"/>
                  <w:vAlign w:val="center"/>
                </w:tcPr>
                <w:p w14:paraId="3FF8F989">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79FC6CA6">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36CF5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38ECA64B">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rPr>
                    <w:t>1</w:t>
                  </w:r>
                  <w:r>
                    <w:rPr>
                      <w:rFonts w:hint="eastAsia" w:cs="Times New Roman"/>
                      <w:color w:val="000000"/>
                      <w:sz w:val="21"/>
                      <w:szCs w:val="21"/>
                      <w:lang w:val="en-US" w:eastAsia="zh-CN"/>
                    </w:rPr>
                    <w:t>2</w:t>
                  </w:r>
                </w:p>
              </w:tc>
              <w:tc>
                <w:tcPr>
                  <w:tcW w:w="1660" w:type="pct"/>
                  <w:tcBorders>
                    <w:tl2br w:val="nil"/>
                    <w:tr2bl w:val="nil"/>
                  </w:tcBorders>
                  <w:noWrap w:val="0"/>
                  <w:vAlign w:val="center"/>
                </w:tcPr>
                <w:p w14:paraId="3C7D3924">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钣金修复台架</w:t>
                  </w:r>
                </w:p>
              </w:tc>
              <w:tc>
                <w:tcPr>
                  <w:tcW w:w="1736" w:type="pct"/>
                  <w:tcBorders>
                    <w:tl2br w:val="nil"/>
                    <w:tr2bl w:val="nil"/>
                  </w:tcBorders>
                  <w:noWrap w:val="0"/>
                  <w:vAlign w:val="center"/>
                </w:tcPr>
                <w:p w14:paraId="2EC366CA">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BANTAM  MIE</w:t>
                  </w:r>
                </w:p>
              </w:tc>
              <w:tc>
                <w:tcPr>
                  <w:tcW w:w="527" w:type="pct"/>
                  <w:tcBorders>
                    <w:tl2br w:val="nil"/>
                    <w:tr2bl w:val="nil"/>
                  </w:tcBorders>
                  <w:noWrap w:val="0"/>
                  <w:vAlign w:val="center"/>
                </w:tcPr>
                <w:p w14:paraId="03974488">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592" w:type="pct"/>
                  <w:tcBorders>
                    <w:tl2br w:val="nil"/>
                    <w:tr2bl w:val="nil"/>
                  </w:tcBorders>
                  <w:noWrap w:val="0"/>
                  <w:vAlign w:val="center"/>
                </w:tcPr>
                <w:p w14:paraId="327785A1">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1E81AE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1BE9CBB8">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13</w:t>
                  </w:r>
                </w:p>
              </w:tc>
              <w:tc>
                <w:tcPr>
                  <w:tcW w:w="1660" w:type="pct"/>
                  <w:tcBorders>
                    <w:tl2br w:val="nil"/>
                    <w:tr2bl w:val="nil"/>
                  </w:tcBorders>
                  <w:noWrap w:val="0"/>
                  <w:vAlign w:val="center"/>
                </w:tcPr>
                <w:p w14:paraId="2F8D0EB6">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燃油压力传感器测试仪</w:t>
                  </w:r>
                </w:p>
              </w:tc>
              <w:tc>
                <w:tcPr>
                  <w:tcW w:w="1736" w:type="pct"/>
                  <w:tcBorders>
                    <w:tl2br w:val="nil"/>
                    <w:tr2bl w:val="nil"/>
                  </w:tcBorders>
                  <w:noWrap w:val="0"/>
                  <w:vAlign w:val="center"/>
                </w:tcPr>
                <w:p w14:paraId="473FFDD3">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SVW6394</w:t>
                  </w:r>
                </w:p>
              </w:tc>
              <w:tc>
                <w:tcPr>
                  <w:tcW w:w="527" w:type="pct"/>
                  <w:tcBorders>
                    <w:tl2br w:val="nil"/>
                    <w:tr2bl w:val="nil"/>
                  </w:tcBorders>
                  <w:noWrap w:val="0"/>
                  <w:vAlign w:val="center"/>
                </w:tcPr>
                <w:p w14:paraId="4CAD3D97">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5205F39F">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08E4A1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784E9335">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14</w:t>
                  </w:r>
                </w:p>
              </w:tc>
              <w:tc>
                <w:tcPr>
                  <w:tcW w:w="1660" w:type="pct"/>
                  <w:tcBorders>
                    <w:tl2br w:val="nil"/>
                    <w:tr2bl w:val="nil"/>
                  </w:tcBorders>
                  <w:noWrap w:val="0"/>
                  <w:vAlign w:val="center"/>
                </w:tcPr>
                <w:p w14:paraId="06B363CB">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Haldex耦合器油加注器</w:t>
                  </w:r>
                </w:p>
              </w:tc>
              <w:tc>
                <w:tcPr>
                  <w:tcW w:w="1736" w:type="pct"/>
                  <w:tcBorders>
                    <w:tl2br w:val="nil"/>
                    <w:tr2bl w:val="nil"/>
                  </w:tcBorders>
                  <w:noWrap w:val="0"/>
                  <w:vAlign w:val="center"/>
                </w:tcPr>
                <w:p w14:paraId="7764F99D">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SVW6291/1</w:t>
                  </w:r>
                </w:p>
              </w:tc>
              <w:tc>
                <w:tcPr>
                  <w:tcW w:w="527" w:type="pct"/>
                  <w:tcBorders>
                    <w:tl2br w:val="nil"/>
                    <w:tr2bl w:val="nil"/>
                  </w:tcBorders>
                  <w:noWrap w:val="0"/>
                  <w:vAlign w:val="center"/>
                </w:tcPr>
                <w:p w14:paraId="17C2B8BA">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592" w:type="pct"/>
                  <w:tcBorders>
                    <w:tl2br w:val="nil"/>
                    <w:tr2bl w:val="nil"/>
                  </w:tcBorders>
                  <w:noWrap w:val="0"/>
                  <w:vAlign w:val="center"/>
                </w:tcPr>
                <w:p w14:paraId="77EF8C47">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3FF34A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13EE910F">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15</w:t>
                  </w:r>
                </w:p>
              </w:tc>
              <w:tc>
                <w:tcPr>
                  <w:tcW w:w="1660" w:type="pct"/>
                  <w:tcBorders>
                    <w:tl2br w:val="nil"/>
                    <w:tr2bl w:val="nil"/>
                  </w:tcBorders>
                  <w:noWrap w:val="0"/>
                  <w:vAlign w:val="center"/>
                </w:tcPr>
                <w:p w14:paraId="1AFC5B7B">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角变速箱齿轮油加注器</w:t>
                  </w:r>
                </w:p>
              </w:tc>
              <w:tc>
                <w:tcPr>
                  <w:tcW w:w="1736" w:type="pct"/>
                  <w:tcBorders>
                    <w:tl2br w:val="nil"/>
                    <w:tr2bl w:val="nil"/>
                  </w:tcBorders>
                  <w:noWrap w:val="0"/>
                  <w:vAlign w:val="center"/>
                </w:tcPr>
                <w:p w14:paraId="392B430B">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SVW6291/2</w:t>
                  </w:r>
                </w:p>
              </w:tc>
              <w:tc>
                <w:tcPr>
                  <w:tcW w:w="527" w:type="pct"/>
                  <w:tcBorders>
                    <w:tl2br w:val="nil"/>
                    <w:tr2bl w:val="nil"/>
                  </w:tcBorders>
                  <w:noWrap w:val="0"/>
                  <w:vAlign w:val="center"/>
                </w:tcPr>
                <w:p w14:paraId="195A9E55">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2F23EED4">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531EA3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0A8CF58F">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16</w:t>
                  </w:r>
                </w:p>
              </w:tc>
              <w:tc>
                <w:tcPr>
                  <w:tcW w:w="1660" w:type="pct"/>
                  <w:tcBorders>
                    <w:tl2br w:val="nil"/>
                    <w:tr2bl w:val="nil"/>
                  </w:tcBorders>
                  <w:noWrap w:val="0"/>
                  <w:vAlign w:val="center"/>
                </w:tcPr>
                <w:p w14:paraId="0A2885FF">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超声波清洗机</w:t>
                  </w:r>
                </w:p>
              </w:tc>
              <w:tc>
                <w:tcPr>
                  <w:tcW w:w="1736" w:type="pct"/>
                  <w:tcBorders>
                    <w:tl2br w:val="nil"/>
                    <w:tr2bl w:val="nil"/>
                  </w:tcBorders>
                  <w:noWrap w:val="0"/>
                  <w:vAlign w:val="center"/>
                </w:tcPr>
                <w:p w14:paraId="5CCD2A86">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KSD-YZQX</w:t>
                  </w:r>
                </w:p>
              </w:tc>
              <w:tc>
                <w:tcPr>
                  <w:tcW w:w="527" w:type="pct"/>
                  <w:tcBorders>
                    <w:tl2br w:val="nil"/>
                    <w:tr2bl w:val="nil"/>
                  </w:tcBorders>
                  <w:noWrap w:val="0"/>
                  <w:vAlign w:val="center"/>
                </w:tcPr>
                <w:p w14:paraId="56B0C729">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7CD7A15B">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218BE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7376C95B">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17</w:t>
                  </w:r>
                </w:p>
              </w:tc>
              <w:tc>
                <w:tcPr>
                  <w:tcW w:w="1660" w:type="pct"/>
                  <w:tcBorders>
                    <w:tl2br w:val="nil"/>
                    <w:tr2bl w:val="nil"/>
                  </w:tcBorders>
                  <w:noWrap w:val="0"/>
                  <w:vAlign w:val="center"/>
                </w:tcPr>
                <w:p w14:paraId="533559D3">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锥形轴承拔出器附件</w:t>
                  </w:r>
                </w:p>
              </w:tc>
              <w:tc>
                <w:tcPr>
                  <w:tcW w:w="1736" w:type="pct"/>
                  <w:tcBorders>
                    <w:tl2br w:val="nil"/>
                    <w:tr2bl w:val="nil"/>
                  </w:tcBorders>
                  <w:noWrap w:val="0"/>
                  <w:vAlign w:val="center"/>
                </w:tcPr>
                <w:p w14:paraId="71369FC0">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SVW1582/4</w:t>
                  </w:r>
                </w:p>
              </w:tc>
              <w:tc>
                <w:tcPr>
                  <w:tcW w:w="527" w:type="pct"/>
                  <w:tcBorders>
                    <w:tl2br w:val="nil"/>
                    <w:tr2bl w:val="nil"/>
                  </w:tcBorders>
                  <w:noWrap w:val="0"/>
                  <w:vAlign w:val="center"/>
                </w:tcPr>
                <w:p w14:paraId="59AB53C1">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03F677DB">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7D21F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62E59147">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18</w:t>
                  </w:r>
                </w:p>
              </w:tc>
              <w:tc>
                <w:tcPr>
                  <w:tcW w:w="1660" w:type="pct"/>
                  <w:tcBorders>
                    <w:tl2br w:val="nil"/>
                    <w:tr2bl w:val="nil"/>
                  </w:tcBorders>
                  <w:noWrap w:val="0"/>
                  <w:vAlign w:val="center"/>
                </w:tcPr>
                <w:p w14:paraId="49BCB431">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尾气排放装置</w:t>
                  </w:r>
                  <w:r>
                    <w:rPr>
                      <w:rFonts w:hint="eastAsia" w:ascii="Times New Roman" w:hAnsi="Times New Roman" w:eastAsia="宋体" w:cs="Times New Roman"/>
                      <w:color w:val="000000"/>
                      <w:sz w:val="21"/>
                      <w:szCs w:val="21"/>
                      <w:lang w:val="en-US" w:eastAsia="zh-CN"/>
                    </w:rPr>
                    <w:t>Y型接头</w:t>
                  </w:r>
                </w:p>
              </w:tc>
              <w:tc>
                <w:tcPr>
                  <w:tcW w:w="1736" w:type="pct"/>
                  <w:tcBorders>
                    <w:tl2br w:val="nil"/>
                    <w:tr2bl w:val="nil"/>
                  </w:tcBorders>
                  <w:noWrap w:val="0"/>
                  <w:vAlign w:val="center"/>
                </w:tcPr>
                <w:p w14:paraId="6C156AD9">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DML-1</w:t>
                  </w:r>
                </w:p>
              </w:tc>
              <w:tc>
                <w:tcPr>
                  <w:tcW w:w="527" w:type="pct"/>
                  <w:tcBorders>
                    <w:tl2br w:val="nil"/>
                    <w:tr2bl w:val="nil"/>
                  </w:tcBorders>
                  <w:noWrap w:val="0"/>
                  <w:vAlign w:val="center"/>
                </w:tcPr>
                <w:p w14:paraId="0F097629">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44B7BC2E">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07C18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5A62E076">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19</w:t>
                  </w:r>
                </w:p>
              </w:tc>
              <w:tc>
                <w:tcPr>
                  <w:tcW w:w="1660" w:type="pct"/>
                  <w:tcBorders>
                    <w:tl2br w:val="nil"/>
                    <w:tr2bl w:val="nil"/>
                  </w:tcBorders>
                  <w:noWrap w:val="0"/>
                  <w:vAlign w:val="center"/>
                </w:tcPr>
                <w:p w14:paraId="11733812">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基础专用工具（套装）</w:t>
                  </w:r>
                </w:p>
              </w:tc>
              <w:tc>
                <w:tcPr>
                  <w:tcW w:w="1736" w:type="pct"/>
                  <w:tcBorders>
                    <w:tl2br w:val="nil"/>
                    <w:tr2bl w:val="nil"/>
                  </w:tcBorders>
                  <w:noWrap w:val="0"/>
                  <w:vAlign w:val="center"/>
                </w:tcPr>
                <w:p w14:paraId="24344946">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ST200</w:t>
                  </w:r>
                </w:p>
              </w:tc>
              <w:tc>
                <w:tcPr>
                  <w:tcW w:w="527" w:type="pct"/>
                  <w:tcBorders>
                    <w:tl2br w:val="nil"/>
                    <w:tr2bl w:val="nil"/>
                  </w:tcBorders>
                  <w:noWrap w:val="0"/>
                  <w:vAlign w:val="center"/>
                </w:tcPr>
                <w:p w14:paraId="7B9E5111">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1D3C040A">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06B8D2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50DE623E">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20</w:t>
                  </w:r>
                </w:p>
              </w:tc>
              <w:tc>
                <w:tcPr>
                  <w:tcW w:w="1660" w:type="pct"/>
                  <w:tcBorders>
                    <w:tl2br w:val="nil"/>
                    <w:tr2bl w:val="nil"/>
                  </w:tcBorders>
                  <w:noWrap w:val="0"/>
                  <w:vAlign w:val="center"/>
                </w:tcPr>
                <w:p w14:paraId="5A55969E">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废油收集器</w:t>
                  </w:r>
                </w:p>
              </w:tc>
              <w:tc>
                <w:tcPr>
                  <w:tcW w:w="1736" w:type="pct"/>
                  <w:tcBorders>
                    <w:tl2br w:val="nil"/>
                    <w:tr2bl w:val="nil"/>
                  </w:tcBorders>
                  <w:noWrap w:val="0"/>
                  <w:vAlign w:val="center"/>
                </w:tcPr>
                <w:p w14:paraId="5A947AF5">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HC-2097</w:t>
                  </w:r>
                </w:p>
              </w:tc>
              <w:tc>
                <w:tcPr>
                  <w:tcW w:w="527" w:type="pct"/>
                  <w:tcBorders>
                    <w:tl2br w:val="nil"/>
                    <w:tr2bl w:val="nil"/>
                  </w:tcBorders>
                  <w:noWrap w:val="0"/>
                  <w:vAlign w:val="center"/>
                </w:tcPr>
                <w:p w14:paraId="6AC88822">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台</w:t>
                  </w:r>
                </w:p>
              </w:tc>
              <w:tc>
                <w:tcPr>
                  <w:tcW w:w="592" w:type="pct"/>
                  <w:tcBorders>
                    <w:tl2br w:val="nil"/>
                    <w:tr2bl w:val="nil"/>
                  </w:tcBorders>
                  <w:noWrap w:val="0"/>
                  <w:vAlign w:val="center"/>
                </w:tcPr>
                <w:p w14:paraId="0197D3F7">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w:t>
                  </w:r>
                </w:p>
              </w:tc>
            </w:tr>
            <w:tr w14:paraId="369B09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pct"/>
                  <w:tcBorders>
                    <w:tl2br w:val="nil"/>
                    <w:tr2bl w:val="nil"/>
                  </w:tcBorders>
                  <w:noWrap w:val="0"/>
                  <w:vAlign w:val="center"/>
                </w:tcPr>
                <w:p w14:paraId="4D0A20F6">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21</w:t>
                  </w:r>
                </w:p>
              </w:tc>
              <w:tc>
                <w:tcPr>
                  <w:tcW w:w="1660" w:type="pct"/>
                  <w:tcBorders>
                    <w:tl2br w:val="nil"/>
                    <w:tr2bl w:val="nil"/>
                  </w:tcBorders>
                  <w:noWrap w:val="0"/>
                  <w:vAlign w:val="center"/>
                </w:tcPr>
                <w:p w14:paraId="09A76BF9">
                  <w:pPr>
                    <w:pStyle w:val="90"/>
                    <w:spacing w:line="240" w:lineRule="auto"/>
                    <w:ind w:left="0" w:leftChars="0" w:firstLine="0" w:firstLineChars="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自动变速箱换油机</w:t>
                  </w:r>
                </w:p>
              </w:tc>
              <w:tc>
                <w:tcPr>
                  <w:tcW w:w="1736" w:type="pct"/>
                  <w:tcBorders>
                    <w:tl2br w:val="nil"/>
                    <w:tr2bl w:val="nil"/>
                  </w:tcBorders>
                  <w:noWrap w:val="0"/>
                  <w:vAlign w:val="center"/>
                </w:tcPr>
                <w:p w14:paraId="7DE68895">
                  <w:pPr>
                    <w:pStyle w:val="90"/>
                    <w:spacing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ATF-880</w:t>
                  </w:r>
                </w:p>
              </w:tc>
              <w:tc>
                <w:tcPr>
                  <w:tcW w:w="527" w:type="pct"/>
                  <w:tcBorders>
                    <w:tl2br w:val="nil"/>
                    <w:tr2bl w:val="nil"/>
                  </w:tcBorders>
                  <w:noWrap w:val="0"/>
                  <w:vAlign w:val="center"/>
                </w:tcPr>
                <w:p w14:paraId="13F88C3C">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592" w:type="pct"/>
                  <w:tcBorders>
                    <w:tl2br w:val="nil"/>
                    <w:tr2bl w:val="nil"/>
                  </w:tcBorders>
                  <w:noWrap w:val="0"/>
                  <w:vAlign w:val="center"/>
                </w:tcPr>
                <w:p w14:paraId="25223480">
                  <w:pPr>
                    <w:pStyle w:val="90"/>
                    <w:spacing w:line="240" w:lineRule="auto"/>
                    <w:ind w:left="0" w:leftChars="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bl>
          <w:p w14:paraId="2E315C51">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（五）公用工程</w:t>
            </w:r>
          </w:p>
          <w:p w14:paraId="0584D5F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厂区供水</w:t>
            </w:r>
          </w:p>
          <w:p w14:paraId="2038F6AA">
            <w:pPr>
              <w:ind w:firstLine="48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本项目用水主要来自生产用水、生活用水</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由市政</w:t>
            </w:r>
            <w:r>
              <w:rPr>
                <w:rFonts w:hint="eastAsia"/>
                <w:color w:val="000000" w:themeColor="text1"/>
                <w14:textFill>
                  <w14:solidFill>
                    <w14:schemeClr w14:val="tx1"/>
                  </w14:solidFill>
                </w14:textFill>
              </w:rPr>
              <w:t>自来水厂</w:t>
            </w:r>
            <w:r>
              <w:rPr>
                <w:color w:val="000000" w:themeColor="text1"/>
                <w14:textFill>
                  <w14:solidFill>
                    <w14:schemeClr w14:val="tx1"/>
                  </w14:solidFill>
                </w14:textFill>
              </w:rPr>
              <w:t>供水</w:t>
            </w:r>
            <w:r>
              <w:rPr>
                <w:rFonts w:hint="eastAsia"/>
                <w:color w:val="000000" w:themeColor="text1"/>
                <w:lang w:eastAsia="zh-CN"/>
                <w14:textFill>
                  <w14:solidFill>
                    <w14:schemeClr w14:val="tx1"/>
                  </w14:solidFill>
                </w14:textFill>
              </w:rPr>
              <w:t>。</w:t>
            </w:r>
          </w:p>
          <w:p w14:paraId="11EA493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厂区排水</w:t>
            </w:r>
          </w:p>
          <w:p w14:paraId="2349048D">
            <w:pPr>
              <w:ind w:firstLine="480"/>
              <w:rPr>
                <w:color w:val="000000" w:themeColor="text1"/>
                <w14:textFill>
                  <w14:solidFill>
                    <w14:schemeClr w14:val="tx1"/>
                  </w14:solidFill>
                </w14:textFill>
              </w:rPr>
            </w:pPr>
            <w:r>
              <w:rPr>
                <w:color w:val="000000" w:themeColor="text1"/>
                <w14:textFill>
                  <w14:solidFill>
                    <w14:schemeClr w14:val="tx1"/>
                  </w14:solidFill>
                </w14:textFill>
              </w:rPr>
              <w:t>项目厂区实施雨污分流，雨水经收集后排入雨水系统</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生活污</w:t>
            </w:r>
            <w:r>
              <w:rPr>
                <w:rFonts w:hint="eastAsia"/>
                <w:color w:val="000000" w:themeColor="text1"/>
                <w:lang w:val="en-US" w:eastAsia="zh-CN"/>
                <w14:textFill>
                  <w14:solidFill>
                    <w14:schemeClr w14:val="tx1"/>
                  </w14:solidFill>
                </w14:textFill>
              </w:rPr>
              <w:t>水及洗车废水</w:t>
            </w:r>
            <w:r>
              <w:rPr>
                <w:color w:val="000000" w:themeColor="text1"/>
                <w14:textFill>
                  <w14:solidFill>
                    <w14:schemeClr w14:val="tx1"/>
                  </w14:solidFill>
                </w14:textFill>
              </w:rPr>
              <w:t>经</w:t>
            </w:r>
            <w:r>
              <w:rPr>
                <w:rFonts w:hint="eastAsia"/>
                <w:color w:val="000000" w:themeColor="text1"/>
                <w:lang w:val="en-US" w:eastAsia="zh-CN"/>
                <w14:textFill>
                  <w14:solidFill>
                    <w14:schemeClr w14:val="tx1"/>
                  </w14:solidFill>
                </w14:textFill>
              </w:rPr>
              <w:t>处理后排入周边市政污水管网</w:t>
            </w:r>
            <w:r>
              <w:rPr>
                <w:color w:val="000000" w:themeColor="text1"/>
                <w14:textFill>
                  <w14:solidFill>
                    <w14:schemeClr w14:val="tx1"/>
                  </w14:solidFill>
                </w14:textFill>
              </w:rPr>
              <w:t>。</w:t>
            </w:r>
          </w:p>
          <w:p w14:paraId="01DF540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供电</w:t>
            </w:r>
          </w:p>
          <w:p w14:paraId="60DBBB5F">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本项目由</w:t>
            </w:r>
            <w:r>
              <w:rPr>
                <w:rFonts w:hint="eastAsia"/>
                <w:color w:val="000000" w:themeColor="text1"/>
                <w:shd w:val="clear" w:color="auto" w:fill="FFFFFF"/>
                <w14:textFill>
                  <w14:solidFill>
                    <w14:schemeClr w14:val="tx1"/>
                  </w14:solidFill>
                </w14:textFill>
              </w:rPr>
              <w:t>市政</w:t>
            </w:r>
            <w:r>
              <w:rPr>
                <w:color w:val="000000" w:themeColor="text1"/>
                <w14:textFill>
                  <w14:solidFill>
                    <w14:schemeClr w14:val="tx1"/>
                  </w14:solidFill>
                </w14:textFill>
              </w:rPr>
              <w:t>电网供电</w:t>
            </w:r>
            <w:r>
              <w:rPr>
                <w:bCs/>
                <w:color w:val="000000" w:themeColor="text1"/>
                <w:szCs w:val="28"/>
                <w14:textFill>
                  <w14:solidFill>
                    <w14:schemeClr w14:val="tx1"/>
                  </w14:solidFill>
                </w14:textFill>
              </w:rPr>
              <w:t>。</w:t>
            </w:r>
          </w:p>
          <w:p w14:paraId="789E3448">
            <w:pPr>
              <w:ind w:firstLine="48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4、</w:t>
            </w:r>
            <w:r>
              <w:rPr>
                <w:color w:val="000000" w:themeColor="text1"/>
                <w:szCs w:val="28"/>
                <w14:textFill>
                  <w14:solidFill>
                    <w14:schemeClr w14:val="tx1"/>
                  </w14:solidFill>
                </w14:textFill>
              </w:rPr>
              <w:t>消防</w:t>
            </w:r>
          </w:p>
          <w:p w14:paraId="7D75B073">
            <w:pPr>
              <w:ind w:firstLine="480"/>
              <w:rPr>
                <w:color w:val="000000" w:themeColor="text1"/>
                <w:szCs w:val="28"/>
                <w14:textFill>
                  <w14:solidFill>
                    <w14:schemeClr w14:val="tx1"/>
                  </w14:solidFill>
                </w14:textFill>
              </w:rPr>
            </w:pPr>
            <w:r>
              <w:rPr>
                <w:color w:val="000000" w:themeColor="text1"/>
                <w:szCs w:val="28"/>
                <w14:textFill>
                  <w14:solidFill>
                    <w14:schemeClr w14:val="tx1"/>
                  </w14:solidFill>
                </w14:textFill>
              </w:rPr>
              <w:t>本项目</w:t>
            </w:r>
            <w:r>
              <w:rPr>
                <w:rFonts w:hint="eastAsia"/>
                <w:color w:val="000000" w:themeColor="text1"/>
                <w:szCs w:val="28"/>
                <w14:textFill>
                  <w14:solidFill>
                    <w14:schemeClr w14:val="tx1"/>
                  </w14:solidFill>
                </w14:textFill>
              </w:rPr>
              <w:t>消防设计按照《建筑设计防火规范（GBJ16-2006》进行设计，工程按一级耐火等级设计。</w:t>
            </w:r>
          </w:p>
          <w:p w14:paraId="1034DA9B">
            <w:pPr>
              <w:ind w:firstLine="48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5、劳动定员及工作制度</w:t>
            </w:r>
          </w:p>
          <w:p w14:paraId="63D0FBD0">
            <w:pPr>
              <w:ind w:firstLine="480"/>
              <w:rPr>
                <w:rFonts w:hint="default" w:eastAsia="宋体"/>
                <w:color w:val="000000" w:themeColor="text1"/>
                <w:szCs w:val="28"/>
                <w:lang w:val="en-US" w:eastAsia="zh-CN"/>
                <w14:textFill>
                  <w14:solidFill>
                    <w14:schemeClr w14:val="tx1"/>
                  </w14:solidFill>
                </w14:textFill>
              </w:rPr>
            </w:pPr>
            <w:r>
              <w:rPr>
                <w:color w:val="000000" w:themeColor="text1"/>
                <w:szCs w:val="28"/>
                <w14:textFill>
                  <w14:solidFill>
                    <w14:schemeClr w14:val="tx1"/>
                  </w14:solidFill>
                </w14:textFill>
              </w:rPr>
              <w:t>项目劳动定员总数为</w:t>
            </w:r>
            <w:r>
              <w:rPr>
                <w:rFonts w:hint="eastAsia"/>
                <w:color w:val="000000" w:themeColor="text1"/>
                <w:szCs w:val="28"/>
                <w:lang w:val="en-US" w:eastAsia="zh-CN"/>
                <w14:textFill>
                  <w14:solidFill>
                    <w14:schemeClr w14:val="tx1"/>
                  </w14:solidFill>
                </w14:textFill>
              </w:rPr>
              <w:t>40</w:t>
            </w:r>
            <w:r>
              <w:rPr>
                <w:color w:val="000000" w:themeColor="text1"/>
                <w:szCs w:val="28"/>
                <w14:textFill>
                  <w14:solidFill>
                    <w14:schemeClr w14:val="tx1"/>
                  </w14:solidFill>
                </w14:textFill>
              </w:rPr>
              <w:t>人</w:t>
            </w:r>
            <w:r>
              <w:rPr>
                <w:rFonts w:hint="eastAsia"/>
                <w:color w:val="000000" w:themeColor="text1"/>
                <w:szCs w:val="28"/>
                <w14:textFill>
                  <w14:solidFill>
                    <w14:schemeClr w14:val="tx1"/>
                  </w14:solidFill>
                </w14:textFill>
              </w:rPr>
              <w:t>，</w:t>
            </w:r>
            <w:r>
              <w:rPr>
                <w:rFonts w:hint="eastAsia"/>
                <w:color w:val="000000" w:themeColor="text1"/>
                <w:szCs w:val="28"/>
                <w:lang w:eastAsia="zh-CN"/>
                <w14:textFill>
                  <w14:solidFill>
                    <w14:schemeClr w14:val="tx1"/>
                  </w14:solidFill>
                </w14:textFill>
              </w:rPr>
              <w:t>厂内不设食堂，</w:t>
            </w:r>
            <w:r>
              <w:rPr>
                <w:rFonts w:hint="eastAsia"/>
                <w:color w:val="000000" w:themeColor="text1"/>
                <w:szCs w:val="28"/>
                <w:lang w:val="en-US" w:eastAsia="zh-CN"/>
                <w14:textFill>
                  <w14:solidFill>
                    <w14:schemeClr w14:val="tx1"/>
                  </w14:solidFill>
                </w14:textFill>
              </w:rPr>
              <w:t>供10人住宿。</w:t>
            </w:r>
          </w:p>
          <w:p w14:paraId="483A53F3">
            <w:pPr>
              <w:ind w:firstLine="480"/>
              <w:rPr>
                <w:color w:val="000000" w:themeColor="text1"/>
                <w:szCs w:val="28"/>
                <w14:textFill>
                  <w14:solidFill>
                    <w14:schemeClr w14:val="tx1"/>
                  </w14:solidFill>
                </w14:textFill>
              </w:rPr>
            </w:pPr>
            <w:r>
              <w:rPr>
                <w:color w:val="000000" w:themeColor="text1"/>
                <w:szCs w:val="28"/>
                <w14:textFill>
                  <w14:solidFill>
                    <w14:schemeClr w14:val="tx1"/>
                  </w14:solidFill>
                </w14:textFill>
              </w:rPr>
              <w:t>生产制度：年工作</w:t>
            </w:r>
            <w:r>
              <w:rPr>
                <w:rFonts w:hint="eastAsia"/>
                <w:color w:val="000000" w:themeColor="text1"/>
                <w:szCs w:val="28"/>
                <w14:textFill>
                  <w14:solidFill>
                    <w14:schemeClr w14:val="tx1"/>
                  </w14:solidFill>
                </w14:textFill>
              </w:rPr>
              <w:t>30</w:t>
            </w:r>
            <w:r>
              <w:rPr>
                <w:rFonts w:hint="eastAsia"/>
                <w:color w:val="000000" w:themeColor="text1"/>
                <w:szCs w:val="28"/>
                <w:lang w:val="en-US" w:eastAsia="zh-CN"/>
                <w14:textFill>
                  <w14:solidFill>
                    <w14:schemeClr w14:val="tx1"/>
                  </w14:solidFill>
                </w14:textFill>
              </w:rPr>
              <w:t>6</w:t>
            </w:r>
            <w:r>
              <w:rPr>
                <w:color w:val="000000" w:themeColor="text1"/>
                <w:szCs w:val="28"/>
                <w14:textFill>
                  <w14:solidFill>
                    <w14:schemeClr w14:val="tx1"/>
                  </w14:solidFill>
                </w14:textFill>
              </w:rPr>
              <w:t>天，</w:t>
            </w:r>
            <w:r>
              <w:rPr>
                <w:rFonts w:hint="eastAsia"/>
                <w:color w:val="000000" w:themeColor="text1"/>
                <w:szCs w:val="28"/>
                <w:lang w:val="en-US" w:eastAsia="zh-CN"/>
                <w14:textFill>
                  <w14:solidFill>
                    <w14:schemeClr w14:val="tx1"/>
                  </w14:solidFill>
                </w14:textFill>
              </w:rPr>
              <w:t>8</w:t>
            </w:r>
            <w:r>
              <w:rPr>
                <w:rFonts w:hint="eastAsia"/>
                <w:color w:val="000000" w:themeColor="text1"/>
                <w:szCs w:val="28"/>
                <w14:textFill>
                  <w14:solidFill>
                    <w14:schemeClr w14:val="tx1"/>
                  </w14:solidFill>
                </w14:textFill>
              </w:rPr>
              <w:t>小时</w:t>
            </w:r>
            <w:r>
              <w:rPr>
                <w:rFonts w:hint="eastAsia"/>
                <w:color w:val="000000" w:themeColor="text1"/>
                <w:szCs w:val="28"/>
                <w:lang w:val="en-US" w:eastAsia="zh-CN"/>
                <w14:textFill>
                  <w14:solidFill>
                    <w14:schemeClr w14:val="tx1"/>
                  </w14:solidFill>
                </w14:textFill>
              </w:rPr>
              <w:t>工作制</w:t>
            </w:r>
            <w:r>
              <w:rPr>
                <w:color w:val="000000" w:themeColor="text1"/>
                <w:szCs w:val="28"/>
                <w14:textFill>
                  <w14:solidFill>
                    <w14:schemeClr w14:val="tx1"/>
                  </w14:solidFill>
                </w14:textFill>
              </w:rPr>
              <w:t>。</w:t>
            </w:r>
          </w:p>
          <w:p w14:paraId="6CE318CF">
            <w:pPr>
              <w:ind w:firstLine="48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6、项目用地概况</w:t>
            </w:r>
          </w:p>
          <w:p w14:paraId="2A004D2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位于潇湘汽车城内</w:t>
            </w:r>
            <w:r>
              <w:rPr>
                <w:rFonts w:hint="eastAsia"/>
                <w:color w:val="000000" w:themeColor="text1"/>
                <w14:textFill>
                  <w14:solidFill>
                    <w14:schemeClr w14:val="tx1"/>
                  </w14:solidFill>
                </w14:textFill>
              </w:rPr>
              <w:t>，项目东侧约</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0m至</w:t>
            </w:r>
            <w:r>
              <w:rPr>
                <w:rFonts w:hint="eastAsia"/>
                <w:color w:val="000000" w:themeColor="text1"/>
                <w:lang w:val="en-US" w:eastAsia="zh-CN"/>
                <w14:textFill>
                  <w14:solidFill>
                    <w14:schemeClr w14:val="tx1"/>
                  </w14:solidFill>
                </w14:textFill>
              </w:rPr>
              <w:t>永州</w:t>
            </w:r>
            <w:r>
              <w:rPr>
                <w:rFonts w:hint="eastAsia"/>
                <w:color w:val="000000" w:themeColor="text1"/>
                <w14:textFill>
                  <w14:solidFill>
                    <w14:schemeClr w14:val="tx1"/>
                  </w14:solidFill>
                </w14:textFill>
              </w:rPr>
              <w:t>大道，南侧</w:t>
            </w:r>
            <w:r>
              <w:rPr>
                <w:rFonts w:hint="eastAsia"/>
                <w:color w:val="000000" w:themeColor="text1"/>
                <w:lang w:val="en-US" w:eastAsia="zh-CN"/>
                <w14:textFill>
                  <w14:solidFill>
                    <w14:schemeClr w14:val="tx1"/>
                  </w14:solidFill>
                </w14:textFill>
              </w:rPr>
              <w:t>相邻为丰田4S店</w:t>
            </w:r>
            <w:r>
              <w:rPr>
                <w:rFonts w:hint="eastAsia"/>
                <w:color w:val="000000" w:themeColor="text1"/>
                <w14:textFill>
                  <w14:solidFill>
                    <w14:schemeClr w14:val="tx1"/>
                  </w14:solidFill>
                </w14:textFill>
              </w:rPr>
              <w:t>，西侧</w:t>
            </w:r>
            <w:r>
              <w:rPr>
                <w:rFonts w:hint="eastAsia"/>
                <w:color w:val="000000" w:themeColor="text1"/>
                <w:lang w:val="en-US" w:eastAsia="zh-CN"/>
                <w14:textFill>
                  <w14:solidFill>
                    <w14:schemeClr w14:val="tx1"/>
                  </w14:solidFill>
                </w14:textFill>
              </w:rPr>
              <w:t>相邻为一汽奥迪4S店</w:t>
            </w:r>
            <w:r>
              <w:rPr>
                <w:rFonts w:hint="eastAsia"/>
                <w:color w:val="000000" w:themeColor="text1"/>
                <w14:textFill>
                  <w14:solidFill>
                    <w14:schemeClr w14:val="tx1"/>
                  </w14:solidFill>
                </w14:textFill>
              </w:rPr>
              <w:t>，北侧</w:t>
            </w:r>
            <w:r>
              <w:rPr>
                <w:rFonts w:hint="eastAsia"/>
                <w:color w:val="000000" w:themeColor="text1"/>
                <w:lang w:val="en-US" w:eastAsia="zh-CN"/>
                <w14:textFill>
                  <w14:solidFill>
                    <w14:schemeClr w14:val="tx1"/>
                  </w14:solidFill>
                </w14:textFill>
              </w:rPr>
              <w:t>现状为空地</w:t>
            </w:r>
            <w:r>
              <w:rPr>
                <w:rFonts w:hint="eastAsia"/>
                <w:color w:val="000000" w:themeColor="text1"/>
                <w14:textFill>
                  <w14:solidFill>
                    <w14:schemeClr w14:val="tx1"/>
                  </w14:solidFill>
                </w14:textFill>
              </w:rPr>
              <w:t>，周边环境主要是</w:t>
            </w:r>
            <w:r>
              <w:rPr>
                <w:rFonts w:hint="eastAsia"/>
                <w:color w:val="000000" w:themeColor="text1"/>
                <w:lang w:val="en-US" w:eastAsia="zh-CN"/>
                <w14:textFill>
                  <w14:solidFill>
                    <w14:schemeClr w14:val="tx1"/>
                  </w14:solidFill>
                </w14:textFill>
              </w:rPr>
              <w:t>汽车城内</w:t>
            </w:r>
            <w:r>
              <w:rPr>
                <w:rFonts w:hint="eastAsia"/>
                <w:color w:val="000000" w:themeColor="text1"/>
                <w14:textFill>
                  <w14:solidFill>
                    <w14:schemeClr w14:val="tx1"/>
                  </w14:solidFill>
                </w14:textFill>
              </w:rPr>
              <w:t>。</w:t>
            </w:r>
          </w:p>
          <w:p w14:paraId="2A0F06CF">
            <w:pPr>
              <w:bidi w:val="0"/>
              <w:rPr>
                <w:rFonts w:hint="eastAsia"/>
              </w:rPr>
            </w:pPr>
            <w:r>
              <w:rPr>
                <w:rFonts w:hint="eastAsia"/>
              </w:rPr>
              <w:t>7、项目平面布置</w:t>
            </w:r>
          </w:p>
          <w:p w14:paraId="6A3F96A3">
            <w:pPr>
              <w:bidi w:val="0"/>
              <w:rPr>
                <w:rFonts w:hint="eastAsia"/>
                <w:color w:val="000000" w:themeColor="text1"/>
                <w14:textFill>
                  <w14:solidFill>
                    <w14:schemeClr w14:val="tx1"/>
                  </w14:solidFill>
                </w14:textFill>
              </w:rPr>
            </w:pPr>
            <w:r>
              <w:rPr>
                <w:rFonts w:hint="eastAsia"/>
              </w:rPr>
              <w:t>本项</w:t>
            </w:r>
            <w:r>
              <w:rPr>
                <w:rFonts w:hint="eastAsia"/>
                <w:lang w:val="en-US" w:eastAsia="zh-CN"/>
              </w:rPr>
              <w:t>目自建一栋两层4S店</w:t>
            </w:r>
            <w:r>
              <w:rPr>
                <w:rFonts w:hint="eastAsia"/>
              </w:rPr>
              <w:t>，</w:t>
            </w:r>
            <w:r>
              <w:rPr>
                <w:rFonts w:hint="eastAsia"/>
                <w:lang w:val="en-US" w:eastAsia="zh-CN"/>
              </w:rPr>
              <w:t>一栋四层的综合楼；4S店位于用地南侧，一</w:t>
            </w:r>
            <w:r>
              <w:rPr>
                <w:rFonts w:hint="eastAsia"/>
              </w:rPr>
              <w:t>层为</w:t>
            </w:r>
            <w:r>
              <w:rPr>
                <w:rFonts w:hint="eastAsia"/>
                <w:lang w:val="en-US" w:eastAsia="zh-CN"/>
              </w:rPr>
              <w:t>汽车维修车间及销售展厅</w:t>
            </w:r>
            <w:r>
              <w:rPr>
                <w:rFonts w:hint="eastAsia"/>
              </w:rPr>
              <w:t>，</w:t>
            </w:r>
            <w:r>
              <w:rPr>
                <w:rFonts w:hint="eastAsia"/>
                <w:lang w:val="en-US" w:eastAsia="zh-CN"/>
              </w:rPr>
              <w:t>二层为新车停放，综合楼位于厂区东北角，洗车场位于场地西北侧</w:t>
            </w:r>
            <w:r>
              <w:rPr>
                <w:rFonts w:hint="eastAsia"/>
              </w:rPr>
              <w:t>。</w:t>
            </w:r>
            <w:r>
              <w:t>项目总</w:t>
            </w:r>
            <w:r>
              <w:rPr>
                <w:color w:val="000000" w:themeColor="text1"/>
                <w14:textFill>
                  <w14:solidFill>
                    <w14:schemeClr w14:val="tx1"/>
                  </w14:solidFill>
                </w14:textFill>
              </w:rPr>
              <w:t>平面布置以有利于生产、方便生活、便于管理、布置紧凑、节约用地，厂容整洁及符合防火、卫生、绿化、环保等规范为原则。项目所在区水、电供应有保障，交通便利；项目平面布局较合理。项目平面布置详见附图2</w:t>
            </w:r>
            <w:r>
              <w:rPr>
                <w:rFonts w:hint="eastAsia"/>
                <w:color w:val="000000" w:themeColor="text1"/>
                <w14:textFill>
                  <w14:solidFill>
                    <w14:schemeClr w14:val="tx1"/>
                  </w14:solidFill>
                </w14:textFill>
              </w:rPr>
              <w:t>。</w:t>
            </w:r>
          </w:p>
        </w:tc>
      </w:tr>
      <w:tr w14:paraId="30746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90" w:type="dxa"/>
            <w:noWrap w:val="0"/>
            <w:vAlign w:val="center"/>
          </w:tcPr>
          <w:p w14:paraId="702B4DD9">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工艺流程和产排污环节</w:t>
            </w:r>
          </w:p>
        </w:tc>
        <w:tc>
          <w:tcPr>
            <w:tcW w:w="8670" w:type="dxa"/>
            <w:noWrap w:val="0"/>
            <w:vAlign w:val="top"/>
          </w:tcPr>
          <w:p w14:paraId="404CDF57">
            <w:pPr>
              <w:adjustRightInd w:val="0"/>
              <w:snapToGrid w:val="0"/>
              <w:ind w:firstLine="482"/>
              <w:rPr>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（一）</w:t>
            </w:r>
            <w:r>
              <w:rPr>
                <w:rFonts w:hint="eastAsia"/>
                <w:b/>
                <w:bCs/>
                <w:color w:val="000000" w:themeColor="text1"/>
                <w14:textFill>
                  <w14:solidFill>
                    <w14:schemeClr w14:val="tx1"/>
                  </w14:solidFill>
                </w14:textFill>
              </w:rPr>
              <w:t>施工期工艺流程简述:</w:t>
            </w:r>
          </w:p>
          <w:p w14:paraId="2F4576E9">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本项目施工期</w:t>
            </w:r>
            <w:r>
              <w:rPr>
                <w:rFonts w:hint="eastAsia"/>
                <w:color w:val="000000" w:themeColor="text1"/>
                <w:lang w:val="en-US" w:eastAsia="zh-CN"/>
                <w14:textFill>
                  <w14:solidFill>
                    <w14:schemeClr w14:val="tx1"/>
                  </w14:solidFill>
                </w14:textFill>
              </w:rPr>
              <w:t>内容已完成</w:t>
            </w:r>
            <w:r>
              <w:rPr>
                <w:rFonts w:hint="eastAsia"/>
                <w:color w:val="000000" w:themeColor="text1"/>
                <w14:textFill>
                  <w14:solidFill>
                    <w14:schemeClr w14:val="tx1"/>
                  </w14:solidFill>
                </w14:textFill>
              </w:rPr>
              <w:t>。</w:t>
            </w:r>
          </w:p>
          <w:p w14:paraId="31E4FF9A">
            <w:pPr>
              <w:adjustRightInd w:val="0"/>
              <w:snapToGrid w:val="0"/>
              <w:ind w:firstLine="482"/>
              <w:rPr>
                <w:b/>
                <w:bCs/>
                <w:color w:val="000000" w:themeColor="text1"/>
                <w:u w:val="none"/>
                <w14:textFill>
                  <w14:solidFill>
                    <w14:schemeClr w14:val="tx1"/>
                  </w14:solidFill>
                </w14:textFill>
              </w:rPr>
            </w:pPr>
            <w:r>
              <w:rPr>
                <w:rFonts w:hint="eastAsia"/>
                <w:b/>
                <w:bCs/>
                <w:color w:val="000000" w:themeColor="text1"/>
                <w:u w:val="none"/>
                <w:lang w:eastAsia="zh-CN"/>
                <w14:textFill>
                  <w14:solidFill>
                    <w14:schemeClr w14:val="tx1"/>
                  </w14:solidFill>
                </w14:textFill>
              </w:rPr>
              <w:t>（二）</w:t>
            </w:r>
            <w:r>
              <w:rPr>
                <w:rFonts w:hint="eastAsia"/>
                <w:b/>
                <w:bCs/>
                <w:color w:val="000000" w:themeColor="text1"/>
                <w:u w:val="none"/>
                <w14:textFill>
                  <w14:solidFill>
                    <w14:schemeClr w14:val="tx1"/>
                  </w14:solidFill>
                </w14:textFill>
              </w:rPr>
              <w:t>营运期工艺流程简述:</w:t>
            </w:r>
          </w:p>
          <w:p w14:paraId="134CC35E">
            <w:pPr>
              <w:bidi w:val="0"/>
              <w:rPr>
                <w:rFonts w:hint="eastAsia"/>
                <w:lang w:val="en-US" w:eastAsia="zh-CN"/>
              </w:rPr>
            </w:pPr>
            <w:r>
              <w:rPr>
                <w:rFonts w:hint="eastAsia"/>
                <w:lang w:val="en-US" w:eastAsia="zh-CN"/>
              </w:rPr>
              <w:t>运营期主要是进行汽车销售、维修、保养。</w:t>
            </w:r>
          </w:p>
          <w:p w14:paraId="5D210EE3">
            <w:pPr>
              <w:bidi w:val="0"/>
              <w:rPr>
                <w:rFonts w:hint="default" w:ascii="Times New Roman" w:hAnsi="Times New Roman"/>
                <w:lang w:val="en-US" w:eastAsia="zh-CN"/>
              </w:rPr>
            </w:pPr>
            <w:r>
              <w:rPr>
                <w:rFonts w:hint="default" w:ascii="Times New Roman" w:hAnsi="Times New Roman"/>
                <w:lang w:val="en-US" w:eastAsia="zh-CN"/>
              </w:rPr>
              <w:t>1、销售</w:t>
            </w:r>
            <w:r>
              <w:rPr>
                <w:rFonts w:hint="eastAsia" w:ascii="Times New Roman" w:hAnsi="Times New Roman"/>
                <w:lang w:val="en-US" w:eastAsia="zh-CN"/>
              </w:rPr>
              <w:t>及</w:t>
            </w:r>
            <w:r>
              <w:rPr>
                <w:rFonts w:hint="default" w:ascii="Times New Roman" w:hAnsi="Times New Roman"/>
                <w:lang w:val="en-US" w:eastAsia="zh-CN"/>
              </w:rPr>
              <w:t>服务</w:t>
            </w:r>
          </w:p>
          <w:p w14:paraId="572E6081">
            <w:pPr>
              <w:bidi w:val="0"/>
              <w:rPr>
                <w:rFonts w:hint="default" w:ascii="Times New Roman" w:hAnsi="Times New Roman"/>
                <w:lang w:val="en-US" w:eastAsia="zh-CN"/>
              </w:rPr>
            </w:pPr>
            <w:r>
              <w:rPr>
                <w:rFonts w:hint="default" w:ascii="Times New Roman" w:hAnsi="Times New Roman"/>
                <w:lang w:val="en-US" w:eastAsia="zh-CN"/>
              </w:rPr>
              <w:t>汽车销售主要在展厅进行，包括业务接待室、展示厅、办公等。</w:t>
            </w:r>
          </w:p>
          <w:p w14:paraId="64FB083B">
            <w:pPr>
              <w:bidi w:val="0"/>
              <w:rPr>
                <w:rFonts w:hint="default" w:ascii="Times New Roman" w:hAnsi="Times New Roman"/>
                <w:lang w:val="en-US" w:eastAsia="zh-CN"/>
              </w:rPr>
            </w:pPr>
            <w:r>
              <w:rPr>
                <w:rFonts w:hint="default" w:ascii="Times New Roman" w:hAnsi="Times New Roman"/>
                <w:lang w:val="en-US" w:eastAsia="zh-CN"/>
              </w:rPr>
              <w:t>售后服务主要包括汽车保养、维修及喷漆，对售后服务的车辆进行简单冲洗。</w:t>
            </w:r>
          </w:p>
          <w:p w14:paraId="66E767A8">
            <w:pPr>
              <w:bidi w:val="0"/>
              <w:rPr>
                <w:rFonts w:hint="eastAsia" w:ascii="Times New Roman" w:hAnsi="Times New Roman"/>
                <w:lang w:val="en-US" w:eastAsia="zh-CN"/>
              </w:rPr>
            </w:pPr>
            <w:r>
              <w:rPr>
                <w:rFonts w:hint="eastAsia" w:ascii="Times New Roman" w:hAnsi="Times New Roman"/>
                <w:lang w:val="en-US" w:eastAsia="zh-CN"/>
              </w:rPr>
              <w:t>2、汽车维修工艺流程与产污节点图：</w:t>
            </w:r>
          </w:p>
          <w:p w14:paraId="6C595E7A">
            <w:pPr>
              <w:bidi w:val="0"/>
              <w:rPr>
                <w:rFonts w:hint="eastAsia"/>
                <w:lang w:eastAsia="zh-CN"/>
              </w:rPr>
            </w:pPr>
          </w:p>
          <w:p w14:paraId="5FB7AFC7">
            <w:pPr>
              <w:bidi w:val="0"/>
              <w:rPr>
                <w:rFonts w:hint="eastAsia"/>
                <w:lang w:eastAsia="zh-CN"/>
              </w:rPr>
            </w:pPr>
          </w:p>
          <w:p w14:paraId="209D6040">
            <w:pPr>
              <w:bidi w:val="0"/>
              <w:rPr>
                <w:rFonts w:hint="eastAsia"/>
                <w:lang w:eastAsia="zh-CN"/>
              </w:rPr>
            </w:pPr>
          </w:p>
          <w:p w14:paraId="692D6AF8">
            <w:pPr>
              <w:bidi w:val="0"/>
              <w:rPr>
                <w:rFonts w:hint="eastAsia"/>
                <w:lang w:eastAsia="zh-CN"/>
              </w:rPr>
            </w:pPr>
          </w:p>
          <w:p w14:paraId="3C5B0E8D">
            <w:pPr>
              <w:bidi w:val="0"/>
              <w:rPr>
                <w:rFonts w:hint="eastAsia"/>
                <w:lang w:eastAsia="zh-CN"/>
              </w:rPr>
            </w:pPr>
          </w:p>
          <w:p w14:paraId="19810E00">
            <w:pPr>
              <w:pStyle w:val="2"/>
              <w:ind w:left="0" w:leftChars="0" w:firstLine="0" w:firstLineChars="0"/>
              <w:jc w:val="center"/>
              <w:rPr>
                <w:rFonts w:hint="eastAsia"/>
                <w:b/>
                <w:bCs/>
                <w:color w:val="auto"/>
                <w:highlight w:val="none"/>
                <w:lang w:eastAsia="zh-CN"/>
              </w:rPr>
            </w:pPr>
            <w:r>
              <w:rPr>
                <w:rFonts w:hint="eastAsia"/>
                <w:b/>
                <w:bCs/>
                <w:color w:val="auto"/>
                <w:highlight w:val="none"/>
                <w:lang w:eastAsia="zh-CN"/>
              </w:rPr>
              <w:drawing>
                <wp:inline distT="0" distB="0" distL="114300" distR="114300">
                  <wp:extent cx="5340350" cy="4535805"/>
                  <wp:effectExtent l="0" t="0" r="12700" b="17145"/>
                  <wp:docPr id="136" name="图片 5" descr="A}Y9})6_JCR)X]`})0(1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5" descr="A}Y9})6_JCR)X]`})0(1E$7"/>
                          <pic:cNvPicPr>
                            <a:picLocks noChangeAspect="1"/>
                          </pic:cNvPicPr>
                        </pic:nvPicPr>
                        <pic:blipFill>
                          <a:blip r:embed="rId9"/>
                          <a:srcRect l="2289" t="481" r="1913" b="41371"/>
                          <a:stretch>
                            <a:fillRect/>
                          </a:stretch>
                        </pic:blipFill>
                        <pic:spPr>
                          <a:xfrm>
                            <a:off x="0" y="0"/>
                            <a:ext cx="5340350" cy="4535805"/>
                          </a:xfrm>
                          <a:prstGeom prst="rect">
                            <a:avLst/>
                          </a:prstGeom>
                          <a:noFill/>
                          <a:ln>
                            <a:noFill/>
                          </a:ln>
                        </pic:spPr>
                      </pic:pic>
                    </a:graphicData>
                  </a:graphic>
                </wp:inline>
              </w:drawing>
            </w:r>
          </w:p>
          <w:p w14:paraId="6AD80AFF">
            <w:pPr>
              <w:spacing w:line="360" w:lineRule="auto"/>
              <w:ind w:firstLine="482" w:firstLineChars="200"/>
              <w:jc w:val="center"/>
              <w:rPr>
                <w:rFonts w:hint="eastAsia"/>
                <w:b/>
                <w:bCs/>
                <w:color w:val="auto"/>
                <w:highlight w:val="none"/>
                <w:lang w:val="en-US" w:eastAsia="zh-CN"/>
              </w:rPr>
            </w:pPr>
            <w:r>
              <w:rPr>
                <w:rFonts w:hint="eastAsia"/>
                <w:b/>
                <w:bCs/>
                <w:color w:val="auto"/>
                <w:highlight w:val="none"/>
                <w:lang w:eastAsia="zh-CN"/>
              </w:rPr>
              <w:t>图</w:t>
            </w:r>
            <w:r>
              <w:rPr>
                <w:rFonts w:hint="eastAsia"/>
                <w:b/>
                <w:bCs/>
                <w:color w:val="auto"/>
                <w:highlight w:val="none"/>
                <w:lang w:val="en-US" w:eastAsia="zh-CN"/>
              </w:rPr>
              <w:t>3.2-1  项目营运期汽车维修工艺流程图</w:t>
            </w:r>
          </w:p>
          <w:p w14:paraId="6887422B">
            <w:pPr>
              <w:bidi w:val="0"/>
              <w:rPr>
                <w:rFonts w:hint="default"/>
                <w:b/>
                <w:bCs/>
                <w:lang w:val="en-US" w:eastAsia="zh-CN"/>
              </w:rPr>
            </w:pPr>
            <w:r>
              <w:rPr>
                <w:rFonts w:hint="default"/>
                <w:b/>
                <w:bCs/>
                <w:lang w:val="en-US" w:eastAsia="zh-CN"/>
              </w:rPr>
              <w:t>汽车维修工艺流程简介：</w:t>
            </w:r>
          </w:p>
          <w:p w14:paraId="1779CEF1">
            <w:pPr>
              <w:bidi w:val="0"/>
              <w:rPr>
                <w:rFonts w:hint="default"/>
                <w:lang w:val="en-US" w:eastAsia="zh-CN"/>
              </w:rPr>
            </w:pPr>
            <w:r>
              <w:rPr>
                <w:rFonts w:hint="default"/>
                <w:lang w:val="en-US" w:eastAsia="zh-CN"/>
              </w:rPr>
              <w:t>本项目维修服务程序主要为检修、装配、钣金、烤漆及汽车保养等工序。</w:t>
            </w:r>
          </w:p>
          <w:p w14:paraId="115BC1E1">
            <w:pPr>
              <w:bidi w:val="0"/>
              <w:rPr>
                <w:rFonts w:hint="default"/>
                <w:lang w:val="en-US" w:eastAsia="zh-CN"/>
              </w:rPr>
            </w:pPr>
            <w:r>
              <w:rPr>
                <w:rFonts w:hint="default"/>
                <w:lang w:val="en-US" w:eastAsia="zh-CN"/>
              </w:rPr>
              <w:t>①车辆预检：使用仪器对车辆进行初步的检查，主要对汽车外观、油路、电路、性能等进行初步的检查和判断。</w:t>
            </w:r>
          </w:p>
          <w:p w14:paraId="7E95CA37">
            <w:pPr>
              <w:bidi w:val="0"/>
              <w:rPr>
                <w:rFonts w:hint="default"/>
                <w:lang w:val="en-US" w:eastAsia="zh-CN"/>
              </w:rPr>
            </w:pPr>
            <w:r>
              <w:rPr>
                <w:rFonts w:hint="default"/>
                <w:lang w:val="en-US" w:eastAsia="zh-CN"/>
              </w:rPr>
              <w:t>②总成零件更换：总成包括车身钣金件、汽车玻璃、全车灯具、全车内外装饰以及把手、座椅及其附件、车锁机构、车窗密封及升降机构、车门及前后翻盖的连接活动机构等。根据预检确定需要更换的总成和零部件后由专业技工进行更换，废旧的零件可由客户自行带走，也可</w:t>
            </w:r>
            <w:r>
              <w:rPr>
                <w:rFonts w:hint="eastAsia"/>
                <w:lang w:val="en-US" w:eastAsia="zh-CN"/>
              </w:rPr>
              <w:t>由</w:t>
            </w:r>
            <w:r>
              <w:rPr>
                <w:rFonts w:hint="default"/>
                <w:lang w:val="en-US" w:eastAsia="zh-CN"/>
              </w:rPr>
              <w:t>项目进行收集处理。</w:t>
            </w:r>
          </w:p>
          <w:p w14:paraId="60CF7DC3">
            <w:pPr>
              <w:bidi w:val="0"/>
              <w:rPr>
                <w:rFonts w:hint="default"/>
                <w:lang w:val="en-US" w:eastAsia="zh-CN"/>
              </w:rPr>
            </w:pPr>
            <w:r>
              <w:rPr>
                <w:rFonts w:hint="default"/>
                <w:lang w:val="en-US" w:eastAsia="zh-CN"/>
              </w:rPr>
              <w:t>③电器元部件更换：根据预见结果确认需要更换的电器元部件，由专业技工对电器元部件进行更换，废旧的电器元部件可由客户自行带走，也可有项目进行收集处理。</w:t>
            </w:r>
          </w:p>
          <w:p w14:paraId="7975A981">
            <w:pPr>
              <w:bidi w:val="0"/>
              <w:rPr>
                <w:rFonts w:hint="default"/>
                <w:lang w:val="en-US" w:eastAsia="zh-CN"/>
              </w:rPr>
            </w:pPr>
            <w:r>
              <w:rPr>
                <w:rFonts w:hint="default"/>
                <w:lang w:val="en-US" w:eastAsia="zh-CN"/>
              </w:rPr>
              <w:t>④车型矫正、四轮定位由专业技工对车架、四轮进行定位和矫正。</w:t>
            </w:r>
          </w:p>
          <w:p w14:paraId="64206F7D">
            <w:pPr>
              <w:bidi w:val="0"/>
              <w:rPr>
                <w:rFonts w:hint="default"/>
              </w:rPr>
            </w:pPr>
            <w:r>
              <w:rPr>
                <w:rFonts w:hint="default"/>
                <w:lang w:val="en-US" w:eastAsia="zh-CN"/>
              </w:rPr>
              <w:t>⑤钣金外型：维修人员在了解车身的技术参数和外形尺寸，掌握车身材料特性，受力的特性的传递、车身变形趋势和受力点以及车身的生产工艺如焊接工艺的基础上，借助先进的测量 工具，通过精准的车身三维测量，以判断车身直接、间接受损的情况，以及车身变形存在的隐患，制定出完整的车身修复方案，然后配合正确的维修工艺与准确的车身各关键点的三维尺寸数据，将车身各关键点恢复到原来的位置将受损车身恢复到出厂时的状态。</w:t>
            </w:r>
          </w:p>
          <w:p w14:paraId="3720D10D">
            <w:pPr>
              <w:bidi w:val="0"/>
              <w:rPr>
                <w:rFonts w:hint="default"/>
                <w:lang w:val="en-US" w:eastAsia="zh-CN"/>
              </w:rPr>
            </w:pPr>
            <w:r>
              <w:rPr>
                <w:rFonts w:hint="default"/>
                <w:lang w:val="en-US" w:eastAsia="zh-CN"/>
              </w:rPr>
              <w:t>⑥腻子粉修补打磨：车辆经过钣金外型后打磨预装边缘和清除旧漆，之后用原子灰刮涂腻子粉，并打磨。项目采用无尘干磨机进行打磨，不产生打磨废水，打磨粉尘经打磨设备收集。</w:t>
            </w:r>
          </w:p>
          <w:p w14:paraId="28A0F222">
            <w:pPr>
              <w:bidi w:val="0"/>
              <w:rPr>
                <w:rFonts w:hint="default"/>
                <w:lang w:val="en-US" w:eastAsia="zh-CN"/>
              </w:rPr>
            </w:pPr>
            <w:r>
              <w:rPr>
                <w:rFonts w:hint="default"/>
                <w:lang w:val="en-US" w:eastAsia="zh-CN"/>
              </w:rPr>
              <w:t>⑦烤漆：部分外表面刮花的车辆需要进行喷漆处理时，在喷漆前，对车辆刮花位置进行打磨，并用遮蔽纸把不需喷漆的位置遮蔽，然后再进行喷漆和烤漆作业。喷漆、烤漆及前处理工序均在密闭的喷漆房内进行。</w:t>
            </w:r>
          </w:p>
          <w:p w14:paraId="3CC1B8EE">
            <w:pPr>
              <w:bidi w:val="0"/>
              <w:rPr>
                <w:rFonts w:hint="default"/>
                <w:lang w:val="en-US" w:eastAsia="zh-CN"/>
              </w:rPr>
            </w:pPr>
            <w:r>
              <w:rPr>
                <w:rFonts w:hint="default"/>
                <w:lang w:val="en-US" w:eastAsia="zh-CN"/>
              </w:rPr>
              <w:t>本项目采用的环保电子喷烤漆房具有喷漆、烤漆两种功能。喷漆时具有通风、净化、漆雾处理及冬季送热风功能。烤漆时具有升温、恒温定时、废气处理功能。设备由室体、照明、送风系统、排风系统、循环加热系统、空气净化系统、废气处理系统、压力控制系统等组成。其工作原理如下：</w:t>
            </w:r>
          </w:p>
          <w:p w14:paraId="00701859">
            <w:pPr>
              <w:bidi w:val="0"/>
              <w:rPr>
                <w:rFonts w:hint="default"/>
                <w:lang w:val="en-US" w:eastAsia="zh-CN"/>
              </w:rPr>
            </w:pPr>
            <w:r>
              <w:rPr>
                <w:rFonts w:hint="default"/>
                <w:lang w:val="en-US" w:eastAsia="zh-CN"/>
              </w:rPr>
              <w:t>新鲜空气从送风装置进风口进风，经初效过滤后，喷漆时通过离心风机把喷漆、烤漆房外的新鲜空气从送风装置进风口进风，经初效过滤后，由送风机送至室体顶部独立静压室，通过过滤棉过滤后均匀地被送到室体内以层流方式自上而下流动，此时空气含尘量≯1.5mg/m</w:t>
            </w:r>
            <w:r>
              <w:rPr>
                <w:rFonts w:hint="default"/>
                <w:vertAlign w:val="superscript"/>
                <w:lang w:val="en-US" w:eastAsia="zh-CN"/>
              </w:rPr>
              <w:t>3</w:t>
            </w:r>
            <w:r>
              <w:rPr>
                <w:rFonts w:hint="default"/>
                <w:lang w:val="en-US" w:eastAsia="zh-CN"/>
              </w:rPr>
              <w:t>，最大颗粒直径＜4微米。这样不断地循环转换，使喷漆时房内空气清洁度达98%以上，且送入的空气具有一定的压力，确保室内灰尘不会往喷烤漆房内渗漏，污染工件表面，从而最大限度地保证喷漆的质量。喷漆采用喷枪方式，其工艺由调枪—持枪—走枪组成。喷涂操作区断面有载风速为0.3m/s以上，其气流均匀地将工件环绕包围住，过喷漆雾不致飞溅，从而改善了工人操作时的劳动卫生条件。过喷漆雾在底部排风口的负压抽吸下，穿过环保箱，水平进入漆雾过滤装置，此时大部分漆粒和颗粒因重力作用被吸附，还有少量的漆粒在通过底部过滤装置时被彻底过滤粘附，从而有效防止漆粒对后面活性碳层产生负面影响，废气中有机溶剂通过设置在排风机吸口前的活性碳吸附装置吸附后可保证达标排放。同时在排风机的作用下，气流通过排风过滤系统流向排风道，经环保箱排出，这样排出气体符合标准。</w:t>
            </w:r>
          </w:p>
          <w:p w14:paraId="2DD15DC5">
            <w:pPr>
              <w:bidi w:val="0"/>
              <w:rPr>
                <w:rFonts w:hint="default"/>
                <w:lang w:val="en-US" w:eastAsia="zh-CN"/>
              </w:rPr>
            </w:pPr>
            <w:r>
              <w:rPr>
                <w:rFonts w:hint="default"/>
                <w:lang w:val="en-US" w:eastAsia="zh-CN"/>
              </w:rPr>
              <w:t>烤漆时，通过风机将外部新鲜空气经初过滤网过滤后，与热能转换器产生热量交换，再送入到喷烤房顶部气室，再经过过滤网二次过滤净化，热空气进入到烤房内，从底部排出后，经过风门的内循环作用，除吸进少量新鲜空气外，绝大部分热空气又被继续加热利用，送入到烤房内部，使得烤房内置温度逐步升高，当温度达到设定温度时，燃烧器自动停机。当温度下降到设置温度以下4至5℃时，风机和燃烧器自动开机，使烤房内温度保持恒温。最后当烤漆时间达到设定的时间时，烤房自动关机，烤漆结束。烤漆房漆烘干后，最后采用打磨抛光机进行抛光处理。打磨抛光过程不产生打磨废水，打磨粉尘经收集后交由有资质单位处理。</w:t>
            </w:r>
          </w:p>
          <w:p w14:paraId="2E1F6A12">
            <w:pPr>
              <w:bidi w:val="0"/>
              <w:rPr>
                <w:rFonts w:hint="eastAsia"/>
                <w:lang w:val="en-US" w:eastAsia="zh-CN"/>
              </w:rPr>
            </w:pPr>
            <w:r>
              <w:rPr>
                <w:rFonts w:hint="eastAsia"/>
                <w:lang w:val="en-US" w:eastAsia="zh-CN"/>
              </w:rPr>
              <w:t>3、汽车保养工艺流程与产污节点图：</w:t>
            </w:r>
          </w:p>
          <w:p w14:paraId="49362C20">
            <w:pPr>
              <w:pStyle w:val="2"/>
              <w:ind w:left="0" w:leftChars="0" w:firstLine="0" w:firstLineChars="0"/>
              <w:rPr>
                <w:rFonts w:hint="eastAsia"/>
                <w:b/>
                <w:bCs/>
                <w:color w:val="auto"/>
                <w:sz w:val="28"/>
                <w:szCs w:val="28"/>
                <w:highlight w:val="none"/>
                <w:lang w:eastAsia="zh-CN"/>
              </w:rPr>
            </w:pPr>
            <w:r>
              <w:rPr>
                <w:color w:val="auto"/>
                <w:highlight w:val="none"/>
              </w:rPr>
              <w:drawing>
                <wp:inline distT="0" distB="0" distL="114300" distR="114300">
                  <wp:extent cx="5442585" cy="873760"/>
                  <wp:effectExtent l="0" t="0" r="5715" b="2540"/>
                  <wp:docPr id="1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6"/>
                          <pic:cNvPicPr>
                            <a:picLocks noChangeAspect="1"/>
                          </pic:cNvPicPr>
                        </pic:nvPicPr>
                        <pic:blipFill>
                          <a:blip r:embed="rId10"/>
                          <a:stretch>
                            <a:fillRect/>
                          </a:stretch>
                        </pic:blipFill>
                        <pic:spPr>
                          <a:xfrm>
                            <a:off x="0" y="0"/>
                            <a:ext cx="5442585" cy="873760"/>
                          </a:xfrm>
                          <a:prstGeom prst="rect">
                            <a:avLst/>
                          </a:prstGeom>
                          <a:noFill/>
                          <a:ln>
                            <a:noFill/>
                          </a:ln>
                        </pic:spPr>
                      </pic:pic>
                    </a:graphicData>
                  </a:graphic>
                </wp:inline>
              </w:drawing>
            </w:r>
          </w:p>
          <w:p w14:paraId="5B5C78DC">
            <w:pPr>
              <w:spacing w:line="360" w:lineRule="auto"/>
              <w:ind w:firstLine="482" w:firstLineChars="200"/>
              <w:jc w:val="center"/>
              <w:rPr>
                <w:rFonts w:hint="eastAsia"/>
                <w:b/>
                <w:bCs/>
                <w:color w:val="auto"/>
                <w:highlight w:val="none"/>
                <w:lang w:val="en-US" w:eastAsia="zh-CN"/>
              </w:rPr>
            </w:pPr>
            <w:r>
              <w:rPr>
                <w:rFonts w:hint="eastAsia"/>
                <w:b/>
                <w:bCs/>
                <w:color w:val="auto"/>
                <w:highlight w:val="none"/>
                <w:lang w:eastAsia="zh-CN"/>
              </w:rPr>
              <w:t>图</w:t>
            </w:r>
            <w:r>
              <w:rPr>
                <w:rFonts w:hint="eastAsia"/>
                <w:b/>
                <w:bCs/>
                <w:color w:val="auto"/>
                <w:highlight w:val="none"/>
                <w:lang w:val="en-US" w:eastAsia="zh-CN"/>
              </w:rPr>
              <w:t>3.2-2 项目营运期汽车保养工艺流程图</w:t>
            </w:r>
          </w:p>
          <w:p w14:paraId="6E63A111">
            <w:pPr>
              <w:bidi w:val="0"/>
              <w:rPr>
                <w:rFonts w:hint="eastAsia"/>
                <w:lang w:val="en-US" w:eastAsia="zh-CN"/>
              </w:rPr>
            </w:pPr>
            <w:r>
              <w:rPr>
                <w:rFonts w:hint="eastAsia"/>
                <w:lang w:val="en-US" w:eastAsia="zh-CN"/>
              </w:rPr>
              <w:t>汽车保养工艺流程简介：</w:t>
            </w:r>
          </w:p>
          <w:p w14:paraId="2009354D">
            <w:pPr>
              <w:bidi w:val="0"/>
              <w:rPr>
                <w:rFonts w:hint="eastAsia"/>
                <w:lang w:val="en-US" w:eastAsia="zh-CN"/>
              </w:rPr>
            </w:pPr>
            <w:r>
              <w:rPr>
                <w:rFonts w:hint="eastAsia"/>
                <w:lang w:val="en-US" w:eastAsia="zh-CN"/>
              </w:rPr>
              <w:t>根据汽车使用情况，定期对车内的机油、燃油滤清器、机油滤清器进行更换，补充汽车空调制冷用的氟利昂。</w:t>
            </w:r>
          </w:p>
          <w:p w14:paraId="63C1FFD2">
            <w:pPr>
              <w:bidi w:val="0"/>
              <w:rPr>
                <w:rFonts w:hint="eastAsia"/>
                <w:lang w:val="en-US" w:eastAsia="zh-CN"/>
              </w:rPr>
            </w:pPr>
            <w:r>
              <w:rPr>
                <w:rFonts w:hint="eastAsia"/>
                <w:lang w:val="en-US" w:eastAsia="zh-CN"/>
              </w:rPr>
              <w:t>4、洗车工艺流程与产污节点图：</w:t>
            </w:r>
          </w:p>
          <w:p w14:paraId="3721F61B">
            <w:pPr>
              <w:pStyle w:val="2"/>
              <w:jc w:val="center"/>
              <w:rPr>
                <w:rFonts w:hint="eastAsia"/>
                <w:b/>
                <w:bCs/>
                <w:color w:val="auto"/>
                <w:sz w:val="28"/>
                <w:szCs w:val="28"/>
                <w:highlight w:val="none"/>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790575</wp:posOffset>
                      </wp:positionH>
                      <wp:positionV relativeFrom="paragraph">
                        <wp:posOffset>457835</wp:posOffset>
                      </wp:positionV>
                      <wp:extent cx="742315" cy="523875"/>
                      <wp:effectExtent l="0" t="0" r="635" b="9525"/>
                      <wp:wrapNone/>
                      <wp:docPr id="144" name="矩形 144"/>
                      <wp:cNvGraphicFramePr/>
                      <a:graphic xmlns:a="http://schemas.openxmlformats.org/drawingml/2006/main">
                        <a:graphicData uri="http://schemas.microsoft.com/office/word/2010/wordprocessingShape">
                          <wps:wsp>
                            <wps:cNvSpPr/>
                            <wps:spPr>
                              <a:xfrm>
                                <a:off x="1912620" y="6256655"/>
                                <a:ext cx="742315" cy="52387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25pt;margin-top:36.05pt;height:41.25pt;width:58.45pt;z-index:251661312;v-text-anchor:middle;mso-width-relative:page;mso-height-relative:page;" fillcolor="#FFFFFF [3212]" filled="t" stroked="f" coordsize="21600,21600" o:gfxdata="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yTzEfVAAAACgEAAA8AAAAAAAAAAQAgAAAAIgAAAGRycy9kb3ducmV2LnhtbFBL&#10;AQIUABQAAAAIAIdO4kBfL5oTawIAAMMEAAAOAAAAAAAAAAEAIAAAACQBAABkcnMvZTJvRG9jLnht&#10;bFBLBQYAAAAABgAGAFkBAAABBgAAAAA=&#10;">
                      <v:fill on="t" focussize="0,0"/>
                      <v:stroke on="f" weight="2pt"/>
                      <v:imagedata o:title=""/>
                      <o:lock v:ext="edit" aspectratio="f"/>
                    </v:rect>
                  </w:pict>
                </mc:Fallback>
              </mc:AlternateContent>
            </w:r>
            <w:r>
              <w:rPr>
                <w:color w:val="auto"/>
                <w:highlight w:val="none"/>
              </w:rPr>
              <w:drawing>
                <wp:inline distT="0" distB="0" distL="114300" distR="114300">
                  <wp:extent cx="4199890" cy="2710815"/>
                  <wp:effectExtent l="0" t="0" r="10160" b="13335"/>
                  <wp:docPr id="1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7"/>
                          <pic:cNvPicPr>
                            <a:picLocks noChangeAspect="1"/>
                          </pic:cNvPicPr>
                        </pic:nvPicPr>
                        <pic:blipFill>
                          <a:blip r:embed="rId11"/>
                          <a:stretch>
                            <a:fillRect/>
                          </a:stretch>
                        </pic:blipFill>
                        <pic:spPr>
                          <a:xfrm>
                            <a:off x="0" y="0"/>
                            <a:ext cx="4199890" cy="2710815"/>
                          </a:xfrm>
                          <a:prstGeom prst="rect">
                            <a:avLst/>
                          </a:prstGeom>
                          <a:noFill/>
                          <a:ln>
                            <a:noFill/>
                          </a:ln>
                        </pic:spPr>
                      </pic:pic>
                    </a:graphicData>
                  </a:graphic>
                </wp:inline>
              </w:drawing>
            </w:r>
          </w:p>
          <w:p w14:paraId="66018EF4">
            <w:pPr>
              <w:spacing w:line="240" w:lineRule="auto"/>
              <w:ind w:firstLine="482" w:firstLineChars="200"/>
              <w:jc w:val="center"/>
              <w:rPr>
                <w:rFonts w:hint="eastAsia"/>
                <w:b/>
                <w:bCs/>
                <w:color w:val="auto"/>
                <w:highlight w:val="none"/>
                <w:lang w:val="en-US" w:eastAsia="zh-CN"/>
              </w:rPr>
            </w:pPr>
            <w:r>
              <w:rPr>
                <w:rFonts w:hint="eastAsia"/>
                <w:b/>
                <w:bCs/>
                <w:color w:val="auto"/>
                <w:highlight w:val="none"/>
                <w:lang w:eastAsia="zh-CN"/>
              </w:rPr>
              <w:t>图</w:t>
            </w:r>
            <w:r>
              <w:rPr>
                <w:rFonts w:hint="eastAsia"/>
                <w:b/>
                <w:bCs/>
                <w:color w:val="auto"/>
                <w:highlight w:val="none"/>
                <w:lang w:val="en-US" w:eastAsia="zh-CN"/>
              </w:rPr>
              <w:t>3.2-3 项目营运期洗车工艺流程图</w:t>
            </w:r>
          </w:p>
          <w:p w14:paraId="26D13513">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洗车工艺流程简介：</w:t>
            </w:r>
          </w:p>
          <w:p w14:paraId="06CCD36B">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维修、售车过程中，按客户要求在维修车间对汽车进行清洗。</w:t>
            </w:r>
          </w:p>
          <w:p w14:paraId="5022C63F">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冲车：车辆停放平稳后，工作人员用高压水冲去车身污物，顺序自上而下，整个过程始终由一边向另一边的斜下方冲洗，尽量避免正向冲洗，以免将泥沙冲回已冲洗干净的部位，将漆面粉尘、细沙粒彻底冲洗干净。</w:t>
            </w:r>
          </w:p>
          <w:p w14:paraId="4BC31168">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②擦车：工作人员持海绵按照从上而下的顺序擦洗车身。</w:t>
            </w:r>
          </w:p>
          <w:p w14:paraId="2EB8FB5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③冲洗：将少量清洗剂（每台车约5g）融入水箱中，将水箱中的水高压冲洗车顶、上部、中部，向下流动的水基本能够将下部及底部冲洗干静，以节约用水。</w:t>
            </w:r>
          </w:p>
          <w:p w14:paraId="1039FC6E">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④擦车：用半湿性毛巾将整个车身从前至后先预擦一遍，待车身中部及下部大部分水被吸干之后，再用干毛巾细擦一遍，擦干所留下的水痕。</w:t>
            </w:r>
          </w:p>
          <w:p w14:paraId="2B3C136C">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⑤清扫：用毛刷扫干净空调出风口，用半湿性毛巾擦车门内饰板、前挡风玻璃内侧，仪表台、车门边缘内侧、后尾箱边缘内侧吸尘，最后用吸尘机集中对地毯垫下方、后尾箱等处吸尘（需先将地毯垫、各种杂物取出）。工序全部完成后交客户使用。</w:t>
            </w:r>
          </w:p>
          <w:p w14:paraId="7B472813">
            <w:pPr>
              <w:pStyle w:val="14"/>
              <w:snapToGrid w:val="0"/>
              <w:spacing w:line="360" w:lineRule="auto"/>
              <w:rPr>
                <w:rFonts w:hint="eastAsia"/>
                <w:color w:val="000000" w:themeColor="text1"/>
                <w14:textFill>
                  <w14:solidFill>
                    <w14:schemeClr w14:val="tx1"/>
                  </w14:solidFill>
                </w14:textFill>
              </w:rPr>
            </w:pPr>
          </w:p>
        </w:tc>
      </w:tr>
      <w:tr w14:paraId="5A47D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390" w:type="dxa"/>
            <w:noWrap w:val="0"/>
            <w:vAlign w:val="center"/>
          </w:tcPr>
          <w:p w14:paraId="176A0DB1">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与项目有关的原有环境污染问题</w:t>
            </w:r>
          </w:p>
        </w:tc>
        <w:tc>
          <w:tcPr>
            <w:tcW w:w="8670" w:type="dxa"/>
            <w:noWrap w:val="0"/>
            <w:vAlign w:val="top"/>
          </w:tcPr>
          <w:p w14:paraId="121D56C3">
            <w:pPr>
              <w:bidi w:val="0"/>
              <w:rPr>
                <w:rFonts w:hint="eastAsia"/>
                <w:color w:val="0000FF"/>
                <w:u w:val="single"/>
                <w:lang w:val="en-US" w:eastAsia="zh-CN"/>
              </w:rPr>
            </w:pPr>
            <w:r>
              <w:rPr>
                <w:rFonts w:hint="eastAsia"/>
                <w:u w:val="single"/>
                <w:lang w:eastAsia="zh-CN"/>
              </w:rPr>
              <w:t>北京现代汽车永通华悦特约销售服务店</w:t>
            </w:r>
            <w:r>
              <w:rPr>
                <w:rFonts w:hint="eastAsia"/>
                <w:u w:val="single"/>
                <w:lang w:val="en-US" w:eastAsia="zh-CN"/>
              </w:rPr>
              <w:t>于2012年3月编制了环境影响登记表，登记表无需进行验收与填报排污许可；2024年，企业进行布局优化调整，增加洗车场和综合楼纳入营业服务面积后，企业实际营业面积达5000平方米以上，本次编制扩建环境影响报告表，并对现有工程内容进行回顾性评价。</w:t>
            </w:r>
          </w:p>
          <w:p w14:paraId="6919560F">
            <w:pPr>
              <w:bidi w:val="0"/>
              <w:rPr>
                <w:rFonts w:hint="eastAsia"/>
                <w:u w:val="single"/>
              </w:rPr>
            </w:pPr>
            <w:r>
              <w:rPr>
                <w:rFonts w:hint="eastAsia"/>
                <w:u w:val="single"/>
                <w:lang w:val="en-US" w:eastAsia="zh-CN"/>
              </w:rPr>
              <w:t>据调查，现有工程</w:t>
            </w:r>
            <w:r>
              <w:rPr>
                <w:u w:val="single"/>
              </w:rPr>
              <w:t>在生产营运过程中针对各类废水、废气和噪声采取了切实可行的污染防治措施，可确保污染物稳定达标排放；固体废物均可实现安全处置；落实了各项环境风险防范措施，未曾发生过突发环境事件；</w:t>
            </w:r>
            <w:r>
              <w:rPr>
                <w:rFonts w:hint="eastAsia"/>
                <w:u w:val="single"/>
                <w:lang w:val="en-US" w:eastAsia="zh-CN"/>
              </w:rPr>
              <w:t>各</w:t>
            </w:r>
            <w:r>
              <w:rPr>
                <w:rFonts w:hint="eastAsia"/>
                <w:u w:val="single"/>
              </w:rPr>
              <w:t>污染物达标排放，未造成环境污染问题</w:t>
            </w:r>
            <w:r>
              <w:rPr>
                <w:rFonts w:hint="eastAsia"/>
                <w:u w:val="single"/>
                <w:lang w:eastAsia="zh-CN"/>
              </w:rPr>
              <w:t>，</w:t>
            </w:r>
            <w:r>
              <w:rPr>
                <w:rFonts w:hint="eastAsia"/>
                <w:u w:val="single"/>
              </w:rPr>
              <w:t>不存在与本项目有关的原有污染情况。</w:t>
            </w:r>
          </w:p>
          <w:p w14:paraId="61D526B6">
            <w:pPr>
              <w:bidi w:val="0"/>
              <w:rPr>
                <w:rFonts w:hint="eastAsia"/>
                <w:u w:val="single"/>
                <w:lang w:val="en-US" w:eastAsia="zh-CN"/>
              </w:rPr>
            </w:pPr>
            <w:r>
              <w:rPr>
                <w:rFonts w:hint="eastAsia"/>
                <w:u w:val="single"/>
                <w:lang w:val="en-US" w:eastAsia="zh-CN"/>
              </w:rPr>
              <w:t>本次扩建环评对现有废气、废水排放口污染物及厂界噪声、固体废物产生排放情况调查如下：</w:t>
            </w:r>
          </w:p>
          <w:p w14:paraId="6E13302B">
            <w:pPr>
              <w:bidi w:val="0"/>
              <w:rPr>
                <w:rFonts w:hint="eastAsia"/>
                <w:u w:val="single"/>
                <w:lang w:val="en-US" w:eastAsia="zh-CN"/>
              </w:rPr>
            </w:pPr>
            <w:r>
              <w:rPr>
                <w:rFonts w:hint="eastAsia"/>
                <w:u w:val="single"/>
                <w:lang w:val="en-US" w:eastAsia="zh-CN"/>
              </w:rPr>
              <w:t>（1）废气</w:t>
            </w:r>
          </w:p>
          <w:p w14:paraId="422A62EE">
            <w:pPr>
              <w:bidi w:val="0"/>
              <w:rPr>
                <w:rFonts w:hint="default"/>
                <w:u w:val="single"/>
                <w:lang w:val="en-US" w:eastAsia="zh-CN"/>
              </w:rPr>
            </w:pPr>
            <w:r>
              <w:rPr>
                <w:rFonts w:hint="eastAsia"/>
                <w:u w:val="single"/>
                <w:lang w:val="en-US" w:eastAsia="zh-CN"/>
              </w:rPr>
              <w:t>汽车维修主要废气未喷漆工艺的喷漆废气，项目共两个喷漆房，喷漆在密闭的喷漆房中进行，喷漆废气引至过滤棉+活性炭装置中处理后经不低于15m高排气筒排放，评价期间对项目对喷漆废气排放口进行了现状监测，具体如下：</w:t>
            </w:r>
          </w:p>
          <w:p w14:paraId="016D389F">
            <w:pPr>
              <w:bidi w:val="0"/>
              <w:spacing w:line="240" w:lineRule="auto"/>
              <w:ind w:left="0" w:leftChars="0" w:firstLine="0" w:firstLineChars="0"/>
              <w:jc w:val="center"/>
              <w:rPr>
                <w:b/>
                <w:bCs/>
                <w:sz w:val="21"/>
                <w:szCs w:val="21"/>
                <w:u w:val="single"/>
              </w:rPr>
            </w:pPr>
            <w:r>
              <w:rPr>
                <w:b/>
                <w:bCs/>
                <w:sz w:val="21"/>
                <w:szCs w:val="21"/>
                <w:u w:val="single"/>
              </w:rPr>
              <w:t>表</w:t>
            </w:r>
            <w:r>
              <w:rPr>
                <w:rFonts w:hint="eastAsia"/>
                <w:b/>
                <w:bCs/>
                <w:sz w:val="21"/>
                <w:szCs w:val="21"/>
                <w:u w:val="single"/>
                <w:lang w:val="en-US" w:eastAsia="zh-CN"/>
              </w:rPr>
              <w:t xml:space="preserve">2-4 </w:t>
            </w:r>
            <w:r>
              <w:rPr>
                <w:b/>
                <w:bCs/>
                <w:sz w:val="21"/>
                <w:szCs w:val="21"/>
                <w:u w:val="single"/>
              </w:rPr>
              <w:t>有组织废气检测结果</w:t>
            </w:r>
          </w:p>
          <w:tbl>
            <w:tblPr>
              <w:tblStyle w:val="9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146"/>
              <w:gridCol w:w="1653"/>
              <w:gridCol w:w="1154"/>
              <w:gridCol w:w="1154"/>
              <w:gridCol w:w="1161"/>
              <w:gridCol w:w="1166"/>
            </w:tblGrid>
            <w:tr w14:paraId="55B4C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restart"/>
                  <w:tcBorders>
                    <w:bottom w:val="nil"/>
                  </w:tcBorders>
                  <w:vAlign w:val="center"/>
                </w:tcPr>
                <w:p w14:paraId="69E69144">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点位名称</w:t>
                  </w:r>
                </w:p>
              </w:tc>
              <w:tc>
                <w:tcPr>
                  <w:tcW w:w="1656" w:type="pct"/>
                  <w:gridSpan w:val="2"/>
                  <w:vMerge w:val="restart"/>
                  <w:tcBorders>
                    <w:bottom w:val="nil"/>
                  </w:tcBorders>
                  <w:vAlign w:val="center"/>
                </w:tcPr>
                <w:p w14:paraId="1A3C2B5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检测项目</w:t>
                  </w:r>
                </w:p>
              </w:tc>
              <w:tc>
                <w:tcPr>
                  <w:tcW w:w="2053" w:type="pct"/>
                  <w:gridSpan w:val="3"/>
                  <w:vAlign w:val="center"/>
                </w:tcPr>
                <w:p w14:paraId="511CF754">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检测结果</w:t>
                  </w:r>
                </w:p>
              </w:tc>
              <w:tc>
                <w:tcPr>
                  <w:tcW w:w="690" w:type="pct"/>
                  <w:vMerge w:val="restart"/>
                  <w:tcBorders>
                    <w:bottom w:val="nil"/>
                  </w:tcBorders>
                  <w:vAlign w:val="center"/>
                </w:tcPr>
                <w:p w14:paraId="71F1EF9F">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标准限值</w:t>
                  </w:r>
                </w:p>
              </w:tc>
            </w:tr>
            <w:tr w14:paraId="6D8C0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39383C33">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656" w:type="pct"/>
                  <w:gridSpan w:val="2"/>
                  <w:vMerge w:val="continue"/>
                  <w:tcBorders>
                    <w:top w:val="nil"/>
                    <w:bottom w:val="nil"/>
                  </w:tcBorders>
                  <w:vAlign w:val="center"/>
                </w:tcPr>
                <w:p w14:paraId="22D3EC39">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2053" w:type="pct"/>
                  <w:gridSpan w:val="3"/>
                  <w:vAlign w:val="center"/>
                </w:tcPr>
                <w:p w14:paraId="254598E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2024-08-08</w:t>
                  </w:r>
                </w:p>
              </w:tc>
              <w:tc>
                <w:tcPr>
                  <w:tcW w:w="690" w:type="pct"/>
                  <w:vMerge w:val="continue"/>
                  <w:tcBorders>
                    <w:top w:val="nil"/>
                    <w:bottom w:val="nil"/>
                  </w:tcBorders>
                  <w:vAlign w:val="center"/>
                </w:tcPr>
                <w:p w14:paraId="563E7945">
                  <w:pPr>
                    <w:bidi w:val="0"/>
                    <w:spacing w:line="240" w:lineRule="auto"/>
                    <w:ind w:left="0" w:leftChars="0" w:firstLine="0" w:firstLineChars="0"/>
                    <w:jc w:val="center"/>
                    <w:rPr>
                      <w:rFonts w:ascii="Times New Roman" w:hAnsi="Times New Roman" w:eastAsia="宋体" w:cs="Times New Roman"/>
                      <w:sz w:val="21"/>
                      <w:szCs w:val="21"/>
                      <w:u w:val="single"/>
                    </w:rPr>
                  </w:pPr>
                </w:p>
              </w:tc>
            </w:tr>
            <w:tr w14:paraId="46EE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tcBorders>
                  <w:vAlign w:val="center"/>
                </w:tcPr>
                <w:p w14:paraId="5C29960A">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656" w:type="pct"/>
                  <w:gridSpan w:val="2"/>
                  <w:vMerge w:val="continue"/>
                  <w:tcBorders>
                    <w:top w:val="nil"/>
                  </w:tcBorders>
                  <w:vAlign w:val="center"/>
                </w:tcPr>
                <w:p w14:paraId="7F89CB72">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83" w:type="pct"/>
                  <w:vAlign w:val="center"/>
                </w:tcPr>
                <w:p w14:paraId="629B75E7">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第一次</w:t>
                  </w:r>
                </w:p>
              </w:tc>
              <w:tc>
                <w:tcPr>
                  <w:tcW w:w="683" w:type="pct"/>
                  <w:vAlign w:val="center"/>
                </w:tcPr>
                <w:p w14:paraId="3AD4A4C0">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第二次</w:t>
                  </w:r>
                </w:p>
              </w:tc>
              <w:tc>
                <w:tcPr>
                  <w:tcW w:w="685" w:type="pct"/>
                  <w:vAlign w:val="center"/>
                </w:tcPr>
                <w:p w14:paraId="47981EB8">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第三次</w:t>
                  </w:r>
                </w:p>
              </w:tc>
              <w:tc>
                <w:tcPr>
                  <w:tcW w:w="690" w:type="pct"/>
                  <w:vMerge w:val="continue"/>
                  <w:tcBorders>
                    <w:top w:val="nil"/>
                  </w:tcBorders>
                  <w:vAlign w:val="center"/>
                </w:tcPr>
                <w:p w14:paraId="285E5C68">
                  <w:pPr>
                    <w:bidi w:val="0"/>
                    <w:spacing w:line="240" w:lineRule="auto"/>
                    <w:ind w:left="0" w:leftChars="0" w:firstLine="0" w:firstLineChars="0"/>
                    <w:jc w:val="center"/>
                    <w:rPr>
                      <w:rFonts w:ascii="Times New Roman" w:hAnsi="Times New Roman" w:eastAsia="宋体" w:cs="Times New Roman"/>
                      <w:sz w:val="21"/>
                      <w:szCs w:val="21"/>
                      <w:u w:val="single"/>
                    </w:rPr>
                  </w:pPr>
                </w:p>
              </w:tc>
            </w:tr>
            <w:tr w14:paraId="246F5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restart"/>
                  <w:tcBorders>
                    <w:bottom w:val="nil"/>
                  </w:tcBorders>
                  <w:vAlign w:val="center"/>
                </w:tcPr>
                <w:p w14:paraId="4713BE5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喷漆废气 排放口</w:t>
                  </w:r>
                </w:p>
              </w:tc>
              <w:tc>
                <w:tcPr>
                  <w:tcW w:w="1656" w:type="pct"/>
                  <w:gridSpan w:val="2"/>
                  <w:vAlign w:val="center"/>
                </w:tcPr>
                <w:p w14:paraId="16828BA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标干烟气流量（m</w:t>
                  </w:r>
                  <w:r>
                    <w:rPr>
                      <w:rFonts w:ascii="Times New Roman" w:hAnsi="Times New Roman" w:eastAsia="宋体" w:cs="Times New Roman"/>
                      <w:sz w:val="21"/>
                      <w:szCs w:val="21"/>
                      <w:u w:val="single"/>
                      <w:vertAlign w:val="superscript"/>
                    </w:rPr>
                    <w:t>3</w:t>
                  </w:r>
                  <w:r>
                    <w:rPr>
                      <w:rFonts w:ascii="Times New Roman" w:hAnsi="Times New Roman" w:eastAsia="宋体" w:cs="Times New Roman"/>
                      <w:sz w:val="21"/>
                      <w:szCs w:val="21"/>
                      <w:u w:val="single"/>
                    </w:rPr>
                    <w:t>/h）</w:t>
                  </w:r>
                </w:p>
              </w:tc>
              <w:tc>
                <w:tcPr>
                  <w:tcW w:w="683" w:type="pct"/>
                  <w:vAlign w:val="center"/>
                </w:tcPr>
                <w:p w14:paraId="63A45D1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11172</w:t>
                  </w:r>
                </w:p>
              </w:tc>
              <w:tc>
                <w:tcPr>
                  <w:tcW w:w="683" w:type="pct"/>
                  <w:vAlign w:val="center"/>
                </w:tcPr>
                <w:p w14:paraId="2C94C944">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11538</w:t>
                  </w:r>
                </w:p>
              </w:tc>
              <w:tc>
                <w:tcPr>
                  <w:tcW w:w="685" w:type="pct"/>
                  <w:vAlign w:val="center"/>
                </w:tcPr>
                <w:p w14:paraId="5C3A2AC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11412</w:t>
                  </w:r>
                </w:p>
              </w:tc>
              <w:tc>
                <w:tcPr>
                  <w:tcW w:w="690" w:type="pct"/>
                  <w:vAlign w:val="center"/>
                </w:tcPr>
                <w:p w14:paraId="5755C88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r>
            <w:tr w14:paraId="7A020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7EAC428F">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restart"/>
                  <w:tcBorders>
                    <w:bottom w:val="nil"/>
                  </w:tcBorders>
                  <w:vAlign w:val="center"/>
                </w:tcPr>
                <w:p w14:paraId="7A18D6D8">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非甲烷总烃</w:t>
                  </w:r>
                </w:p>
              </w:tc>
              <w:tc>
                <w:tcPr>
                  <w:tcW w:w="978" w:type="pct"/>
                  <w:vAlign w:val="center"/>
                </w:tcPr>
                <w:p w14:paraId="6596BEC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排放浓度（mg/m</w:t>
                  </w:r>
                  <w:r>
                    <w:rPr>
                      <w:rFonts w:ascii="Times New Roman" w:hAnsi="Times New Roman" w:eastAsia="宋体" w:cs="Times New Roman"/>
                      <w:sz w:val="21"/>
                      <w:szCs w:val="21"/>
                      <w:u w:val="single"/>
                      <w:vertAlign w:val="superscript"/>
                    </w:rPr>
                    <w:t>3</w:t>
                  </w:r>
                  <w:r>
                    <w:rPr>
                      <w:rFonts w:ascii="Times New Roman" w:hAnsi="Times New Roman" w:eastAsia="宋体" w:cs="Times New Roman"/>
                      <w:sz w:val="21"/>
                      <w:szCs w:val="21"/>
                      <w:u w:val="single"/>
                    </w:rPr>
                    <w:t>）</w:t>
                  </w:r>
                </w:p>
              </w:tc>
              <w:tc>
                <w:tcPr>
                  <w:tcW w:w="683" w:type="pct"/>
                  <w:vAlign w:val="center"/>
                </w:tcPr>
                <w:p w14:paraId="0DD4563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0.67</w:t>
                  </w:r>
                </w:p>
              </w:tc>
              <w:tc>
                <w:tcPr>
                  <w:tcW w:w="683" w:type="pct"/>
                  <w:vAlign w:val="center"/>
                </w:tcPr>
                <w:p w14:paraId="38F89C7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0.74</w:t>
                  </w:r>
                </w:p>
              </w:tc>
              <w:tc>
                <w:tcPr>
                  <w:tcW w:w="685" w:type="pct"/>
                  <w:vAlign w:val="center"/>
                </w:tcPr>
                <w:p w14:paraId="19B1DF9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0.97</w:t>
                  </w:r>
                </w:p>
              </w:tc>
              <w:tc>
                <w:tcPr>
                  <w:tcW w:w="690" w:type="pct"/>
                  <w:vAlign w:val="center"/>
                </w:tcPr>
                <w:p w14:paraId="5E27724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50</w:t>
                  </w:r>
                </w:p>
              </w:tc>
            </w:tr>
            <w:tr w14:paraId="5671D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22844C88">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continue"/>
                  <w:tcBorders>
                    <w:top w:val="nil"/>
                  </w:tcBorders>
                  <w:vAlign w:val="center"/>
                </w:tcPr>
                <w:p w14:paraId="3FBDC0E8">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978" w:type="pct"/>
                  <w:vAlign w:val="center"/>
                </w:tcPr>
                <w:p w14:paraId="0033CC8C">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排放速率（kg/h）</w:t>
                  </w:r>
                </w:p>
              </w:tc>
              <w:tc>
                <w:tcPr>
                  <w:tcW w:w="683" w:type="pct"/>
                  <w:vAlign w:val="center"/>
                </w:tcPr>
                <w:p w14:paraId="49A5FA7C">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0.0075</w:t>
                  </w:r>
                </w:p>
              </w:tc>
              <w:tc>
                <w:tcPr>
                  <w:tcW w:w="683" w:type="pct"/>
                  <w:vAlign w:val="center"/>
                </w:tcPr>
                <w:p w14:paraId="3887B00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0.0085</w:t>
                  </w:r>
                </w:p>
              </w:tc>
              <w:tc>
                <w:tcPr>
                  <w:tcW w:w="685" w:type="pct"/>
                  <w:vAlign w:val="center"/>
                </w:tcPr>
                <w:p w14:paraId="488FEB1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0.011</w:t>
                  </w:r>
                </w:p>
              </w:tc>
              <w:tc>
                <w:tcPr>
                  <w:tcW w:w="690" w:type="pct"/>
                  <w:vAlign w:val="center"/>
                </w:tcPr>
                <w:p w14:paraId="3B313DA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r>
            <w:tr w14:paraId="5DC5C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1771553A">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restart"/>
                  <w:tcBorders>
                    <w:bottom w:val="nil"/>
                  </w:tcBorders>
                  <w:vAlign w:val="center"/>
                </w:tcPr>
                <w:p w14:paraId="6500040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二甲苯</w:t>
                  </w:r>
                </w:p>
              </w:tc>
              <w:tc>
                <w:tcPr>
                  <w:tcW w:w="978" w:type="pct"/>
                  <w:vAlign w:val="center"/>
                </w:tcPr>
                <w:p w14:paraId="088033B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排放浓度（mg/m</w:t>
                  </w:r>
                  <w:r>
                    <w:rPr>
                      <w:rFonts w:ascii="Times New Roman" w:hAnsi="Times New Roman" w:eastAsia="宋体" w:cs="Times New Roman"/>
                      <w:sz w:val="21"/>
                      <w:szCs w:val="21"/>
                      <w:u w:val="single"/>
                      <w:vertAlign w:val="superscript"/>
                    </w:rPr>
                    <w:t>3</w:t>
                  </w:r>
                  <w:r>
                    <w:rPr>
                      <w:rFonts w:ascii="Times New Roman" w:hAnsi="Times New Roman" w:eastAsia="宋体" w:cs="Times New Roman"/>
                      <w:sz w:val="21"/>
                      <w:szCs w:val="21"/>
                      <w:u w:val="single"/>
                    </w:rPr>
                    <w:t>）</w:t>
                  </w:r>
                </w:p>
              </w:tc>
              <w:tc>
                <w:tcPr>
                  <w:tcW w:w="683" w:type="pct"/>
                  <w:vAlign w:val="center"/>
                </w:tcPr>
                <w:p w14:paraId="5A9F788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83" w:type="pct"/>
                  <w:vAlign w:val="center"/>
                </w:tcPr>
                <w:p w14:paraId="652ABE26">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85" w:type="pct"/>
                  <w:vAlign w:val="center"/>
                </w:tcPr>
                <w:p w14:paraId="0981BD8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90" w:type="pct"/>
                  <w:vAlign w:val="center"/>
                </w:tcPr>
                <w:p w14:paraId="2CE81058">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r>
            <w:tr w14:paraId="2EE82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3CE13324">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continue"/>
                  <w:tcBorders>
                    <w:top w:val="nil"/>
                  </w:tcBorders>
                  <w:vAlign w:val="center"/>
                </w:tcPr>
                <w:p w14:paraId="0F5B91D1">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978" w:type="pct"/>
                  <w:vAlign w:val="center"/>
                </w:tcPr>
                <w:p w14:paraId="2E5447E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排放速率（kg/h）</w:t>
                  </w:r>
                </w:p>
              </w:tc>
              <w:tc>
                <w:tcPr>
                  <w:tcW w:w="683" w:type="pct"/>
                  <w:vAlign w:val="center"/>
                </w:tcPr>
                <w:p w14:paraId="4000908F">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83" w:type="pct"/>
                  <w:vAlign w:val="center"/>
                </w:tcPr>
                <w:p w14:paraId="35FCEDED">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85" w:type="pct"/>
                  <w:vAlign w:val="center"/>
                </w:tcPr>
                <w:p w14:paraId="75C5C88D">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90" w:type="pct"/>
                  <w:vAlign w:val="center"/>
                </w:tcPr>
                <w:p w14:paraId="6EF337F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r>
            <w:tr w14:paraId="2DC7A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0B6E6C8D">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restart"/>
                  <w:tcBorders>
                    <w:bottom w:val="nil"/>
                  </w:tcBorders>
                  <w:vAlign w:val="center"/>
                </w:tcPr>
                <w:p w14:paraId="2D72B60D">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甲苯</w:t>
                  </w:r>
                </w:p>
              </w:tc>
              <w:tc>
                <w:tcPr>
                  <w:tcW w:w="978" w:type="pct"/>
                  <w:vAlign w:val="center"/>
                </w:tcPr>
                <w:p w14:paraId="3212E3D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排放浓度（mg/m</w:t>
                  </w:r>
                  <w:r>
                    <w:rPr>
                      <w:rFonts w:ascii="Times New Roman" w:hAnsi="Times New Roman" w:eastAsia="宋体" w:cs="Times New Roman"/>
                      <w:sz w:val="21"/>
                      <w:szCs w:val="21"/>
                      <w:u w:val="single"/>
                      <w:vertAlign w:val="superscript"/>
                    </w:rPr>
                    <w:t>3</w:t>
                  </w:r>
                  <w:r>
                    <w:rPr>
                      <w:rFonts w:ascii="Times New Roman" w:hAnsi="Times New Roman" w:eastAsia="宋体" w:cs="Times New Roman"/>
                      <w:sz w:val="21"/>
                      <w:szCs w:val="21"/>
                      <w:u w:val="single"/>
                    </w:rPr>
                    <w:t>）</w:t>
                  </w:r>
                </w:p>
              </w:tc>
              <w:tc>
                <w:tcPr>
                  <w:tcW w:w="683" w:type="pct"/>
                  <w:vAlign w:val="center"/>
                </w:tcPr>
                <w:p w14:paraId="690A5C6C">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83" w:type="pct"/>
                  <w:vAlign w:val="center"/>
                </w:tcPr>
                <w:p w14:paraId="1B64E3C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85" w:type="pct"/>
                  <w:vAlign w:val="center"/>
                </w:tcPr>
                <w:p w14:paraId="021914E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90" w:type="pct"/>
                  <w:vAlign w:val="center"/>
                </w:tcPr>
                <w:p w14:paraId="47EF70B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r>
            <w:tr w14:paraId="2E1D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439FF77F">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continue"/>
                  <w:tcBorders>
                    <w:top w:val="nil"/>
                  </w:tcBorders>
                  <w:vAlign w:val="center"/>
                </w:tcPr>
                <w:p w14:paraId="48A471D4">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978" w:type="pct"/>
                  <w:vAlign w:val="center"/>
                </w:tcPr>
                <w:p w14:paraId="2C301C06">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排放速率（kg/h）</w:t>
                  </w:r>
                </w:p>
              </w:tc>
              <w:tc>
                <w:tcPr>
                  <w:tcW w:w="683" w:type="pct"/>
                  <w:vAlign w:val="center"/>
                </w:tcPr>
                <w:p w14:paraId="6DC02570">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83" w:type="pct"/>
                  <w:vAlign w:val="center"/>
                </w:tcPr>
                <w:p w14:paraId="73BA9C3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85" w:type="pct"/>
                  <w:vAlign w:val="center"/>
                </w:tcPr>
                <w:p w14:paraId="56CA4D19">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90" w:type="pct"/>
                  <w:vAlign w:val="center"/>
                </w:tcPr>
                <w:p w14:paraId="15698247">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r>
            <w:tr w14:paraId="24A62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bottom w:val="nil"/>
                  </w:tcBorders>
                  <w:vAlign w:val="center"/>
                </w:tcPr>
                <w:p w14:paraId="280D26A4">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restart"/>
                  <w:tcBorders>
                    <w:bottom w:val="nil"/>
                  </w:tcBorders>
                  <w:vAlign w:val="center"/>
                </w:tcPr>
                <w:p w14:paraId="062F15B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苯</w:t>
                  </w:r>
                </w:p>
              </w:tc>
              <w:tc>
                <w:tcPr>
                  <w:tcW w:w="978" w:type="pct"/>
                  <w:vAlign w:val="center"/>
                </w:tcPr>
                <w:p w14:paraId="57C99FCD">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排放浓度（mg/m</w:t>
                  </w:r>
                  <w:r>
                    <w:rPr>
                      <w:rFonts w:ascii="Times New Roman" w:hAnsi="Times New Roman" w:eastAsia="宋体" w:cs="Times New Roman"/>
                      <w:sz w:val="21"/>
                      <w:szCs w:val="21"/>
                      <w:u w:val="single"/>
                      <w:vertAlign w:val="superscript"/>
                    </w:rPr>
                    <w:t>3</w:t>
                  </w:r>
                  <w:r>
                    <w:rPr>
                      <w:rFonts w:ascii="Times New Roman" w:hAnsi="Times New Roman" w:eastAsia="宋体" w:cs="Times New Roman"/>
                      <w:sz w:val="21"/>
                      <w:szCs w:val="21"/>
                      <w:u w:val="single"/>
                    </w:rPr>
                    <w:t>）</w:t>
                  </w:r>
                </w:p>
              </w:tc>
              <w:tc>
                <w:tcPr>
                  <w:tcW w:w="683" w:type="pct"/>
                  <w:vAlign w:val="center"/>
                </w:tcPr>
                <w:p w14:paraId="6BAD329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83" w:type="pct"/>
                  <w:vAlign w:val="center"/>
                </w:tcPr>
                <w:p w14:paraId="0E0750FC">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85" w:type="pct"/>
                  <w:vAlign w:val="center"/>
                </w:tcPr>
                <w:p w14:paraId="079B4AD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0.004L</w:t>
                  </w:r>
                </w:p>
              </w:tc>
              <w:tc>
                <w:tcPr>
                  <w:tcW w:w="690" w:type="pct"/>
                  <w:vAlign w:val="center"/>
                </w:tcPr>
                <w:p w14:paraId="517042D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w:t>
                  </w:r>
                </w:p>
              </w:tc>
            </w:tr>
            <w:tr w14:paraId="24E45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99" w:type="pct"/>
                  <w:vMerge w:val="continue"/>
                  <w:tcBorders>
                    <w:top w:val="nil"/>
                  </w:tcBorders>
                  <w:vAlign w:val="center"/>
                </w:tcPr>
                <w:p w14:paraId="46F5C49A">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678" w:type="pct"/>
                  <w:vMerge w:val="continue"/>
                  <w:tcBorders>
                    <w:top w:val="nil"/>
                  </w:tcBorders>
                  <w:vAlign w:val="center"/>
                </w:tcPr>
                <w:p w14:paraId="3D69D89E">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978" w:type="pct"/>
                  <w:vAlign w:val="center"/>
                </w:tcPr>
                <w:p w14:paraId="6E9A382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排放速率（kg/h）</w:t>
                  </w:r>
                </w:p>
              </w:tc>
              <w:tc>
                <w:tcPr>
                  <w:tcW w:w="683" w:type="pct"/>
                  <w:vAlign w:val="center"/>
                </w:tcPr>
                <w:p w14:paraId="32BCD400">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83" w:type="pct"/>
                  <w:vAlign w:val="center"/>
                </w:tcPr>
                <w:p w14:paraId="7284805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85" w:type="pct"/>
                  <w:vAlign w:val="center"/>
                </w:tcPr>
                <w:p w14:paraId="5D2E86F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c>
                <w:tcPr>
                  <w:tcW w:w="690" w:type="pct"/>
                  <w:vAlign w:val="center"/>
                </w:tcPr>
                <w:p w14:paraId="33270FB0">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w:t>
                  </w:r>
                </w:p>
              </w:tc>
            </w:tr>
          </w:tbl>
          <w:p w14:paraId="4DDE4533">
            <w:pPr>
              <w:bidi w:val="0"/>
              <w:rPr>
                <w:rFonts w:hint="default" w:eastAsia="宋体"/>
                <w:u w:val="single"/>
                <w:lang w:val="en-US" w:eastAsia="zh-CN"/>
              </w:rPr>
            </w:pPr>
            <w:r>
              <w:rPr>
                <w:rFonts w:hint="eastAsia"/>
                <w:u w:val="single"/>
                <w:lang w:val="en-US" w:eastAsia="zh-CN"/>
              </w:rPr>
              <w:t>据上表监测结果可知，喷漆废气中非甲烷总烃监测结果满足</w:t>
            </w:r>
            <w:r>
              <w:rPr>
                <w:u w:val="single"/>
              </w:rPr>
              <w:t>《表面涂装（汽车制造及维修）挥发性有机物、镍排放标准》（DB43/1356-2017） 表1中汽车维修浓度限值</w:t>
            </w:r>
            <w:r>
              <w:rPr>
                <w:rFonts w:hint="eastAsia"/>
                <w:u w:val="single"/>
                <w:lang w:eastAsia="zh-CN"/>
              </w:rPr>
              <w:t>，</w:t>
            </w:r>
            <w:r>
              <w:rPr>
                <w:rFonts w:hint="eastAsia"/>
                <w:u w:val="single"/>
                <w:lang w:val="en-US" w:eastAsia="zh-CN"/>
              </w:rPr>
              <w:t>苯、甲苯、二甲苯等未检出。</w:t>
            </w:r>
          </w:p>
          <w:p w14:paraId="5FB3B410">
            <w:pPr>
              <w:bidi w:val="0"/>
              <w:rPr>
                <w:rFonts w:hint="eastAsia"/>
                <w:u w:val="single"/>
                <w:lang w:val="en-US" w:eastAsia="zh-CN"/>
              </w:rPr>
            </w:pPr>
            <w:r>
              <w:rPr>
                <w:rFonts w:hint="eastAsia"/>
                <w:u w:val="single"/>
                <w:lang w:val="en-US" w:eastAsia="zh-CN"/>
              </w:rPr>
              <w:t>（2）废水</w:t>
            </w:r>
          </w:p>
          <w:p w14:paraId="42431A37">
            <w:pPr>
              <w:bidi w:val="0"/>
              <w:rPr>
                <w:rFonts w:hint="default"/>
                <w:u w:val="single"/>
                <w:lang w:val="en-US" w:eastAsia="zh-CN"/>
              </w:rPr>
            </w:pPr>
            <w:r>
              <w:rPr>
                <w:rFonts w:hint="eastAsia"/>
                <w:u w:val="single"/>
                <w:lang w:val="en-US" w:eastAsia="zh-CN"/>
              </w:rPr>
              <w:t>项目废水主要来源为汽车保养洗车及生活用水，洗车废水经沉淀处理，生活污水经化粪池处理，两股废水处理后经一个排放口排入市政污水管网，评价期间对废水总排放口进行了现状监测，具体如下：</w:t>
            </w:r>
          </w:p>
          <w:p w14:paraId="635DA698">
            <w:pPr>
              <w:bidi w:val="0"/>
              <w:spacing w:line="240" w:lineRule="auto"/>
              <w:ind w:left="0" w:leftChars="0" w:firstLine="0" w:firstLineChars="0"/>
              <w:jc w:val="center"/>
              <w:rPr>
                <w:rFonts w:ascii="Times New Roman" w:hAnsi="Times New Roman" w:eastAsia="宋体" w:cs="Times New Roman"/>
                <w:b/>
                <w:bCs/>
                <w:sz w:val="21"/>
                <w:szCs w:val="21"/>
                <w:u w:val="single"/>
              </w:rPr>
            </w:pPr>
            <w:r>
              <w:rPr>
                <w:rFonts w:ascii="Times New Roman" w:hAnsi="Times New Roman" w:eastAsia="宋体" w:cs="Times New Roman"/>
                <w:b/>
                <w:bCs/>
                <w:sz w:val="21"/>
                <w:szCs w:val="21"/>
                <w:u w:val="single"/>
              </w:rPr>
              <w:t xml:space="preserve">表 </w:t>
            </w:r>
            <w:r>
              <w:rPr>
                <w:rFonts w:hint="eastAsia" w:ascii="Times New Roman" w:hAnsi="Times New Roman" w:eastAsia="宋体" w:cs="Times New Roman"/>
                <w:b/>
                <w:bCs/>
                <w:sz w:val="21"/>
                <w:szCs w:val="21"/>
                <w:u w:val="single"/>
                <w:lang w:val="en-US" w:eastAsia="zh-CN"/>
              </w:rPr>
              <w:t>2-5</w:t>
            </w:r>
            <w:r>
              <w:rPr>
                <w:rFonts w:ascii="Times New Roman" w:hAnsi="Times New Roman" w:eastAsia="宋体" w:cs="Times New Roman"/>
                <w:b/>
                <w:bCs/>
                <w:sz w:val="21"/>
                <w:szCs w:val="21"/>
                <w:u w:val="single"/>
              </w:rPr>
              <w:t>废水检测结果</w:t>
            </w:r>
          </w:p>
          <w:tbl>
            <w:tblPr>
              <w:tblStyle w:val="9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9"/>
              <w:gridCol w:w="1913"/>
              <w:gridCol w:w="3019"/>
              <w:gridCol w:w="1735"/>
            </w:tblGrid>
            <w:tr w14:paraId="38B0D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3" w:type="pct"/>
                  <w:vMerge w:val="restart"/>
                  <w:tcBorders>
                    <w:tl2br w:val="nil"/>
                    <w:tr2bl w:val="nil"/>
                  </w:tcBorders>
                  <w:vAlign w:val="center"/>
                </w:tcPr>
                <w:p w14:paraId="22F4ADB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检测点位</w:t>
                  </w:r>
                </w:p>
              </w:tc>
              <w:tc>
                <w:tcPr>
                  <w:tcW w:w="1132" w:type="pct"/>
                  <w:vMerge w:val="restart"/>
                  <w:tcBorders>
                    <w:tl2br w:val="nil"/>
                    <w:tr2bl w:val="nil"/>
                  </w:tcBorders>
                  <w:vAlign w:val="center"/>
                </w:tcPr>
                <w:p w14:paraId="4E239F2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检测项目</w:t>
                  </w:r>
                </w:p>
              </w:tc>
              <w:tc>
                <w:tcPr>
                  <w:tcW w:w="1787" w:type="pct"/>
                  <w:tcBorders>
                    <w:tl2br w:val="nil"/>
                    <w:tr2bl w:val="nil"/>
                  </w:tcBorders>
                  <w:vAlign w:val="center"/>
                </w:tcPr>
                <w:p w14:paraId="375557F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检测结果（mg/L）（pH 值：无量纲）</w:t>
                  </w:r>
                </w:p>
              </w:tc>
              <w:tc>
                <w:tcPr>
                  <w:tcW w:w="1027" w:type="pct"/>
                  <w:vMerge w:val="restart"/>
                  <w:tcBorders>
                    <w:tl2br w:val="nil"/>
                    <w:tr2bl w:val="nil"/>
                  </w:tcBorders>
                  <w:vAlign w:val="center"/>
                </w:tcPr>
                <w:p w14:paraId="3784311D">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标准限值（mg/L） （pH 值：无量纲）</w:t>
                  </w:r>
                </w:p>
              </w:tc>
            </w:tr>
            <w:tr w14:paraId="59AD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53" w:type="pct"/>
                  <w:vMerge w:val="continue"/>
                  <w:tcBorders>
                    <w:tl2br w:val="nil"/>
                    <w:tr2bl w:val="nil"/>
                  </w:tcBorders>
                  <w:vAlign w:val="center"/>
                </w:tcPr>
                <w:p w14:paraId="75B8CE5F">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vMerge w:val="continue"/>
                  <w:tcBorders>
                    <w:tl2br w:val="nil"/>
                    <w:tr2bl w:val="nil"/>
                  </w:tcBorders>
                  <w:vAlign w:val="center"/>
                </w:tcPr>
                <w:p w14:paraId="12FB71E9">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787" w:type="pct"/>
                  <w:tcBorders>
                    <w:tl2br w:val="nil"/>
                    <w:tr2bl w:val="nil"/>
                  </w:tcBorders>
                  <w:vAlign w:val="center"/>
                </w:tcPr>
                <w:p w14:paraId="1A1C239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2024-07-29</w:t>
                  </w:r>
                </w:p>
              </w:tc>
              <w:tc>
                <w:tcPr>
                  <w:tcW w:w="1027" w:type="pct"/>
                  <w:vMerge w:val="continue"/>
                  <w:tcBorders>
                    <w:tl2br w:val="nil"/>
                    <w:tr2bl w:val="nil"/>
                  </w:tcBorders>
                  <w:vAlign w:val="center"/>
                </w:tcPr>
                <w:p w14:paraId="55BAC663">
                  <w:pPr>
                    <w:bidi w:val="0"/>
                    <w:spacing w:line="240" w:lineRule="auto"/>
                    <w:ind w:left="0" w:leftChars="0" w:firstLine="0" w:firstLineChars="0"/>
                    <w:jc w:val="center"/>
                    <w:rPr>
                      <w:rFonts w:ascii="Times New Roman" w:hAnsi="Times New Roman" w:eastAsia="宋体" w:cs="Times New Roman"/>
                      <w:sz w:val="21"/>
                      <w:szCs w:val="21"/>
                      <w:u w:val="single"/>
                    </w:rPr>
                  </w:pPr>
                </w:p>
              </w:tc>
            </w:tr>
            <w:tr w14:paraId="30C0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53" w:type="pct"/>
                  <w:vMerge w:val="restart"/>
                  <w:tcBorders>
                    <w:tl2br w:val="nil"/>
                    <w:tr2bl w:val="nil"/>
                  </w:tcBorders>
                  <w:vAlign w:val="center"/>
                </w:tcPr>
                <w:p w14:paraId="660A01D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废水总排放口</w:t>
                  </w:r>
                </w:p>
              </w:tc>
              <w:tc>
                <w:tcPr>
                  <w:tcW w:w="1132" w:type="pct"/>
                  <w:tcBorders>
                    <w:tl2br w:val="nil"/>
                    <w:tr2bl w:val="nil"/>
                  </w:tcBorders>
                  <w:vAlign w:val="center"/>
                </w:tcPr>
                <w:p w14:paraId="796036E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pH 值</w:t>
                  </w:r>
                </w:p>
              </w:tc>
              <w:tc>
                <w:tcPr>
                  <w:tcW w:w="1787" w:type="pct"/>
                  <w:tcBorders>
                    <w:tl2br w:val="nil"/>
                    <w:tr2bl w:val="nil"/>
                  </w:tcBorders>
                  <w:vAlign w:val="center"/>
                </w:tcPr>
                <w:p w14:paraId="2454CDF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6.9（22.2℃)</w:t>
                  </w:r>
                </w:p>
              </w:tc>
              <w:tc>
                <w:tcPr>
                  <w:tcW w:w="1027" w:type="pct"/>
                  <w:tcBorders>
                    <w:tl2br w:val="nil"/>
                    <w:tr2bl w:val="nil"/>
                  </w:tcBorders>
                  <w:vAlign w:val="center"/>
                </w:tcPr>
                <w:p w14:paraId="7BDDDE8F">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6~9</w:t>
                  </w:r>
                </w:p>
              </w:tc>
            </w:tr>
            <w:tr w14:paraId="2AE1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53" w:type="pct"/>
                  <w:vMerge w:val="continue"/>
                  <w:tcBorders>
                    <w:tl2br w:val="nil"/>
                    <w:tr2bl w:val="nil"/>
                  </w:tcBorders>
                  <w:vAlign w:val="center"/>
                </w:tcPr>
                <w:p w14:paraId="00683F4D">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5329CB8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悬浮物</w:t>
                  </w:r>
                </w:p>
              </w:tc>
              <w:tc>
                <w:tcPr>
                  <w:tcW w:w="1787" w:type="pct"/>
                  <w:tcBorders>
                    <w:tl2br w:val="nil"/>
                    <w:tr2bl w:val="nil"/>
                  </w:tcBorders>
                  <w:vAlign w:val="center"/>
                </w:tcPr>
                <w:p w14:paraId="0E1E085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39</w:t>
                  </w:r>
                </w:p>
              </w:tc>
              <w:tc>
                <w:tcPr>
                  <w:tcW w:w="1027" w:type="pct"/>
                  <w:tcBorders>
                    <w:tl2br w:val="nil"/>
                    <w:tr2bl w:val="nil"/>
                  </w:tcBorders>
                  <w:vAlign w:val="center"/>
                </w:tcPr>
                <w:p w14:paraId="2DC89330">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100</w:t>
                  </w:r>
                </w:p>
              </w:tc>
            </w:tr>
            <w:tr w14:paraId="6B2FB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53" w:type="pct"/>
                  <w:vMerge w:val="continue"/>
                  <w:tcBorders>
                    <w:tl2br w:val="nil"/>
                    <w:tr2bl w:val="nil"/>
                  </w:tcBorders>
                  <w:vAlign w:val="center"/>
                </w:tcPr>
                <w:p w14:paraId="2EBA8DBC">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695EC85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化学需氧量</w:t>
                  </w:r>
                </w:p>
              </w:tc>
              <w:tc>
                <w:tcPr>
                  <w:tcW w:w="1787" w:type="pct"/>
                  <w:tcBorders>
                    <w:tl2br w:val="nil"/>
                    <w:tr2bl w:val="nil"/>
                  </w:tcBorders>
                  <w:vAlign w:val="center"/>
                </w:tcPr>
                <w:p w14:paraId="07CBBF3F">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51</w:t>
                  </w:r>
                </w:p>
              </w:tc>
              <w:tc>
                <w:tcPr>
                  <w:tcW w:w="1027" w:type="pct"/>
                  <w:tcBorders>
                    <w:tl2br w:val="nil"/>
                    <w:tr2bl w:val="nil"/>
                  </w:tcBorders>
                  <w:vAlign w:val="center"/>
                </w:tcPr>
                <w:p w14:paraId="111A518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300</w:t>
                  </w:r>
                </w:p>
              </w:tc>
            </w:tr>
            <w:tr w14:paraId="0D65C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53" w:type="pct"/>
                  <w:vMerge w:val="continue"/>
                  <w:tcBorders>
                    <w:tl2br w:val="nil"/>
                    <w:tr2bl w:val="nil"/>
                  </w:tcBorders>
                  <w:vAlign w:val="center"/>
                </w:tcPr>
                <w:p w14:paraId="1DA2E023">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374B6DBD">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五日生化需氧量</w:t>
                  </w:r>
                </w:p>
              </w:tc>
              <w:tc>
                <w:tcPr>
                  <w:tcW w:w="1787" w:type="pct"/>
                  <w:tcBorders>
                    <w:tl2br w:val="nil"/>
                    <w:tr2bl w:val="nil"/>
                  </w:tcBorders>
                  <w:vAlign w:val="center"/>
                </w:tcPr>
                <w:p w14:paraId="458C050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17.0</w:t>
                  </w:r>
                </w:p>
              </w:tc>
              <w:tc>
                <w:tcPr>
                  <w:tcW w:w="1027" w:type="pct"/>
                  <w:tcBorders>
                    <w:tl2br w:val="nil"/>
                    <w:tr2bl w:val="nil"/>
                  </w:tcBorders>
                  <w:vAlign w:val="center"/>
                </w:tcPr>
                <w:p w14:paraId="6CA10C0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150</w:t>
                  </w:r>
                </w:p>
              </w:tc>
            </w:tr>
            <w:tr w14:paraId="7DCBE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53" w:type="pct"/>
                  <w:vMerge w:val="continue"/>
                  <w:tcBorders>
                    <w:tl2br w:val="nil"/>
                    <w:tr2bl w:val="nil"/>
                  </w:tcBorders>
                  <w:vAlign w:val="center"/>
                </w:tcPr>
                <w:p w14:paraId="45221CFB">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545D6A74">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石油类</w:t>
                  </w:r>
                </w:p>
              </w:tc>
              <w:tc>
                <w:tcPr>
                  <w:tcW w:w="1787" w:type="pct"/>
                  <w:tcBorders>
                    <w:tl2br w:val="nil"/>
                    <w:tr2bl w:val="nil"/>
                  </w:tcBorders>
                  <w:vAlign w:val="center"/>
                </w:tcPr>
                <w:p w14:paraId="38A5F94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0.06L</w:t>
                  </w:r>
                </w:p>
              </w:tc>
              <w:tc>
                <w:tcPr>
                  <w:tcW w:w="1027" w:type="pct"/>
                  <w:tcBorders>
                    <w:tl2br w:val="nil"/>
                    <w:tr2bl w:val="nil"/>
                  </w:tcBorders>
                  <w:vAlign w:val="center"/>
                </w:tcPr>
                <w:p w14:paraId="2D91B322">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10</w:t>
                  </w:r>
                </w:p>
              </w:tc>
            </w:tr>
            <w:tr w14:paraId="3CE7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53" w:type="pct"/>
                  <w:vMerge w:val="continue"/>
                  <w:tcBorders>
                    <w:tl2br w:val="nil"/>
                    <w:tr2bl w:val="nil"/>
                  </w:tcBorders>
                  <w:vAlign w:val="center"/>
                </w:tcPr>
                <w:p w14:paraId="7AA3AD8F">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4E791F36">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阴离子表面活性剂</w:t>
                  </w:r>
                </w:p>
              </w:tc>
              <w:tc>
                <w:tcPr>
                  <w:tcW w:w="1787" w:type="pct"/>
                  <w:tcBorders>
                    <w:tl2br w:val="nil"/>
                    <w:tr2bl w:val="nil"/>
                  </w:tcBorders>
                  <w:vAlign w:val="center"/>
                </w:tcPr>
                <w:p w14:paraId="45CFCD4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0.306</w:t>
                  </w:r>
                </w:p>
              </w:tc>
              <w:tc>
                <w:tcPr>
                  <w:tcW w:w="1027" w:type="pct"/>
                  <w:tcBorders>
                    <w:tl2br w:val="nil"/>
                    <w:tr2bl w:val="nil"/>
                  </w:tcBorders>
                  <w:vAlign w:val="center"/>
                </w:tcPr>
                <w:p w14:paraId="1F224B7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10</w:t>
                  </w:r>
                </w:p>
              </w:tc>
            </w:tr>
            <w:tr w14:paraId="3EA66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53" w:type="pct"/>
                  <w:vMerge w:val="continue"/>
                  <w:tcBorders>
                    <w:tl2br w:val="nil"/>
                    <w:tr2bl w:val="nil"/>
                  </w:tcBorders>
                  <w:vAlign w:val="center"/>
                </w:tcPr>
                <w:p w14:paraId="530E9115">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4298305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氨氮</w:t>
                  </w:r>
                </w:p>
              </w:tc>
              <w:tc>
                <w:tcPr>
                  <w:tcW w:w="1787" w:type="pct"/>
                  <w:tcBorders>
                    <w:tl2br w:val="nil"/>
                    <w:tr2bl w:val="nil"/>
                  </w:tcBorders>
                  <w:vAlign w:val="center"/>
                </w:tcPr>
                <w:p w14:paraId="3FBDBD66">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1.21</w:t>
                  </w:r>
                </w:p>
              </w:tc>
              <w:tc>
                <w:tcPr>
                  <w:tcW w:w="1027" w:type="pct"/>
                  <w:tcBorders>
                    <w:tl2br w:val="nil"/>
                    <w:tr2bl w:val="nil"/>
                  </w:tcBorders>
                  <w:vAlign w:val="center"/>
                </w:tcPr>
                <w:p w14:paraId="29E83873">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25</w:t>
                  </w:r>
                </w:p>
              </w:tc>
            </w:tr>
            <w:tr w14:paraId="463D0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53" w:type="pct"/>
                  <w:vMerge w:val="continue"/>
                  <w:tcBorders>
                    <w:tl2br w:val="nil"/>
                    <w:tr2bl w:val="nil"/>
                  </w:tcBorders>
                  <w:vAlign w:val="center"/>
                </w:tcPr>
                <w:p w14:paraId="3268FE04">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05647EC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总氮</w:t>
                  </w:r>
                </w:p>
              </w:tc>
              <w:tc>
                <w:tcPr>
                  <w:tcW w:w="1787" w:type="pct"/>
                  <w:tcBorders>
                    <w:tl2br w:val="nil"/>
                    <w:tr2bl w:val="nil"/>
                  </w:tcBorders>
                  <w:vAlign w:val="center"/>
                </w:tcPr>
                <w:p w14:paraId="6C408830">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7.27</w:t>
                  </w:r>
                </w:p>
              </w:tc>
              <w:tc>
                <w:tcPr>
                  <w:tcW w:w="1027" w:type="pct"/>
                  <w:tcBorders>
                    <w:tl2br w:val="nil"/>
                    <w:tr2bl w:val="nil"/>
                  </w:tcBorders>
                  <w:vAlign w:val="center"/>
                </w:tcPr>
                <w:p w14:paraId="3E8E40A1">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30</w:t>
                  </w:r>
                </w:p>
              </w:tc>
            </w:tr>
            <w:tr w14:paraId="3EA19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53" w:type="pct"/>
                  <w:vMerge w:val="continue"/>
                  <w:tcBorders>
                    <w:tl2br w:val="nil"/>
                    <w:tr2bl w:val="nil"/>
                  </w:tcBorders>
                  <w:vAlign w:val="center"/>
                </w:tcPr>
                <w:p w14:paraId="266EAD9D">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132" w:type="pct"/>
                  <w:tcBorders>
                    <w:tl2br w:val="nil"/>
                    <w:tr2bl w:val="nil"/>
                  </w:tcBorders>
                  <w:vAlign w:val="center"/>
                </w:tcPr>
                <w:p w14:paraId="7575AF1D">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总磷</w:t>
                  </w:r>
                </w:p>
              </w:tc>
              <w:tc>
                <w:tcPr>
                  <w:tcW w:w="1787" w:type="pct"/>
                  <w:tcBorders>
                    <w:tl2br w:val="nil"/>
                    <w:tr2bl w:val="nil"/>
                  </w:tcBorders>
                  <w:vAlign w:val="center"/>
                </w:tcPr>
                <w:p w14:paraId="54825B5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0.62</w:t>
                  </w:r>
                </w:p>
              </w:tc>
              <w:tc>
                <w:tcPr>
                  <w:tcW w:w="1027" w:type="pct"/>
                  <w:tcBorders>
                    <w:tl2br w:val="nil"/>
                    <w:tr2bl w:val="nil"/>
                  </w:tcBorders>
                  <w:vAlign w:val="center"/>
                </w:tcPr>
                <w:p w14:paraId="5C98A1EC">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3</w:t>
                  </w:r>
                </w:p>
              </w:tc>
            </w:tr>
          </w:tbl>
          <w:p w14:paraId="67A428EF">
            <w:pPr>
              <w:bidi w:val="0"/>
              <w:rPr>
                <w:rFonts w:hint="eastAsia" w:eastAsia="宋体"/>
                <w:u w:val="single"/>
                <w:lang w:val="en-US" w:eastAsia="zh-CN"/>
              </w:rPr>
            </w:pPr>
            <w:r>
              <w:rPr>
                <w:rFonts w:hint="eastAsia"/>
                <w:u w:val="single"/>
                <w:lang w:val="en-US" w:eastAsia="zh-CN"/>
              </w:rPr>
              <w:t>据上表监测结果可知，项目废水总排口各污染因子满足</w:t>
            </w:r>
            <w:r>
              <w:rPr>
                <w:u w:val="single"/>
              </w:rPr>
              <w:t>《汽车维修业水污染物排放标准》（GB26877-2011）表2中间接排放浓度限值</w:t>
            </w:r>
            <w:r>
              <w:rPr>
                <w:rFonts w:hint="eastAsia"/>
                <w:u w:val="single"/>
                <w:lang w:eastAsia="zh-CN"/>
              </w:rPr>
              <w:t>。</w:t>
            </w:r>
          </w:p>
          <w:p w14:paraId="62DBB7CC">
            <w:pPr>
              <w:bidi w:val="0"/>
              <w:rPr>
                <w:rFonts w:hint="eastAsia"/>
                <w:u w:val="single"/>
                <w:lang w:val="en-US" w:eastAsia="zh-CN"/>
              </w:rPr>
            </w:pPr>
            <w:r>
              <w:rPr>
                <w:rFonts w:hint="eastAsia"/>
                <w:u w:val="single"/>
                <w:lang w:val="en-US" w:eastAsia="zh-CN"/>
              </w:rPr>
              <w:t>（3）噪声</w:t>
            </w:r>
          </w:p>
          <w:p w14:paraId="418A1ACB">
            <w:pPr>
              <w:bidi w:val="0"/>
              <w:rPr>
                <w:rFonts w:hint="default"/>
                <w:u w:val="single"/>
                <w:lang w:val="en-US" w:eastAsia="zh-CN"/>
              </w:rPr>
            </w:pPr>
            <w:r>
              <w:rPr>
                <w:rFonts w:hint="eastAsia"/>
                <w:u w:val="single"/>
                <w:lang w:val="en-US" w:eastAsia="zh-CN"/>
              </w:rPr>
              <w:t>项目噪声主要来源于汽车维修过程的机械设备，评价期间对厂界噪声进行了现状监测，具体如下：</w:t>
            </w:r>
          </w:p>
          <w:p w14:paraId="1A62EA65">
            <w:pPr>
              <w:bidi w:val="0"/>
              <w:spacing w:line="240" w:lineRule="auto"/>
              <w:ind w:left="0" w:leftChars="0" w:firstLine="0" w:firstLineChars="0"/>
              <w:jc w:val="center"/>
              <w:rPr>
                <w:rFonts w:ascii="Times New Roman" w:hAnsi="Times New Roman" w:eastAsia="宋体" w:cs="Times New Roman"/>
                <w:b/>
                <w:bCs/>
                <w:sz w:val="21"/>
                <w:szCs w:val="21"/>
                <w:u w:val="single"/>
              </w:rPr>
            </w:pPr>
            <w:r>
              <w:rPr>
                <w:rFonts w:ascii="Times New Roman" w:hAnsi="Times New Roman" w:eastAsia="宋体" w:cs="Times New Roman"/>
                <w:b/>
                <w:bCs/>
                <w:sz w:val="21"/>
                <w:szCs w:val="21"/>
                <w:u w:val="single"/>
              </w:rPr>
              <w:t>表</w:t>
            </w:r>
            <w:r>
              <w:rPr>
                <w:rFonts w:hint="eastAsia" w:ascii="Times New Roman" w:hAnsi="Times New Roman" w:eastAsia="宋体" w:cs="Times New Roman"/>
                <w:b/>
                <w:bCs/>
                <w:sz w:val="21"/>
                <w:szCs w:val="21"/>
                <w:u w:val="single"/>
                <w:lang w:val="en-US" w:eastAsia="zh-CN"/>
              </w:rPr>
              <w:t>2-6</w:t>
            </w:r>
            <w:r>
              <w:rPr>
                <w:rFonts w:ascii="Times New Roman" w:hAnsi="Times New Roman" w:eastAsia="宋体" w:cs="Times New Roman"/>
                <w:b/>
                <w:bCs/>
                <w:sz w:val="21"/>
                <w:szCs w:val="21"/>
                <w:u w:val="single"/>
              </w:rPr>
              <w:t>噪声检测结果</w:t>
            </w:r>
          </w:p>
          <w:tbl>
            <w:tblPr>
              <w:tblStyle w:val="9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2278"/>
              <w:gridCol w:w="3565"/>
            </w:tblGrid>
            <w:tr w14:paraId="7C7E0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41" w:type="pct"/>
                  <w:vMerge w:val="restart"/>
                  <w:tcBorders>
                    <w:tl2br w:val="nil"/>
                    <w:tr2bl w:val="nil"/>
                  </w:tcBorders>
                  <w:vAlign w:val="center"/>
                </w:tcPr>
                <w:p w14:paraId="7774CD19">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点位名称</w:t>
                  </w:r>
                </w:p>
              </w:tc>
              <w:tc>
                <w:tcPr>
                  <w:tcW w:w="1347" w:type="pct"/>
                  <w:vMerge w:val="restart"/>
                  <w:tcBorders>
                    <w:tl2br w:val="nil"/>
                    <w:tr2bl w:val="nil"/>
                  </w:tcBorders>
                  <w:vAlign w:val="center"/>
                </w:tcPr>
                <w:p w14:paraId="637D406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检测项目</w:t>
                  </w:r>
                </w:p>
              </w:tc>
              <w:tc>
                <w:tcPr>
                  <w:tcW w:w="2110" w:type="pct"/>
                  <w:tcBorders>
                    <w:tl2br w:val="nil"/>
                    <w:tr2bl w:val="nil"/>
                  </w:tcBorders>
                  <w:vAlign w:val="center"/>
                </w:tcPr>
                <w:p w14:paraId="64983CD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检测结果 LeqdB（A）</w:t>
                  </w:r>
                </w:p>
              </w:tc>
            </w:tr>
            <w:tr w14:paraId="68CE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41" w:type="pct"/>
                  <w:vMerge w:val="continue"/>
                  <w:tcBorders>
                    <w:tl2br w:val="nil"/>
                    <w:tr2bl w:val="nil"/>
                  </w:tcBorders>
                  <w:vAlign w:val="center"/>
                </w:tcPr>
                <w:p w14:paraId="0665C6B2">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347" w:type="pct"/>
                  <w:vMerge w:val="continue"/>
                  <w:tcBorders>
                    <w:tl2br w:val="nil"/>
                    <w:tr2bl w:val="nil"/>
                  </w:tcBorders>
                  <w:vAlign w:val="center"/>
                </w:tcPr>
                <w:p w14:paraId="16053842">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2110" w:type="pct"/>
                  <w:tcBorders>
                    <w:tl2br w:val="nil"/>
                    <w:tr2bl w:val="nil"/>
                  </w:tcBorders>
                  <w:vAlign w:val="center"/>
                </w:tcPr>
                <w:p w14:paraId="7A470EB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2024-07-29</w:t>
                  </w:r>
                </w:p>
              </w:tc>
            </w:tr>
            <w:tr w14:paraId="5323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41" w:type="pct"/>
                  <w:vMerge w:val="continue"/>
                  <w:tcBorders>
                    <w:tl2br w:val="nil"/>
                    <w:tr2bl w:val="nil"/>
                  </w:tcBorders>
                  <w:vAlign w:val="center"/>
                </w:tcPr>
                <w:p w14:paraId="54B8949E">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1347" w:type="pct"/>
                  <w:vMerge w:val="continue"/>
                  <w:tcBorders>
                    <w:tl2br w:val="nil"/>
                    <w:tr2bl w:val="nil"/>
                  </w:tcBorders>
                  <w:vAlign w:val="center"/>
                </w:tcPr>
                <w:p w14:paraId="2F8816F7">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2110" w:type="pct"/>
                  <w:tcBorders>
                    <w:tl2br w:val="nil"/>
                    <w:tr2bl w:val="nil"/>
                  </w:tcBorders>
                  <w:vAlign w:val="center"/>
                </w:tcPr>
                <w:p w14:paraId="76AE6058">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昼间</w:t>
                  </w:r>
                </w:p>
              </w:tc>
            </w:tr>
            <w:tr w14:paraId="432AC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41" w:type="pct"/>
                  <w:tcBorders>
                    <w:tl2br w:val="nil"/>
                    <w:tr2bl w:val="nil"/>
                  </w:tcBorders>
                  <w:vAlign w:val="center"/>
                </w:tcPr>
                <w:p w14:paraId="748CA000">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N1 厂界东侧外 1m</w:t>
                  </w:r>
                </w:p>
              </w:tc>
              <w:tc>
                <w:tcPr>
                  <w:tcW w:w="1347" w:type="pct"/>
                  <w:vMerge w:val="restart"/>
                  <w:tcBorders>
                    <w:tl2br w:val="nil"/>
                    <w:tr2bl w:val="nil"/>
                  </w:tcBorders>
                  <w:vAlign w:val="center"/>
                </w:tcPr>
                <w:p w14:paraId="138D203F">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厂界环境噪声</w:t>
                  </w:r>
                </w:p>
              </w:tc>
              <w:tc>
                <w:tcPr>
                  <w:tcW w:w="2110" w:type="pct"/>
                  <w:tcBorders>
                    <w:tl2br w:val="nil"/>
                    <w:tr2bl w:val="nil"/>
                  </w:tcBorders>
                  <w:vAlign w:val="center"/>
                </w:tcPr>
                <w:p w14:paraId="3BBC7EC4">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58</w:t>
                  </w:r>
                </w:p>
              </w:tc>
            </w:tr>
            <w:tr w14:paraId="79E8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41" w:type="pct"/>
                  <w:tcBorders>
                    <w:tl2br w:val="nil"/>
                    <w:tr2bl w:val="nil"/>
                  </w:tcBorders>
                  <w:vAlign w:val="center"/>
                </w:tcPr>
                <w:p w14:paraId="1F682B3C">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N2 厂界南侧外 1m</w:t>
                  </w:r>
                </w:p>
              </w:tc>
              <w:tc>
                <w:tcPr>
                  <w:tcW w:w="1347" w:type="pct"/>
                  <w:vMerge w:val="continue"/>
                  <w:tcBorders>
                    <w:tl2br w:val="nil"/>
                    <w:tr2bl w:val="nil"/>
                  </w:tcBorders>
                  <w:vAlign w:val="center"/>
                </w:tcPr>
                <w:p w14:paraId="1E1F6188">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2110" w:type="pct"/>
                  <w:tcBorders>
                    <w:tl2br w:val="nil"/>
                    <w:tr2bl w:val="nil"/>
                  </w:tcBorders>
                  <w:vAlign w:val="center"/>
                </w:tcPr>
                <w:p w14:paraId="7065E936">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55</w:t>
                  </w:r>
                </w:p>
              </w:tc>
            </w:tr>
            <w:tr w14:paraId="0B80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41" w:type="pct"/>
                  <w:tcBorders>
                    <w:tl2br w:val="nil"/>
                    <w:tr2bl w:val="nil"/>
                  </w:tcBorders>
                  <w:vAlign w:val="center"/>
                </w:tcPr>
                <w:p w14:paraId="710C7ED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N3 厂界西侧外 1m</w:t>
                  </w:r>
                </w:p>
              </w:tc>
              <w:tc>
                <w:tcPr>
                  <w:tcW w:w="1347" w:type="pct"/>
                  <w:vMerge w:val="continue"/>
                  <w:tcBorders>
                    <w:tl2br w:val="nil"/>
                    <w:tr2bl w:val="nil"/>
                  </w:tcBorders>
                  <w:vAlign w:val="center"/>
                </w:tcPr>
                <w:p w14:paraId="586DD019">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2110" w:type="pct"/>
                  <w:tcBorders>
                    <w:tl2br w:val="nil"/>
                    <w:tr2bl w:val="nil"/>
                  </w:tcBorders>
                  <w:vAlign w:val="center"/>
                </w:tcPr>
                <w:p w14:paraId="205F91E5">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59</w:t>
                  </w:r>
                </w:p>
              </w:tc>
            </w:tr>
            <w:tr w14:paraId="259B5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41" w:type="pct"/>
                  <w:tcBorders>
                    <w:tl2br w:val="nil"/>
                    <w:tr2bl w:val="nil"/>
                  </w:tcBorders>
                  <w:vAlign w:val="center"/>
                </w:tcPr>
                <w:p w14:paraId="2FAD6BBA">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N4 厂界北侧外 1m</w:t>
                  </w:r>
                </w:p>
              </w:tc>
              <w:tc>
                <w:tcPr>
                  <w:tcW w:w="1347" w:type="pct"/>
                  <w:vMerge w:val="continue"/>
                  <w:tcBorders>
                    <w:tl2br w:val="nil"/>
                    <w:tr2bl w:val="nil"/>
                  </w:tcBorders>
                  <w:vAlign w:val="center"/>
                </w:tcPr>
                <w:p w14:paraId="37545728">
                  <w:pPr>
                    <w:bidi w:val="0"/>
                    <w:spacing w:line="240" w:lineRule="auto"/>
                    <w:ind w:left="0" w:leftChars="0" w:firstLine="0" w:firstLineChars="0"/>
                    <w:jc w:val="center"/>
                    <w:rPr>
                      <w:rFonts w:ascii="Times New Roman" w:hAnsi="Times New Roman" w:eastAsia="宋体" w:cs="Times New Roman"/>
                      <w:sz w:val="21"/>
                      <w:szCs w:val="21"/>
                      <w:u w:val="single"/>
                    </w:rPr>
                  </w:pPr>
                </w:p>
              </w:tc>
              <w:tc>
                <w:tcPr>
                  <w:tcW w:w="2110" w:type="pct"/>
                  <w:tcBorders>
                    <w:tl2br w:val="nil"/>
                    <w:tr2bl w:val="nil"/>
                  </w:tcBorders>
                  <w:vAlign w:val="center"/>
                </w:tcPr>
                <w:p w14:paraId="0DC3634B">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59</w:t>
                  </w:r>
                </w:p>
              </w:tc>
            </w:tr>
            <w:tr w14:paraId="343A9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889" w:type="pct"/>
                  <w:gridSpan w:val="2"/>
                  <w:tcBorders>
                    <w:tl2br w:val="nil"/>
                    <w:tr2bl w:val="nil"/>
                  </w:tcBorders>
                  <w:vAlign w:val="center"/>
                </w:tcPr>
                <w:p w14:paraId="56DDAF1E">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标准限值</w:t>
                  </w:r>
                </w:p>
              </w:tc>
              <w:tc>
                <w:tcPr>
                  <w:tcW w:w="2110" w:type="pct"/>
                  <w:tcBorders>
                    <w:tl2br w:val="nil"/>
                    <w:tr2bl w:val="nil"/>
                  </w:tcBorders>
                  <w:vAlign w:val="center"/>
                </w:tcPr>
                <w:p w14:paraId="0EB53044">
                  <w:pPr>
                    <w:bidi w:val="0"/>
                    <w:spacing w:line="240" w:lineRule="auto"/>
                    <w:ind w:left="0" w:leftChars="0" w:firstLine="0" w:firstLineChars="0"/>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60</w:t>
                  </w:r>
                </w:p>
              </w:tc>
            </w:tr>
          </w:tbl>
          <w:p w14:paraId="6A6A87E2">
            <w:pPr>
              <w:bidi w:val="0"/>
              <w:rPr>
                <w:rFonts w:hint="eastAsia"/>
                <w:u w:val="single"/>
                <w:lang w:val="en-US" w:eastAsia="zh-CN"/>
              </w:rPr>
            </w:pPr>
            <w:r>
              <w:rPr>
                <w:rFonts w:hint="eastAsia"/>
                <w:u w:val="single"/>
                <w:lang w:val="en-US" w:eastAsia="zh-CN"/>
              </w:rPr>
              <w:t>据上表监测结果可知，项目厂界噪声满足</w:t>
            </w:r>
            <w:r>
              <w:rPr>
                <w:u w:val="single"/>
              </w:rPr>
              <w:t>《工业企业厂界环境噪声排放标准》（GB 12348-2008）表1中的2类标准</w:t>
            </w:r>
            <w:r>
              <w:rPr>
                <w:rFonts w:hint="eastAsia"/>
                <w:u w:val="single"/>
                <w:lang w:eastAsia="zh-CN"/>
              </w:rPr>
              <w:t>。</w:t>
            </w:r>
          </w:p>
          <w:p w14:paraId="0DB842DA">
            <w:pPr>
              <w:bidi w:val="0"/>
              <w:rPr>
                <w:rFonts w:hint="eastAsia"/>
                <w:u w:val="single"/>
                <w:lang w:val="en-US" w:eastAsia="zh-CN"/>
              </w:rPr>
            </w:pPr>
            <w:r>
              <w:rPr>
                <w:rFonts w:hint="eastAsia"/>
                <w:u w:val="single"/>
                <w:lang w:val="en-US" w:eastAsia="zh-CN"/>
              </w:rPr>
              <w:t>（4）固体废物</w:t>
            </w:r>
          </w:p>
          <w:p w14:paraId="43B2E73E">
            <w:pPr>
              <w:bidi w:val="0"/>
              <w:rPr>
                <w:rFonts w:hint="eastAsia"/>
                <w:u w:val="single"/>
                <w:lang w:val="en-US" w:eastAsia="zh-CN"/>
              </w:rPr>
            </w:pPr>
            <w:r>
              <w:rPr>
                <w:rFonts w:hint="eastAsia"/>
                <w:u w:val="single"/>
                <w:lang w:val="en-US" w:eastAsia="zh-CN"/>
              </w:rPr>
              <w:t>本项目产生的生活垃圾，设置垃圾桶集中收集后交环卫部门处置，</w:t>
            </w:r>
            <w:r>
              <w:rPr>
                <w:color w:val="auto"/>
                <w:u w:val="single"/>
              </w:rPr>
              <w:t>废机油</w:t>
            </w:r>
            <w:r>
              <w:rPr>
                <w:rFonts w:hint="eastAsia"/>
                <w:color w:val="auto"/>
                <w:u w:val="single"/>
                <w:lang w:eastAsia="zh-CN"/>
              </w:rPr>
              <w:t>、</w:t>
            </w:r>
            <w:r>
              <w:rPr>
                <w:color w:val="auto"/>
                <w:u w:val="single"/>
              </w:rPr>
              <w:t>废机油桶</w:t>
            </w:r>
            <w:r>
              <w:rPr>
                <w:rFonts w:hint="eastAsia"/>
                <w:color w:val="auto"/>
                <w:u w:val="single"/>
                <w:lang w:eastAsia="zh-CN"/>
              </w:rPr>
              <w:t>、</w:t>
            </w:r>
            <w:r>
              <w:rPr>
                <w:rFonts w:hint="eastAsia"/>
                <w:color w:val="auto"/>
                <w:u w:val="single"/>
                <w:lang w:val="en-US" w:eastAsia="zh-CN"/>
              </w:rPr>
              <w:t>机油格、</w:t>
            </w:r>
            <w:r>
              <w:rPr>
                <w:color w:val="auto"/>
                <w:u w:val="single"/>
              </w:rPr>
              <w:t>废</w:t>
            </w:r>
            <w:r>
              <w:rPr>
                <w:rFonts w:hint="eastAsia"/>
                <w:color w:val="auto"/>
                <w:u w:val="single"/>
              </w:rPr>
              <w:t>油漆</w:t>
            </w:r>
            <w:r>
              <w:rPr>
                <w:color w:val="auto"/>
                <w:u w:val="single"/>
              </w:rPr>
              <w:t>桶</w:t>
            </w:r>
            <w:r>
              <w:rPr>
                <w:rFonts w:hint="eastAsia"/>
                <w:color w:val="auto"/>
                <w:u w:val="single"/>
              </w:rPr>
              <w:t>、废</w:t>
            </w:r>
            <w:r>
              <w:rPr>
                <w:rFonts w:hint="eastAsia"/>
                <w:color w:val="auto"/>
                <w:u w:val="single"/>
                <w:lang w:eastAsia="zh-CN"/>
              </w:rPr>
              <w:t>稀释剂</w:t>
            </w:r>
            <w:r>
              <w:rPr>
                <w:rFonts w:hint="eastAsia"/>
                <w:color w:val="auto"/>
                <w:u w:val="single"/>
              </w:rPr>
              <w:t>桶</w:t>
            </w:r>
            <w:r>
              <w:rPr>
                <w:rFonts w:hint="eastAsia"/>
                <w:color w:val="auto"/>
                <w:u w:val="single"/>
                <w:lang w:eastAsia="zh-CN"/>
              </w:rPr>
              <w:t>、</w:t>
            </w:r>
            <w:r>
              <w:rPr>
                <w:rFonts w:hint="eastAsia"/>
                <w:color w:val="auto"/>
                <w:u w:val="single"/>
                <w:lang w:val="en-US" w:eastAsia="zh-CN"/>
              </w:rPr>
              <w:t>废洗枪手废溶剂</w:t>
            </w:r>
            <w:r>
              <w:rPr>
                <w:rFonts w:hint="eastAsia"/>
                <w:color w:val="auto"/>
                <w:u w:val="single"/>
                <w:lang w:eastAsia="zh-CN"/>
              </w:rPr>
              <w:t>、漆渣、</w:t>
            </w:r>
            <w:r>
              <w:rPr>
                <w:rFonts w:hint="eastAsia"/>
                <w:color w:val="auto"/>
                <w:u w:val="single"/>
                <w:lang w:val="en-US" w:eastAsia="zh-CN"/>
              </w:rPr>
              <w:t>废</w:t>
            </w:r>
            <w:r>
              <w:rPr>
                <w:color w:val="auto"/>
                <w:u w:val="single"/>
              </w:rPr>
              <w:t>含油</w:t>
            </w:r>
            <w:r>
              <w:rPr>
                <w:rFonts w:hint="eastAsia"/>
                <w:color w:val="auto"/>
                <w:u w:val="single"/>
                <w:lang w:val="en-US" w:eastAsia="zh-CN"/>
              </w:rPr>
              <w:t>手套、</w:t>
            </w:r>
            <w:r>
              <w:rPr>
                <w:color w:val="auto"/>
                <w:u w:val="single"/>
              </w:rPr>
              <w:t>抹布</w:t>
            </w:r>
            <w:r>
              <w:rPr>
                <w:rFonts w:hint="eastAsia"/>
                <w:color w:val="auto"/>
                <w:u w:val="single"/>
                <w:lang w:eastAsia="zh-CN"/>
              </w:rPr>
              <w:t>、</w:t>
            </w:r>
            <w:r>
              <w:rPr>
                <w:rFonts w:hint="eastAsia"/>
                <w:color w:val="auto"/>
                <w:u w:val="single"/>
              </w:rPr>
              <w:t>废过滤棉、废活性炭</w:t>
            </w:r>
            <w:r>
              <w:rPr>
                <w:rFonts w:hint="eastAsia"/>
                <w:color w:val="auto"/>
                <w:u w:val="single"/>
                <w:lang w:eastAsia="zh-CN"/>
              </w:rPr>
              <w:t>、</w:t>
            </w:r>
            <w:r>
              <w:rPr>
                <w:color w:val="auto"/>
                <w:u w:val="single"/>
              </w:rPr>
              <w:t>废铅蓄电池</w:t>
            </w:r>
            <w:r>
              <w:rPr>
                <w:rFonts w:hint="eastAsia"/>
                <w:color w:val="auto"/>
                <w:u w:val="single"/>
                <w:lang w:eastAsia="zh-CN"/>
              </w:rPr>
              <w:t>、</w:t>
            </w:r>
            <w:r>
              <w:rPr>
                <w:rFonts w:hint="eastAsia"/>
                <w:color w:val="auto"/>
                <w:u w:val="single"/>
                <w:lang w:val="en-US" w:eastAsia="zh-CN"/>
              </w:rPr>
              <w:t>废紫外灯管、</w:t>
            </w:r>
            <w:r>
              <w:rPr>
                <w:rFonts w:hint="eastAsia"/>
                <w:u w:val="single"/>
                <w:lang w:val="en-US" w:eastAsia="zh-CN"/>
              </w:rPr>
              <w:t>汽车尾气净化废催化剂、汽车尾气净化废催化剂等危险废物存于危废贮存库内，定期委托有资质单位转运处置，废旧零件外售废品回收站。</w:t>
            </w:r>
          </w:p>
          <w:p w14:paraId="0915EADD">
            <w:pPr>
              <w:pStyle w:val="21"/>
              <w:rPr>
                <w:rFonts w:hint="default"/>
                <w:b/>
                <w:bCs/>
                <w:u w:val="single"/>
                <w:lang w:val="en-US" w:eastAsia="zh-CN"/>
              </w:rPr>
            </w:pPr>
            <w:r>
              <w:rPr>
                <w:rFonts w:hint="eastAsia"/>
                <w:b/>
                <w:bCs/>
                <w:u w:val="single"/>
                <w:lang w:val="en-US" w:eastAsia="zh-CN"/>
              </w:rPr>
              <w:t>“以新带老”措施分析：</w:t>
            </w:r>
          </w:p>
          <w:p w14:paraId="3EF42084">
            <w:pPr>
              <w:bidi w:val="0"/>
              <w:rPr>
                <w:rFonts w:hint="eastAsia"/>
                <w:u w:val="single"/>
                <w:lang w:val="en-US" w:eastAsia="zh-CN"/>
              </w:rPr>
            </w:pPr>
            <w:r>
              <w:rPr>
                <w:rFonts w:hint="eastAsia"/>
                <w:u w:val="single"/>
                <w:lang w:val="en-US" w:eastAsia="zh-CN"/>
              </w:rPr>
              <w:t>项目原登记表内容简单，对环保措施要求不高，现状调查期间危废间标识牌不够完善，喷漆废气排气筒高度不足15m，本次评价对现场的环保措施提出如下整改措施：</w:t>
            </w:r>
          </w:p>
          <w:p w14:paraId="35DAADBC">
            <w:pPr>
              <w:bidi w:val="0"/>
              <w:rPr>
                <w:rFonts w:hint="eastAsia"/>
                <w:u w:val="single"/>
                <w:lang w:val="en-US" w:eastAsia="zh-CN"/>
              </w:rPr>
            </w:pPr>
            <w:r>
              <w:rPr>
                <w:rFonts w:hint="eastAsia"/>
                <w:u w:val="single"/>
                <w:lang w:val="en-US" w:eastAsia="zh-CN"/>
              </w:rPr>
              <w:t>（1）完善危废暂存间的标识标牌，不同类型危险废物做到分类暂存。</w:t>
            </w:r>
          </w:p>
          <w:p w14:paraId="18A4949F">
            <w:pPr>
              <w:bidi w:val="0"/>
              <w:rPr>
                <w:rFonts w:hint="eastAsia"/>
                <w:u w:val="single"/>
                <w:lang w:val="en-US" w:eastAsia="zh-CN"/>
              </w:rPr>
            </w:pPr>
            <w:r>
              <w:rPr>
                <w:rFonts w:hint="eastAsia"/>
                <w:u w:val="single"/>
                <w:lang w:val="en-US" w:eastAsia="zh-CN"/>
              </w:rPr>
              <w:t>（2）完善喷漆废气废气处理措施及排气筒，确保排气筒高度不低于15m。</w:t>
            </w:r>
          </w:p>
          <w:p w14:paraId="354A585C">
            <w:pPr>
              <w:bidi w:val="0"/>
              <w:rPr>
                <w:rFonts w:hint="default"/>
                <w:u w:val="single"/>
                <w:lang w:val="en-US" w:eastAsia="zh-CN"/>
              </w:rPr>
            </w:pPr>
            <w:r>
              <w:rPr>
                <w:rFonts w:hint="eastAsia"/>
                <w:u w:val="single"/>
                <w:lang w:val="en-US" w:eastAsia="zh-CN"/>
              </w:rPr>
              <w:t>（3）焊接工艺废气无处置设施，新增一台移动焊烟净化器，收集焊接烟气处理后排放。</w:t>
            </w:r>
          </w:p>
          <w:p w14:paraId="5CC6275E">
            <w:pPr>
              <w:bidi w:val="0"/>
              <w:rPr>
                <w:rFonts w:hint="default"/>
                <w:lang w:val="en-US" w:eastAsia="zh-CN"/>
              </w:rPr>
            </w:pPr>
          </w:p>
          <w:p w14:paraId="546BBC15">
            <w:pPr>
              <w:bidi w:val="0"/>
              <w:rPr>
                <w:rFonts w:hint="eastAsia"/>
              </w:rPr>
            </w:pPr>
          </w:p>
          <w:p w14:paraId="0547A605">
            <w:pPr>
              <w:bidi w:val="0"/>
              <w:rPr>
                <w:rFonts w:hint="eastAsia"/>
              </w:rPr>
            </w:pPr>
          </w:p>
          <w:p w14:paraId="0B0D662A">
            <w:pPr>
              <w:bidi w:val="0"/>
            </w:pPr>
          </w:p>
          <w:p w14:paraId="73D89464">
            <w:pPr>
              <w:adjustRightInd w:val="0"/>
              <w:snapToGrid w:val="0"/>
              <w:ind w:firstLine="480"/>
              <w:rPr>
                <w:rFonts w:ascii="宋体" w:hAnsi="宋体"/>
                <w:bCs/>
                <w:color w:val="000000" w:themeColor="text1"/>
                <w:szCs w:val="21"/>
                <w14:textFill>
                  <w14:solidFill>
                    <w14:schemeClr w14:val="tx1"/>
                  </w14:solidFill>
                </w14:textFill>
              </w:rPr>
            </w:pPr>
          </w:p>
        </w:tc>
      </w:tr>
    </w:tbl>
    <w:p w14:paraId="7216423C">
      <w:pPr>
        <w:pStyle w:val="22"/>
        <w:jc w:val="center"/>
        <w:rPr>
          <w:rFonts w:ascii="黑体" w:hAnsi="黑体"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51C017F">
      <w:pPr>
        <w:pStyle w:val="22"/>
        <w:ind w:firstLine="600"/>
        <w:jc w:val="center"/>
        <w:outlineLvl w:val="0"/>
        <w:rPr>
          <w:rFonts w:ascii="黑体" w:hAnsi="黑体" w:eastAsia="黑体"/>
          <w:snapToGrid w:val="0"/>
          <w:color w:val="000000" w:themeColor="text1"/>
          <w:sz w:val="30"/>
          <w:szCs w:val="30"/>
          <w14:textFill>
            <w14:solidFill>
              <w14:schemeClr w14:val="tx1"/>
            </w14:solidFill>
          </w14:textFill>
        </w:rPr>
      </w:pPr>
      <w:bookmarkStart w:id="14" w:name="_Toc13081"/>
      <w:bookmarkStart w:id="15" w:name="_Toc3629"/>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bookmarkEnd w:id="14"/>
      <w:bookmarkEnd w:id="15"/>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5"/>
      </w:tblGrid>
      <w:tr w14:paraId="7EB0C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51" w:type="dxa"/>
            <w:noWrap w:val="0"/>
            <w:vAlign w:val="center"/>
          </w:tcPr>
          <w:p w14:paraId="4EB4F95A">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区域</w:t>
            </w:r>
          </w:p>
          <w:p w14:paraId="305A6E08">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环境</w:t>
            </w:r>
          </w:p>
          <w:p w14:paraId="16B522D9">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质量</w:t>
            </w:r>
          </w:p>
          <w:p w14:paraId="583F4CCD">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c>
          <w:tcPr>
            <w:tcW w:w="8610" w:type="dxa"/>
            <w:noWrap w:val="0"/>
            <w:vAlign w:val="center"/>
          </w:tcPr>
          <w:p w14:paraId="66A571F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1、环境空气质量现状</w:t>
            </w:r>
          </w:p>
          <w:p w14:paraId="2D3C566A">
            <w:pPr>
              <w:ind w:firstLine="48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）常规监测数据</w:t>
            </w:r>
          </w:p>
          <w:p w14:paraId="7C26B0C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排放国家、地方环境空气质量标准中有标准限值要求的特征污染物时，引用建设项目周边5千米范围内近3年的现有监测数据，无相关数据的选择当季主导风向下风向1个点位补充不少于3天的监测数据。本次环评大气常规污染物引用永州市生态环境局公布的环境质量常规监测数据，挥发有机物为本项目特征污染物，该污染物无国家环境空气质量标准，湖南省无挥发有机物地方环境质量标准，本次不再监测。</w:t>
            </w:r>
          </w:p>
          <w:p w14:paraId="30D8B267">
            <w:pPr>
              <w:ind w:firstLine="480"/>
              <w:rPr>
                <w:rFonts w:hint="eastAsia"/>
                <w:color w:val="000000" w:themeColor="text1"/>
                <w14:textFill>
                  <w14:solidFill>
                    <w14:schemeClr w14:val="tx1"/>
                  </w14:solidFill>
                </w14:textFill>
              </w:rPr>
            </w:pPr>
            <w:r>
              <w:rPr>
                <w:rFonts w:hint="default" w:ascii="Times New Roman" w:hAnsi="Times New Roman" w:eastAsia="宋体" w:cs="Times New Roman"/>
                <w:sz w:val="24"/>
                <w:szCs w:val="24"/>
              </w:rPr>
              <w:t>本评价引用永州市生态环境局发布的2023年连续一年的大气环境质量状况监测数据（《关于2023年12月全市环境质量状况通报》中附件4《2023年1-12月全市城市环境空气质量污染物浓度情况》），区域环境空气质量现状评价见下表</w:t>
            </w:r>
            <w:r>
              <w:rPr>
                <w:rFonts w:hint="eastAsia"/>
                <w:color w:val="000000" w:themeColor="text1"/>
                <w14:textFill>
                  <w14:solidFill>
                    <w14:schemeClr w14:val="tx1"/>
                  </w14:solidFill>
                </w14:textFill>
              </w:rPr>
              <w:t>。</w:t>
            </w:r>
          </w:p>
          <w:p w14:paraId="2EA1CF13">
            <w:pPr>
              <w:pStyle w:val="97"/>
              <w:spacing w:line="240" w:lineRule="auto"/>
              <w:rPr>
                <w:rFonts w:ascii="Times New Roman" w:hAnsi="宋体" w:eastAsia="宋体" w:cs="Times New Roman"/>
                <w:b/>
                <w:bCs/>
                <w:color w:val="000000" w:themeColor="text1"/>
                <w:sz w:val="21"/>
                <w:szCs w:val="21"/>
                <w14:textFill>
                  <w14:solidFill>
                    <w14:schemeClr w14:val="tx1"/>
                  </w14:solidFill>
                </w14:textFill>
              </w:rPr>
            </w:pPr>
            <w:r>
              <w:rPr>
                <w:rFonts w:ascii="Times New Roman" w:hAnsi="宋体" w:eastAsia="宋体" w:cs="Times New Roman"/>
                <w:b/>
                <w:bCs/>
                <w:color w:val="000000" w:themeColor="text1"/>
                <w:sz w:val="21"/>
                <w:szCs w:val="21"/>
                <w14:textFill>
                  <w14:solidFill>
                    <w14:schemeClr w14:val="tx1"/>
                  </w14:solidFill>
                </w14:textFill>
              </w:rPr>
              <w:t>表</w:t>
            </w:r>
            <w:r>
              <w:rPr>
                <w:rFonts w:hint="eastAsia" w:ascii="Times New Roman" w:hAnsi="宋体" w:eastAsia="宋体" w:cs="Times New Roman"/>
                <w:b/>
                <w:bCs/>
                <w:color w:val="000000" w:themeColor="text1"/>
                <w:sz w:val="21"/>
                <w:szCs w:val="21"/>
                <w14:textFill>
                  <w14:solidFill>
                    <w14:schemeClr w14:val="tx1"/>
                  </w14:solidFill>
                </w14:textFill>
              </w:rPr>
              <w:t>3</w:t>
            </w:r>
            <w:r>
              <w:rPr>
                <w:rFonts w:ascii="Times New Roman" w:hAnsi="宋体" w:eastAsia="宋体" w:cs="Times New Roman"/>
                <w:b/>
                <w:bCs/>
                <w:color w:val="000000" w:themeColor="text1"/>
                <w:sz w:val="21"/>
                <w:szCs w:val="21"/>
                <w14:textFill>
                  <w14:solidFill>
                    <w14:schemeClr w14:val="tx1"/>
                  </w14:solidFill>
                </w14:textFill>
              </w:rPr>
              <w:t>-1</w:t>
            </w:r>
            <w:r>
              <w:rPr>
                <w:rFonts w:hint="eastAsia" w:ascii="Times New Roman" w:hAnsi="宋体" w:eastAsia="宋体" w:cs="Times New Roman"/>
                <w:b/>
                <w:bCs/>
                <w:color w:val="000000" w:themeColor="text1"/>
                <w:sz w:val="21"/>
                <w:szCs w:val="21"/>
                <w14:textFill>
                  <w14:solidFill>
                    <w14:schemeClr w14:val="tx1"/>
                  </w14:solidFill>
                </w14:textFill>
              </w:rPr>
              <w:t xml:space="preserve">  2023年</w:t>
            </w:r>
            <w:r>
              <w:rPr>
                <w:rFonts w:ascii="Times New Roman" w:hAnsi="宋体" w:eastAsia="宋体" w:cs="Times New Roman"/>
                <w:b/>
                <w:bCs/>
                <w:color w:val="000000" w:themeColor="text1"/>
                <w:sz w:val="21"/>
                <w:szCs w:val="21"/>
                <w14:textFill>
                  <w14:solidFill>
                    <w14:schemeClr w14:val="tx1"/>
                  </w14:solidFill>
                </w14:textFill>
              </w:rPr>
              <w:t>永州市</w:t>
            </w:r>
            <w:r>
              <w:rPr>
                <w:rFonts w:hint="eastAsia" w:ascii="Times New Roman" w:hAnsi="宋体" w:eastAsia="宋体" w:cs="Times New Roman"/>
                <w:b/>
                <w:bCs/>
                <w:color w:val="000000" w:themeColor="text1"/>
                <w:sz w:val="21"/>
                <w:szCs w:val="21"/>
                <w:lang w:val="en-US" w:eastAsia="zh-CN"/>
                <w14:textFill>
                  <w14:solidFill>
                    <w14:schemeClr w14:val="tx1"/>
                  </w14:solidFill>
                </w14:textFill>
              </w:rPr>
              <w:t>零陵区</w:t>
            </w:r>
            <w:r>
              <w:rPr>
                <w:rFonts w:ascii="Times New Roman" w:hAnsi="宋体" w:eastAsia="宋体" w:cs="Times New Roman"/>
                <w:b/>
                <w:bCs/>
                <w:color w:val="000000" w:themeColor="text1"/>
                <w:sz w:val="21"/>
                <w:szCs w:val="21"/>
                <w14:textFill>
                  <w14:solidFill>
                    <w14:schemeClr w14:val="tx1"/>
                  </w14:solidFill>
                </w14:textFill>
              </w:rPr>
              <w:t>环境空气质量状况</w:t>
            </w:r>
          </w:p>
          <w:tbl>
            <w:tblPr>
              <w:tblStyle w:val="26"/>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2"/>
              <w:gridCol w:w="2015"/>
              <w:gridCol w:w="1343"/>
              <w:gridCol w:w="1324"/>
              <w:gridCol w:w="1383"/>
              <w:gridCol w:w="1124"/>
            </w:tblGrid>
            <w:tr w14:paraId="33113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6" w:type="pct"/>
                  <w:noWrap w:val="0"/>
                  <w:vAlign w:val="center"/>
                </w:tcPr>
                <w:p w14:paraId="47E91118">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监测因子</w:t>
                  </w:r>
                </w:p>
              </w:tc>
              <w:tc>
                <w:tcPr>
                  <w:tcW w:w="1204" w:type="pct"/>
                  <w:noWrap w:val="0"/>
                  <w:vAlign w:val="center"/>
                </w:tcPr>
                <w:p w14:paraId="19328B6E">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年评价指标</w:t>
                  </w:r>
                </w:p>
              </w:tc>
              <w:tc>
                <w:tcPr>
                  <w:tcW w:w="1342" w:type="dxa"/>
                  <w:noWrap w:val="0"/>
                  <w:vAlign w:val="center"/>
                </w:tcPr>
                <w:p w14:paraId="792A1D67">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现状浓度/</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ug/m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1323" w:type="dxa"/>
                  <w:noWrap w:val="0"/>
                  <w:vAlign w:val="center"/>
                </w:tcPr>
                <w:p w14:paraId="3A44D01E">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标准值/</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ug/m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1382" w:type="dxa"/>
                  <w:noWrap w:val="0"/>
                  <w:vAlign w:val="center"/>
                </w:tcPr>
                <w:p w14:paraId="029846E6">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占标率/%</w:t>
                  </w:r>
                </w:p>
              </w:tc>
              <w:tc>
                <w:tcPr>
                  <w:tcW w:w="1124" w:type="dxa"/>
                  <w:noWrap w:val="0"/>
                  <w:vAlign w:val="center"/>
                </w:tcPr>
                <w:p w14:paraId="1A1115AE">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达标情况</w:t>
                  </w:r>
                </w:p>
              </w:tc>
            </w:tr>
            <w:tr w14:paraId="5AEBB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6" w:type="pct"/>
                  <w:noWrap w:val="0"/>
                  <w:vAlign w:val="center"/>
                </w:tcPr>
                <w:p w14:paraId="3440EC8C">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PM</w:t>
                  </w:r>
                  <w:r>
                    <w:rPr>
                      <w:rFonts w:hint="eastAsia" w:ascii="Times New Roman" w:hAnsi="Times New Roman" w:eastAsia="宋体" w:cs="Times New Roman"/>
                      <w:color w:val="000000" w:themeColor="text1"/>
                      <w:sz w:val="21"/>
                      <w:szCs w:val="21"/>
                      <w:vertAlign w:val="subscript"/>
                      <w14:textFill>
                        <w14:solidFill>
                          <w14:schemeClr w14:val="tx1"/>
                        </w14:solidFill>
                      </w14:textFill>
                    </w:rPr>
                    <w:t>2.5</w:t>
                  </w:r>
                </w:p>
              </w:tc>
              <w:tc>
                <w:tcPr>
                  <w:tcW w:w="1204" w:type="pct"/>
                  <w:vMerge w:val="restart"/>
                  <w:noWrap w:val="0"/>
                  <w:vAlign w:val="center"/>
                </w:tcPr>
                <w:p w14:paraId="53495B2B">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年平均质量浓度</w:t>
                  </w:r>
                </w:p>
              </w:tc>
              <w:tc>
                <w:tcPr>
                  <w:tcW w:w="1342" w:type="dxa"/>
                  <w:noWrap w:val="0"/>
                  <w:vAlign w:val="center"/>
                </w:tcPr>
                <w:p w14:paraId="3D3C52CF">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36</w:t>
                  </w:r>
                </w:p>
              </w:tc>
              <w:tc>
                <w:tcPr>
                  <w:tcW w:w="1323" w:type="dxa"/>
                  <w:noWrap w:val="0"/>
                  <w:vAlign w:val="center"/>
                </w:tcPr>
                <w:p w14:paraId="53FF86F7">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35</w:t>
                  </w:r>
                </w:p>
              </w:tc>
              <w:tc>
                <w:tcPr>
                  <w:tcW w:w="1382" w:type="dxa"/>
                  <w:noWrap w:val="0"/>
                  <w:vAlign w:val="center"/>
                </w:tcPr>
                <w:p w14:paraId="7DD63EAF">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102.9</w:t>
                  </w:r>
                </w:p>
              </w:tc>
              <w:tc>
                <w:tcPr>
                  <w:tcW w:w="1124" w:type="dxa"/>
                  <w:noWrap w:val="0"/>
                  <w:vAlign w:val="center"/>
                </w:tcPr>
                <w:p w14:paraId="239B6CD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不达标</w:t>
                  </w:r>
                </w:p>
              </w:tc>
            </w:tr>
            <w:tr w14:paraId="24F94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6" w:type="pct"/>
                  <w:noWrap w:val="0"/>
                  <w:vAlign w:val="center"/>
                </w:tcPr>
                <w:p w14:paraId="369CCA04">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PM</w:t>
                  </w:r>
                  <w:r>
                    <w:rPr>
                      <w:rFonts w:hint="eastAsia" w:ascii="Times New Roman" w:hAnsi="Times New Roman" w:eastAsia="宋体" w:cs="Times New Roman"/>
                      <w:color w:val="000000" w:themeColor="text1"/>
                      <w:sz w:val="21"/>
                      <w:szCs w:val="21"/>
                      <w:vertAlign w:val="subscript"/>
                      <w14:textFill>
                        <w14:solidFill>
                          <w14:schemeClr w14:val="tx1"/>
                        </w14:solidFill>
                      </w14:textFill>
                    </w:rPr>
                    <w:t>10</w:t>
                  </w:r>
                </w:p>
              </w:tc>
              <w:tc>
                <w:tcPr>
                  <w:tcW w:w="1204" w:type="pct"/>
                  <w:vMerge w:val="continue"/>
                  <w:noWrap w:val="0"/>
                  <w:vAlign w:val="center"/>
                </w:tcPr>
                <w:p w14:paraId="23BED69D">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p>
              </w:tc>
              <w:tc>
                <w:tcPr>
                  <w:tcW w:w="1342" w:type="dxa"/>
                  <w:noWrap w:val="0"/>
                  <w:vAlign w:val="center"/>
                </w:tcPr>
                <w:p w14:paraId="06B68B47">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50</w:t>
                  </w:r>
                </w:p>
              </w:tc>
              <w:tc>
                <w:tcPr>
                  <w:tcW w:w="1323" w:type="dxa"/>
                  <w:noWrap w:val="0"/>
                  <w:vAlign w:val="center"/>
                </w:tcPr>
                <w:p w14:paraId="3BA4CE11">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w:t>
                  </w:r>
                </w:p>
              </w:tc>
              <w:tc>
                <w:tcPr>
                  <w:tcW w:w="1382" w:type="dxa"/>
                  <w:noWrap w:val="0"/>
                  <w:vAlign w:val="center"/>
                </w:tcPr>
                <w:p w14:paraId="68FCA244">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71.4</w:t>
                  </w:r>
                </w:p>
              </w:tc>
              <w:tc>
                <w:tcPr>
                  <w:tcW w:w="1124" w:type="dxa"/>
                  <w:noWrap w:val="0"/>
                  <w:vAlign w:val="center"/>
                </w:tcPr>
                <w:p w14:paraId="725BCDCC">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r w14:paraId="62FE4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6" w:type="pct"/>
                  <w:noWrap w:val="0"/>
                  <w:vAlign w:val="center"/>
                </w:tcPr>
                <w:p w14:paraId="3D0ADF40">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SO</w:t>
                  </w:r>
                  <w:r>
                    <w:rPr>
                      <w:rFonts w:hint="eastAsia" w:ascii="Times New Roman" w:hAnsi="Times New Roman" w:eastAsia="宋体" w:cs="Times New Roman"/>
                      <w:color w:val="000000" w:themeColor="text1"/>
                      <w:sz w:val="21"/>
                      <w:szCs w:val="21"/>
                      <w:vertAlign w:val="subscript"/>
                      <w14:textFill>
                        <w14:solidFill>
                          <w14:schemeClr w14:val="tx1"/>
                        </w14:solidFill>
                      </w14:textFill>
                    </w:rPr>
                    <w:t>2</w:t>
                  </w:r>
                </w:p>
              </w:tc>
              <w:tc>
                <w:tcPr>
                  <w:tcW w:w="1204" w:type="pct"/>
                  <w:vMerge w:val="continue"/>
                  <w:noWrap w:val="0"/>
                  <w:vAlign w:val="center"/>
                </w:tcPr>
                <w:p w14:paraId="3F23D29B">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p>
              </w:tc>
              <w:tc>
                <w:tcPr>
                  <w:tcW w:w="1342" w:type="dxa"/>
                  <w:noWrap w:val="0"/>
                  <w:vAlign w:val="center"/>
                </w:tcPr>
                <w:p w14:paraId="7F844930">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1323" w:type="dxa"/>
                  <w:noWrap w:val="0"/>
                  <w:vAlign w:val="center"/>
                </w:tcPr>
                <w:p w14:paraId="3BF4A9C6">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60</w:t>
                  </w:r>
                </w:p>
              </w:tc>
              <w:tc>
                <w:tcPr>
                  <w:tcW w:w="1382" w:type="dxa"/>
                  <w:noWrap w:val="0"/>
                  <w:vAlign w:val="center"/>
                </w:tcPr>
                <w:p w14:paraId="3F7336F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15</w:t>
                  </w:r>
                </w:p>
              </w:tc>
              <w:tc>
                <w:tcPr>
                  <w:tcW w:w="1124" w:type="dxa"/>
                  <w:noWrap w:val="0"/>
                  <w:vAlign w:val="center"/>
                </w:tcPr>
                <w:p w14:paraId="4081B28B">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r w14:paraId="2B262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6" w:type="pct"/>
                  <w:noWrap w:val="0"/>
                  <w:vAlign w:val="center"/>
                </w:tcPr>
                <w:p w14:paraId="486EC5B0">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NO</w:t>
                  </w:r>
                  <w:r>
                    <w:rPr>
                      <w:rFonts w:hint="eastAsia" w:ascii="Times New Roman" w:hAnsi="Times New Roman" w:eastAsia="宋体" w:cs="Times New Roman"/>
                      <w:color w:val="000000" w:themeColor="text1"/>
                      <w:sz w:val="21"/>
                      <w:szCs w:val="21"/>
                      <w:vertAlign w:val="subscript"/>
                      <w14:textFill>
                        <w14:solidFill>
                          <w14:schemeClr w14:val="tx1"/>
                        </w14:solidFill>
                      </w14:textFill>
                    </w:rPr>
                    <w:t>2</w:t>
                  </w:r>
                </w:p>
              </w:tc>
              <w:tc>
                <w:tcPr>
                  <w:tcW w:w="1204" w:type="pct"/>
                  <w:vMerge w:val="continue"/>
                  <w:noWrap w:val="0"/>
                  <w:vAlign w:val="center"/>
                </w:tcPr>
                <w:p w14:paraId="1038BA4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p>
              </w:tc>
              <w:tc>
                <w:tcPr>
                  <w:tcW w:w="1342" w:type="dxa"/>
                  <w:noWrap w:val="0"/>
                  <w:vAlign w:val="center"/>
                </w:tcPr>
                <w:p w14:paraId="595872A0">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16</w:t>
                  </w:r>
                </w:p>
              </w:tc>
              <w:tc>
                <w:tcPr>
                  <w:tcW w:w="1323" w:type="dxa"/>
                  <w:noWrap w:val="0"/>
                  <w:vAlign w:val="center"/>
                </w:tcPr>
                <w:p w14:paraId="7AFA5E2D">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40</w:t>
                  </w:r>
                </w:p>
              </w:tc>
              <w:tc>
                <w:tcPr>
                  <w:tcW w:w="1382" w:type="dxa"/>
                  <w:noWrap w:val="0"/>
                  <w:vAlign w:val="center"/>
                </w:tcPr>
                <w:p w14:paraId="2B5FD48C">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40</w:t>
                  </w:r>
                </w:p>
              </w:tc>
              <w:tc>
                <w:tcPr>
                  <w:tcW w:w="1124" w:type="dxa"/>
                  <w:noWrap w:val="0"/>
                  <w:vAlign w:val="center"/>
                </w:tcPr>
                <w:p w14:paraId="3E70C2E6">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r w14:paraId="69AA3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6" w:type="pct"/>
                  <w:noWrap w:val="0"/>
                  <w:vAlign w:val="center"/>
                </w:tcPr>
                <w:p w14:paraId="51B8F6BC">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O</w:t>
                  </w:r>
                  <w:r>
                    <w:rPr>
                      <w:rFonts w:hint="eastAsia" w:ascii="Times New Roman" w:hAnsi="Times New Roman" w:eastAsia="宋体" w:cs="Times New Roman"/>
                      <w:color w:val="000000" w:themeColor="text1"/>
                      <w:sz w:val="21"/>
                      <w:szCs w:val="21"/>
                      <w:vertAlign w:val="subscript"/>
                      <w14:textFill>
                        <w14:solidFill>
                          <w14:schemeClr w14:val="tx1"/>
                        </w14:solidFill>
                      </w14:textFill>
                    </w:rPr>
                    <w:t>3</w:t>
                  </w:r>
                </w:p>
              </w:tc>
              <w:tc>
                <w:tcPr>
                  <w:tcW w:w="1204" w:type="pct"/>
                  <w:noWrap w:val="0"/>
                  <w:vAlign w:val="center"/>
                </w:tcPr>
                <w:p w14:paraId="56A7C746">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百分位数8h平均质量浓度</w:t>
                  </w:r>
                </w:p>
              </w:tc>
              <w:tc>
                <w:tcPr>
                  <w:tcW w:w="1342" w:type="dxa"/>
                  <w:noWrap w:val="0"/>
                  <w:vAlign w:val="center"/>
                </w:tcPr>
                <w:p w14:paraId="5BC8541F">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1000</w:t>
                  </w:r>
                </w:p>
              </w:tc>
              <w:tc>
                <w:tcPr>
                  <w:tcW w:w="1323" w:type="dxa"/>
                  <w:noWrap w:val="0"/>
                  <w:vAlign w:val="center"/>
                </w:tcPr>
                <w:p w14:paraId="2925D131">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4000</w:t>
                  </w:r>
                </w:p>
              </w:tc>
              <w:tc>
                <w:tcPr>
                  <w:tcW w:w="1382" w:type="dxa"/>
                  <w:noWrap w:val="0"/>
                  <w:vAlign w:val="center"/>
                </w:tcPr>
                <w:p w14:paraId="1EFA2821">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25</w:t>
                  </w:r>
                </w:p>
              </w:tc>
              <w:tc>
                <w:tcPr>
                  <w:tcW w:w="1124" w:type="dxa"/>
                  <w:noWrap w:val="0"/>
                  <w:vAlign w:val="center"/>
                </w:tcPr>
                <w:p w14:paraId="271F5378">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r w14:paraId="31AC8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6" w:type="pct"/>
                  <w:noWrap w:val="0"/>
                  <w:vAlign w:val="center"/>
                </w:tcPr>
                <w:p w14:paraId="645CC4BB">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CO</w:t>
                  </w:r>
                </w:p>
              </w:tc>
              <w:tc>
                <w:tcPr>
                  <w:tcW w:w="1204" w:type="pct"/>
                  <w:noWrap w:val="0"/>
                  <w:vAlign w:val="center"/>
                </w:tcPr>
                <w:p w14:paraId="1163D5C7">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百分位数日平均质量浓度</w:t>
                  </w:r>
                </w:p>
              </w:tc>
              <w:tc>
                <w:tcPr>
                  <w:tcW w:w="1342" w:type="dxa"/>
                  <w:noWrap w:val="0"/>
                  <w:vAlign w:val="center"/>
                </w:tcPr>
                <w:p w14:paraId="036498CB">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127</w:t>
                  </w:r>
                </w:p>
              </w:tc>
              <w:tc>
                <w:tcPr>
                  <w:tcW w:w="1323" w:type="dxa"/>
                  <w:noWrap w:val="0"/>
                  <w:vAlign w:val="center"/>
                </w:tcPr>
                <w:p w14:paraId="05608FF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160</w:t>
                  </w:r>
                </w:p>
              </w:tc>
              <w:tc>
                <w:tcPr>
                  <w:tcW w:w="1382" w:type="dxa"/>
                  <w:noWrap w:val="0"/>
                  <w:vAlign w:val="center"/>
                </w:tcPr>
                <w:p w14:paraId="6E226D6A">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79.4</w:t>
                  </w:r>
                </w:p>
              </w:tc>
              <w:tc>
                <w:tcPr>
                  <w:tcW w:w="1124" w:type="dxa"/>
                  <w:noWrap w:val="0"/>
                  <w:vAlign w:val="center"/>
                </w:tcPr>
                <w:p w14:paraId="1E51F43E">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bl>
          <w:p w14:paraId="5B9C3338">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由上表可知，永州市环境空气中SO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、NO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、CO、O</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、PM</w:t>
            </w:r>
            <w:r>
              <w:rPr>
                <w:rFonts w:hint="eastAsia"/>
                <w:color w:val="000000" w:themeColor="text1"/>
                <w:vertAlign w:val="subscript"/>
                <w:lang w:val="en-US" w:eastAsia="zh-CN"/>
                <w14:textFill>
                  <w14:solidFill>
                    <w14:schemeClr w14:val="tx1"/>
                  </w14:solidFill>
                </w14:textFill>
              </w:rPr>
              <w:t>10</w:t>
            </w:r>
            <w:r>
              <w:rPr>
                <w:rFonts w:hint="eastAsia"/>
                <w:color w:val="000000" w:themeColor="text1"/>
                <w14:textFill>
                  <w14:solidFill>
                    <w14:schemeClr w14:val="tx1"/>
                  </w14:solidFill>
                </w14:textFill>
              </w:rPr>
              <w:t>达到《环境空气质量标准》（GB3095-2012）中的二级标准，</w:t>
            </w:r>
            <w:r>
              <w:rPr>
                <w:rFonts w:hint="eastAsia"/>
                <w:color w:val="000000" w:themeColor="text1"/>
                <w:lang w:val="en-US" w:eastAsia="zh-CN"/>
                <w14:textFill>
                  <w14:solidFill>
                    <w14:schemeClr w14:val="tx1"/>
                  </w14:solidFill>
                </w14:textFill>
              </w:rPr>
              <w:t>其中</w:t>
            </w:r>
            <w:r>
              <w:rPr>
                <w:rFonts w:hint="eastAsia"/>
                <w:color w:val="000000" w:themeColor="text1"/>
                <w14:textFill>
                  <w14:solidFill>
                    <w14:schemeClr w14:val="tx1"/>
                  </w14:solidFill>
                </w14:textFill>
              </w:rPr>
              <w:t>PM</w:t>
            </w:r>
            <w:r>
              <w:rPr>
                <w:rFonts w:hint="eastAsia"/>
                <w:color w:val="000000" w:themeColor="text1"/>
                <w:vertAlign w:val="subscript"/>
                <w:lang w:val="en-US" w:eastAsia="zh-CN"/>
                <w14:textFill>
                  <w14:solidFill>
                    <w14:schemeClr w14:val="tx1"/>
                  </w14:solidFill>
                </w14:textFill>
              </w:rPr>
              <w:t>2.5</w:t>
            </w:r>
            <w:r>
              <w:rPr>
                <w:rFonts w:hint="eastAsia"/>
                <w:color w:val="000000" w:themeColor="text1"/>
                <w:lang w:val="en-US" w:eastAsia="zh-CN"/>
                <w14:textFill>
                  <w14:solidFill>
                    <w14:schemeClr w14:val="tx1"/>
                  </w14:solidFill>
                </w14:textFill>
              </w:rPr>
              <w:t>年均质量浓度超过了二级标准，</w:t>
            </w:r>
            <w:r>
              <w:rPr>
                <w:rFonts w:hint="eastAsia" w:ascii="Times New Roman" w:hAnsi="Times New Roman" w:eastAsia="宋体" w:cs="Times New Roman"/>
                <w:color w:val="000000" w:themeColor="text1"/>
                <w14:textFill>
                  <w14:solidFill>
                    <w14:schemeClr w14:val="tx1"/>
                  </w14:solidFill>
                </w14:textFill>
              </w:rPr>
              <w:t>为</w:t>
            </w:r>
            <w:r>
              <w:rPr>
                <w:rFonts w:hint="eastAsia" w:ascii="Times New Roman" w:hAnsi="Times New Roman" w:eastAsia="宋体" w:cs="Times New Roman"/>
                <w:color w:val="000000" w:themeColor="text1"/>
                <w:lang w:val="en-US" w:eastAsia="zh-CN"/>
                <w14:textFill>
                  <w14:solidFill>
                    <w14:schemeClr w14:val="tx1"/>
                  </w14:solidFill>
                </w14:textFill>
              </w:rPr>
              <w:t>不</w:t>
            </w:r>
            <w:r>
              <w:rPr>
                <w:rFonts w:hint="eastAsia" w:ascii="Times New Roman" w:hAnsi="Times New Roman" w:eastAsia="宋体" w:cs="Times New Roman"/>
                <w:color w:val="000000" w:themeColor="text1"/>
                <w14:textFill>
                  <w14:solidFill>
                    <w14:schemeClr w14:val="tx1"/>
                  </w14:solidFill>
                </w14:textFill>
              </w:rPr>
              <w:t>达标区。</w:t>
            </w:r>
          </w:p>
          <w:p w14:paraId="5BE84BEE">
            <w:pPr>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超标原因分析：1</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重污染天气应急减排不到位；</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烟花爆竹燃放管控不到位。应对措施：强化重污染天气防范和应对，全力加强烟花爆竹燃放管控。在采取上述措施后环境空气质量将得到明显改善，零陵区将恢复到达标区。</w:t>
            </w:r>
          </w:p>
          <w:p w14:paraId="4F201E28">
            <w:pPr>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（2）其他污染物环境质量现状补充监测数据</w:t>
            </w:r>
          </w:p>
          <w:p w14:paraId="1D81EC62">
            <w:pPr>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为进一步了解本项目区域环境空气质量现状，本次环评引用</w:t>
            </w:r>
            <w:r>
              <w:rPr>
                <w:rFonts w:hint="eastAsia"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永州市零陵安泰砼业有限公司年</w:t>
            </w:r>
            <w:r>
              <w:rPr>
                <w:rFonts w:hint="default" w:ascii="Times New Roman" w:hAnsi="Times New Roman" w:cs="Times New Roman"/>
                <w:color w:val="auto"/>
                <w:sz w:val="24"/>
                <w:szCs w:val="24"/>
                <w:highlight w:val="none"/>
                <w:u w:val="none"/>
                <w:shd w:val="clear" w:color="auto" w:fill="FFFFFF"/>
                <w:lang w:eastAsia="zh-CN"/>
              </w:rPr>
              <w:t>产40万m³商品混凝土和30万吨干混砂浆技术改造项目</w:t>
            </w:r>
            <w:r>
              <w:rPr>
                <w:rFonts w:hint="eastAsia"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于202</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日~</w:t>
            </w:r>
            <w:r>
              <w:rPr>
                <w:rFonts w:hint="eastAsia"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日对</w:t>
            </w:r>
            <w:r>
              <w:rPr>
                <w:rFonts w:hint="eastAsia" w:cs="Times New Roman"/>
                <w:color w:val="auto"/>
                <w:sz w:val="24"/>
                <w:szCs w:val="24"/>
                <w:highlight w:val="none"/>
                <w:u w:val="none"/>
                <w:lang w:val="en-US" w:eastAsia="zh-CN"/>
              </w:rPr>
              <w:t>建设</w:t>
            </w:r>
            <w:r>
              <w:rPr>
                <w:rFonts w:hint="default" w:ascii="Times New Roman" w:hAnsi="Times New Roman" w:cs="Times New Roman"/>
                <w:color w:val="auto"/>
                <w:sz w:val="24"/>
                <w:szCs w:val="24"/>
                <w:highlight w:val="none"/>
                <w:u w:val="none"/>
              </w:rPr>
              <w:t>项目主导风向下风向</w:t>
            </w:r>
            <w:r>
              <w:rPr>
                <w:rFonts w:hint="default" w:ascii="Times New Roman" w:hAnsi="Times New Roman" w:eastAsia="宋体" w:cs="Times New Roman"/>
                <w:color w:val="000000" w:themeColor="text1"/>
                <w14:textFill>
                  <w14:solidFill>
                    <w14:schemeClr w14:val="tx1"/>
                  </w14:solidFill>
                </w14:textFill>
              </w:rPr>
              <w:t>连续</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天</w:t>
            </w:r>
            <w:r>
              <w:rPr>
                <w:rFonts w:hint="eastAsia" w:ascii="Times New Roman" w:hAnsi="Times New Roman" w:eastAsia="宋体" w:cs="Times New Roman"/>
                <w:color w:val="000000" w:themeColor="text1"/>
                <w:lang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现状监测</w:t>
            </w:r>
            <w:r>
              <w:rPr>
                <w:rFonts w:hint="eastAsia" w:ascii="Times New Roman" w:hAnsi="Times New Roman" w:eastAsia="宋体" w:cs="Times New Roman"/>
                <w:color w:val="000000" w:themeColor="text1"/>
                <w:lang w:eastAsia="zh-CN"/>
                <w14:textFill>
                  <w14:solidFill>
                    <w14:schemeClr w14:val="tx1"/>
                  </w14:solidFill>
                </w14:textFill>
              </w:rPr>
              <w:t>数据</w:t>
            </w:r>
            <w:r>
              <w:rPr>
                <w:rFonts w:hint="default" w:ascii="Times New Roman" w:hAnsi="Times New Roman" w:eastAsia="宋体" w:cs="Times New Roman"/>
                <w:color w:val="000000" w:themeColor="text1"/>
                <w14:textFill>
                  <w14:solidFill>
                    <w14:schemeClr w14:val="tx1"/>
                  </w14:solidFill>
                </w14:textFill>
              </w:rPr>
              <w:t>，监测项目为TSP</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该检测数据属于有效的历史检测数据</w:t>
            </w:r>
            <w:r>
              <w:rPr>
                <w:rFonts w:hint="default" w:ascii="Times New Roman" w:hAnsi="Times New Roman" w:eastAsia="宋体" w:cs="Times New Roman"/>
                <w:color w:val="000000" w:themeColor="text1"/>
                <w14:textFill>
                  <w14:solidFill>
                    <w14:schemeClr w14:val="tx1"/>
                  </w14:solidFill>
                </w14:textFill>
              </w:rPr>
              <w:t>。环境空气质量现状监测结果见表3-2。</w:t>
            </w:r>
          </w:p>
          <w:p w14:paraId="57BB4841">
            <w:pPr>
              <w:spacing w:line="240" w:lineRule="auto"/>
              <w:ind w:firstLine="422"/>
              <w:jc w:val="center"/>
              <w:rPr>
                <w:rFonts w:hint="default" w:ascii="Times New Roman" w:hAnsi="宋体" w:eastAsia="宋体" w:cs="Times New Roman"/>
                <w:b/>
                <w:bCs/>
                <w:color w:val="000000" w:themeColor="text1"/>
                <w:sz w:val="21"/>
                <w:szCs w:val="21"/>
                <w:vertAlign w:val="superscript"/>
                <w14:textFill>
                  <w14:solidFill>
                    <w14:schemeClr w14:val="tx1"/>
                  </w14:solidFill>
                </w14:textFill>
              </w:rPr>
            </w:pPr>
            <w:r>
              <w:rPr>
                <w:rFonts w:hint="default" w:ascii="Times New Roman" w:hAnsi="宋体" w:eastAsia="宋体" w:cs="Times New Roman"/>
                <w:b/>
                <w:bCs/>
                <w:color w:val="000000" w:themeColor="text1"/>
                <w:sz w:val="21"/>
                <w:szCs w:val="21"/>
                <w14:textFill>
                  <w14:solidFill>
                    <w14:schemeClr w14:val="tx1"/>
                  </w14:solidFill>
                </w14:textFill>
              </w:rPr>
              <w:t>表3-2  环境空气质量监测结果   单位：ug/m</w:t>
            </w:r>
            <w:r>
              <w:rPr>
                <w:rFonts w:hint="default" w:ascii="Times New Roman" w:hAnsi="宋体" w:eastAsia="宋体" w:cs="Times New Roman"/>
                <w:b/>
                <w:bCs/>
                <w:color w:val="000000" w:themeColor="text1"/>
                <w:sz w:val="21"/>
                <w:szCs w:val="21"/>
                <w:vertAlign w:val="superscript"/>
                <w14:textFill>
                  <w14:solidFill>
                    <w14:schemeClr w14:val="tx1"/>
                  </w14:solidFill>
                </w14:textFill>
              </w:rPr>
              <w:t>3</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2484"/>
              <w:gridCol w:w="2978"/>
            </w:tblGrid>
            <w:tr w14:paraId="4959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pct"/>
                  <w:tcBorders>
                    <w:tl2br w:val="nil"/>
                    <w:tr2bl w:val="nil"/>
                  </w:tcBorders>
                  <w:noWrap w:val="0"/>
                  <w:vAlign w:val="center"/>
                </w:tcPr>
                <w:p w14:paraId="147C1200">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点位</w:t>
                  </w:r>
                </w:p>
              </w:tc>
              <w:tc>
                <w:tcPr>
                  <w:tcW w:w="1481" w:type="pct"/>
                  <w:tcBorders>
                    <w:tl2br w:val="nil"/>
                    <w:tr2bl w:val="nil"/>
                  </w:tcBorders>
                  <w:noWrap w:val="0"/>
                  <w:vAlign w:val="center"/>
                </w:tcPr>
                <w:p w14:paraId="548A7618">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w:t>
                  </w:r>
                </w:p>
              </w:tc>
              <w:tc>
                <w:tcPr>
                  <w:tcW w:w="1777" w:type="pct"/>
                  <w:tcBorders>
                    <w:tl2br w:val="nil"/>
                    <w:tr2bl w:val="nil"/>
                  </w:tcBorders>
                  <w:noWrap w:val="0"/>
                  <w:vAlign w:val="center"/>
                </w:tcPr>
                <w:p w14:paraId="1E3BF616">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TSP(日均值)</w:t>
                  </w:r>
                </w:p>
              </w:tc>
            </w:tr>
            <w:tr w14:paraId="3A1B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pct"/>
                  <w:vMerge w:val="restart"/>
                  <w:tcBorders>
                    <w:tl2br w:val="nil"/>
                    <w:tr2bl w:val="nil"/>
                  </w:tcBorders>
                  <w:noWrap w:val="0"/>
                  <w:vAlign w:val="center"/>
                </w:tcPr>
                <w:p w14:paraId="56B70F9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14:textFill>
                        <w14:solidFill>
                          <w14:schemeClr w14:val="tx1"/>
                        </w14:solidFill>
                      </w14:textFill>
                    </w:rPr>
                    <w:t>距本项目</w:t>
                  </w:r>
                  <w:r>
                    <w:rPr>
                      <w:rFonts w:hint="eastAsia" w:ascii="Times New Roman" w:cs="Times New Roman"/>
                      <w:color w:val="000000" w:themeColor="text1"/>
                      <w:sz w:val="21"/>
                      <w:szCs w:val="21"/>
                      <w:lang w:val="en-US" w:eastAsia="zh-CN"/>
                      <w14:textFill>
                        <w14:solidFill>
                          <w14:schemeClr w14:val="tx1"/>
                        </w14:solidFill>
                      </w14:textFill>
                    </w:rPr>
                    <w:t>东南</w:t>
                  </w:r>
                  <w:r>
                    <w:rPr>
                      <w:rFonts w:hint="eastAsia" w:ascii="Times New Roman" w:hAnsi="Times New Roman" w:eastAsia="宋体" w:cs="Times New Roman"/>
                      <w:color w:val="000000" w:themeColor="text1"/>
                      <w:sz w:val="21"/>
                      <w:szCs w:val="21"/>
                      <w:lang w:val="zh-CN"/>
                      <w14:textFill>
                        <w14:solidFill>
                          <w14:schemeClr w14:val="tx1"/>
                        </w14:solidFill>
                      </w14:textFill>
                    </w:rPr>
                    <w:t>侧约</w:t>
                  </w:r>
                  <w:r>
                    <w:rPr>
                      <w:rFonts w:hint="eastAsia" w:ascii="Times New Roman" w:cs="Times New Roman"/>
                      <w:color w:val="000000" w:themeColor="text1"/>
                      <w:sz w:val="21"/>
                      <w:szCs w:val="21"/>
                      <w:lang w:val="en-US" w:eastAsia="zh-CN"/>
                      <w14:textFill>
                        <w14:solidFill>
                          <w14:schemeClr w14:val="tx1"/>
                        </w14:solidFill>
                      </w14:textFill>
                    </w:rPr>
                    <w:t>3.5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km</w:t>
                  </w:r>
                </w:p>
              </w:tc>
              <w:tc>
                <w:tcPr>
                  <w:tcW w:w="1481" w:type="pct"/>
                  <w:tcBorders>
                    <w:tl2br w:val="nil"/>
                    <w:tr2bl w:val="nil"/>
                  </w:tcBorders>
                  <w:noWrap w:val="0"/>
                  <w:vAlign w:val="center"/>
                </w:tcPr>
                <w:p w14:paraId="1BB040E4">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浓度范围(μg/m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777" w:type="pct"/>
                  <w:tcBorders>
                    <w:tl2br w:val="nil"/>
                    <w:tr2bl w:val="nil"/>
                  </w:tcBorders>
                  <w:noWrap w:val="0"/>
                  <w:vAlign w:val="center"/>
                </w:tcPr>
                <w:p w14:paraId="0E8154E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147~1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63</w:t>
                  </w:r>
                </w:p>
              </w:tc>
            </w:tr>
            <w:tr w14:paraId="2C56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pct"/>
                  <w:vMerge w:val="continue"/>
                  <w:tcBorders>
                    <w:tl2br w:val="nil"/>
                    <w:tr2bl w:val="nil"/>
                  </w:tcBorders>
                  <w:noWrap w:val="0"/>
                  <w:vAlign w:val="center"/>
                </w:tcPr>
                <w:p w14:paraId="7A9D5A77">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lang w:val="zh-CN"/>
                      <w14:textFill>
                        <w14:solidFill>
                          <w14:schemeClr w14:val="tx1"/>
                        </w14:solidFill>
                      </w14:textFill>
                    </w:rPr>
                  </w:pPr>
                </w:p>
              </w:tc>
              <w:tc>
                <w:tcPr>
                  <w:tcW w:w="1481" w:type="pct"/>
                  <w:tcBorders>
                    <w:tl2br w:val="nil"/>
                    <w:tr2bl w:val="nil"/>
                  </w:tcBorders>
                  <w:noWrap w:val="0"/>
                  <w:vAlign w:val="center"/>
                </w:tcPr>
                <w:p w14:paraId="6E33A23A">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评价指数</w:t>
                  </w:r>
                </w:p>
              </w:tc>
              <w:tc>
                <w:tcPr>
                  <w:tcW w:w="1777" w:type="pct"/>
                  <w:tcBorders>
                    <w:tl2br w:val="nil"/>
                    <w:tr2bl w:val="nil"/>
                  </w:tcBorders>
                  <w:noWrap w:val="0"/>
                  <w:vAlign w:val="center"/>
                </w:tcPr>
                <w:p w14:paraId="70788FC7">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0.1</w:t>
                  </w:r>
                  <w:r>
                    <w:rPr>
                      <w:rFonts w:hint="eastAsia" w:ascii="Times New Roman" w:cs="Times New Roman"/>
                      <w:color w:val="000000" w:themeColor="text1"/>
                      <w:sz w:val="21"/>
                      <w:szCs w:val="21"/>
                      <w:lang w:val="en-US" w:eastAsia="zh-CN"/>
                      <w14:textFill>
                        <w14:solidFill>
                          <w14:schemeClr w14:val="tx1"/>
                        </w14:solidFill>
                      </w14:textFill>
                    </w:rPr>
                    <w:t>49</w:t>
                  </w:r>
                  <w:r>
                    <w:rPr>
                      <w:rFonts w:hint="default" w:ascii="Times New Roman" w:hAnsi="Times New Roman" w:eastAsia="宋体" w:cs="Times New Roman"/>
                      <w:color w:val="000000" w:themeColor="text1"/>
                      <w:sz w:val="21"/>
                      <w:szCs w:val="21"/>
                      <w14:textFill>
                        <w14:solidFill>
                          <w14:schemeClr w14:val="tx1"/>
                        </w14:solidFill>
                      </w14:textFill>
                    </w:rPr>
                    <w:t>-0.</w:t>
                  </w:r>
                  <w:r>
                    <w:rPr>
                      <w:rFonts w:hint="eastAsia" w:ascii="Times New Roman" w:cs="Times New Roman"/>
                      <w:color w:val="000000" w:themeColor="text1"/>
                      <w:sz w:val="21"/>
                      <w:szCs w:val="21"/>
                      <w:lang w:val="en-US" w:eastAsia="zh-CN"/>
                      <w14:textFill>
                        <w14:solidFill>
                          <w14:schemeClr w14:val="tx1"/>
                        </w14:solidFill>
                      </w14:textFill>
                    </w:rPr>
                    <w:t>54</w:t>
                  </w:r>
                </w:p>
              </w:tc>
            </w:tr>
            <w:tr w14:paraId="0692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pct"/>
                  <w:vMerge w:val="continue"/>
                  <w:tcBorders>
                    <w:tl2br w:val="nil"/>
                    <w:tr2bl w:val="nil"/>
                  </w:tcBorders>
                  <w:noWrap w:val="0"/>
                  <w:vAlign w:val="center"/>
                </w:tcPr>
                <w:p w14:paraId="4CCE2BFC">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p>
              </w:tc>
              <w:tc>
                <w:tcPr>
                  <w:tcW w:w="1481" w:type="pct"/>
                  <w:tcBorders>
                    <w:tl2br w:val="nil"/>
                    <w:tr2bl w:val="nil"/>
                  </w:tcBorders>
                  <w:noWrap w:val="0"/>
                  <w:vAlign w:val="center"/>
                </w:tcPr>
                <w:p w14:paraId="7F8110EB">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最大超标倍数</w:t>
                  </w:r>
                </w:p>
              </w:tc>
              <w:tc>
                <w:tcPr>
                  <w:tcW w:w="1777" w:type="pct"/>
                  <w:tcBorders>
                    <w:tl2br w:val="nil"/>
                    <w:tr2bl w:val="nil"/>
                  </w:tcBorders>
                  <w:noWrap w:val="0"/>
                  <w:vAlign w:val="center"/>
                </w:tcPr>
                <w:p w14:paraId="29578693">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p>
              </w:tc>
            </w:tr>
            <w:tr w14:paraId="2F14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pct"/>
                  <w:vMerge w:val="continue"/>
                  <w:tcBorders>
                    <w:tl2br w:val="nil"/>
                    <w:tr2bl w:val="nil"/>
                  </w:tcBorders>
                  <w:noWrap w:val="0"/>
                  <w:vAlign w:val="center"/>
                </w:tcPr>
                <w:p w14:paraId="05202485">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p>
              </w:tc>
              <w:tc>
                <w:tcPr>
                  <w:tcW w:w="1481" w:type="pct"/>
                  <w:tcBorders>
                    <w:tl2br w:val="nil"/>
                    <w:tr2bl w:val="nil"/>
                  </w:tcBorders>
                  <w:noWrap w:val="0"/>
                  <w:vAlign w:val="center"/>
                </w:tcPr>
                <w:p w14:paraId="54B6B04D">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超标率(%)</w:t>
                  </w:r>
                </w:p>
              </w:tc>
              <w:tc>
                <w:tcPr>
                  <w:tcW w:w="1777" w:type="pct"/>
                  <w:tcBorders>
                    <w:tl2br w:val="nil"/>
                    <w:tr2bl w:val="nil"/>
                  </w:tcBorders>
                  <w:noWrap w:val="0"/>
                  <w:vAlign w:val="center"/>
                </w:tcPr>
                <w:p w14:paraId="1EEE14B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w:t>
                  </w:r>
                </w:p>
              </w:tc>
            </w:tr>
            <w:tr w14:paraId="2505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2" w:type="pct"/>
                  <w:gridSpan w:val="2"/>
                  <w:tcBorders>
                    <w:tl2br w:val="nil"/>
                    <w:tr2bl w:val="nil"/>
                  </w:tcBorders>
                  <w:noWrap w:val="0"/>
                  <w:vAlign w:val="center"/>
                </w:tcPr>
                <w:p w14:paraId="37C50112">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GB3095-2012及其修改单中二级标准</w:t>
                  </w:r>
                </w:p>
              </w:tc>
              <w:tc>
                <w:tcPr>
                  <w:tcW w:w="1777" w:type="pct"/>
                  <w:tcBorders>
                    <w:tl2br w:val="nil"/>
                    <w:tr2bl w:val="nil"/>
                  </w:tcBorders>
                  <w:noWrap w:val="0"/>
                  <w:vAlign w:val="center"/>
                </w:tcPr>
                <w:p w14:paraId="70A29D51">
                  <w:pPr>
                    <w:pStyle w:val="37"/>
                    <w:keepNext w:val="0"/>
                    <w:keepLines w:val="0"/>
                    <w:suppressLineNumbers w:val="0"/>
                    <w:spacing w:before="31" w:beforeAutospacing="0" w:after="31" w:afterAutospacing="0"/>
                    <w:ind w:left="0"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300</w:t>
                  </w:r>
                </w:p>
              </w:tc>
            </w:tr>
          </w:tbl>
          <w:p w14:paraId="5231B410">
            <w:pPr>
              <w:bidi w:val="0"/>
              <w:rPr>
                <w:rFonts w:hint="default"/>
              </w:rPr>
            </w:pPr>
            <w:r>
              <w:rPr>
                <w:rFonts w:hint="default"/>
              </w:rPr>
              <w:t>由表3-2环境空气质量监测结果可知，项目所在地环境空气TSP日均浓度均满足《环境空气质量标准》(GB3095-2012)及2018年修改单中二级标准要求。</w:t>
            </w:r>
          </w:p>
          <w:p w14:paraId="1F407D74">
            <w:pPr>
              <w:bidi w:val="0"/>
              <w:rPr>
                <w:rFonts w:hint="eastAsia"/>
              </w:rPr>
            </w:pPr>
            <w:r>
              <w:rPr>
                <w:rFonts w:hint="eastAsia"/>
              </w:rPr>
              <w:t>2、声环境质量现状</w:t>
            </w:r>
          </w:p>
          <w:p w14:paraId="5540102C">
            <w:pPr>
              <w:bidi w:val="0"/>
              <w:rPr>
                <w:rFonts w:hint="eastAsia"/>
                <w:lang w:eastAsia="zh-CN"/>
              </w:rPr>
            </w:pPr>
            <w:r>
              <w:rPr>
                <w:rFonts w:hint="eastAsia"/>
                <w:lang w:eastAsia="zh-CN"/>
              </w:rPr>
              <w:t>根据《建设项目环境影响报告表编制技术指南（污染影响类）》，</w:t>
            </w:r>
            <w:r>
              <w:rPr>
                <w:rFonts w:hint="eastAsia"/>
              </w:rPr>
              <w:t>厂界外周边50米范围内存在声环境保护目标的建设项目，应监测保护目标声环境质量现状并评价达标情况</w:t>
            </w:r>
            <w:r>
              <w:rPr>
                <w:rFonts w:hint="eastAsia"/>
                <w:lang w:eastAsia="zh-CN"/>
              </w:rPr>
              <w:t>。本</w:t>
            </w:r>
            <w:r>
              <w:rPr>
                <w:rFonts w:hint="eastAsia"/>
              </w:rPr>
              <w:t>项目厂区外50m范围内无居民区等声环境保护目标</w:t>
            </w:r>
            <w:r>
              <w:rPr>
                <w:rFonts w:hint="eastAsia"/>
                <w:lang w:eastAsia="zh-CN"/>
              </w:rPr>
              <w:t>。</w:t>
            </w:r>
          </w:p>
          <w:p w14:paraId="0C1EF687">
            <w:pPr>
              <w:ind w:firstLine="480"/>
              <w:rPr>
                <w:rFonts w:hint="default" w:eastAsia="宋体"/>
                <w:lang w:val="en-US" w:eastAsia="zh-CN"/>
              </w:rPr>
            </w:pPr>
            <w:r>
              <w:rPr>
                <w:rFonts w:hint="eastAsia"/>
              </w:rPr>
              <w:t>本次</w:t>
            </w:r>
            <w:r>
              <w:rPr>
                <w:rFonts w:hint="eastAsia"/>
                <w:lang w:val="en-US" w:eastAsia="zh-CN"/>
              </w:rPr>
              <w:t>为现状评价，</w:t>
            </w:r>
            <w:r>
              <w:rPr>
                <w:rFonts w:hint="eastAsia"/>
              </w:rPr>
              <w:t>环评</w:t>
            </w:r>
            <w:r>
              <w:rPr>
                <w:rFonts w:hint="eastAsia"/>
                <w:lang w:val="en-US" w:eastAsia="zh-CN"/>
              </w:rPr>
              <w:t>对</w:t>
            </w:r>
            <w:r>
              <w:rPr>
                <w:rFonts w:hint="eastAsia"/>
              </w:rPr>
              <w:t>厂界</w:t>
            </w:r>
            <w:r>
              <w:rPr>
                <w:rFonts w:hint="eastAsia"/>
                <w:lang w:val="en-US" w:eastAsia="zh-CN"/>
              </w:rPr>
              <w:t>四周</w:t>
            </w:r>
            <w:r>
              <w:rPr>
                <w:rFonts w:hint="eastAsia"/>
              </w:rPr>
              <w:t>噪声</w:t>
            </w:r>
            <w:r>
              <w:rPr>
                <w:rFonts w:hint="eastAsia"/>
                <w:lang w:val="en-US" w:eastAsia="zh-CN"/>
              </w:rPr>
              <w:t>进行</w:t>
            </w:r>
            <w:r>
              <w:rPr>
                <w:rFonts w:hint="eastAsia"/>
              </w:rPr>
              <w:t>监测，</w:t>
            </w:r>
            <w:r>
              <w:rPr>
                <w:rFonts w:hint="eastAsia"/>
                <w:lang w:val="en-US" w:eastAsia="zh-CN"/>
              </w:rPr>
              <w:t>厂界噪声满足</w:t>
            </w:r>
            <w:r>
              <w:rPr>
                <w:color w:val="000000" w:themeColor="text1"/>
                <w14:textFill>
                  <w14:solidFill>
                    <w14:schemeClr w14:val="tx1"/>
                  </w14:solidFill>
                </w14:textFill>
              </w:rPr>
              <w:t>《工业企业厂界环境噪声排放标准》（GB12348-2008）中</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类标准</w:t>
            </w:r>
            <w:r>
              <w:rPr>
                <w:rFonts w:hint="eastAsia"/>
                <w:lang w:val="en-US" w:eastAsia="zh-CN"/>
              </w:rPr>
              <w:t>，检测结果详见表2-6。</w:t>
            </w:r>
          </w:p>
          <w:p w14:paraId="1DEB62B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3、地表水环境质量现状</w:t>
            </w:r>
          </w:p>
          <w:p w14:paraId="45B84C2C">
            <w:pPr>
              <w:ind w:firstLine="480"/>
              <w:rPr>
                <w:rFonts w:hint="eastAsia"/>
                <w:color w:val="000000"/>
                <w:u w:val="none"/>
                <w:lang w:eastAsia="zh-CN"/>
              </w:rPr>
            </w:pPr>
            <w:r>
              <w:rPr>
                <w:rFonts w:hint="eastAsia"/>
                <w:color w:val="000000"/>
                <w:u w:val="none"/>
                <w:lang w:eastAsia="zh-CN"/>
              </w:rPr>
              <w:t>根据《建设项目环境影响报告表编制技术指南（污染影响类）》，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14:paraId="3D49BC84">
            <w:pPr>
              <w:ind w:firstLine="480"/>
              <w:rPr>
                <w:color w:val="000000" w:themeColor="text1"/>
                <w:u w:val="none"/>
                <w14:textFill>
                  <w14:solidFill>
                    <w14:schemeClr w14:val="tx1"/>
                  </w14:solidFill>
                </w14:textFill>
              </w:rPr>
            </w:pPr>
            <w:r>
              <w:rPr>
                <w:rFonts w:hint="eastAsia"/>
                <w:color w:val="000000" w:themeColor="text1"/>
                <w:u w:val="none"/>
                <w:lang w:eastAsia="zh-CN"/>
                <w14:textFill>
                  <w14:solidFill>
                    <w14:schemeClr w14:val="tx1"/>
                  </w14:solidFill>
                </w14:textFill>
              </w:rPr>
              <w:t>根据数据的可获得性，本次地表水环境质量现状引用</w:t>
            </w:r>
            <w:r>
              <w:rPr>
                <w:color w:val="000000" w:themeColor="text1"/>
                <w:u w:val="none"/>
                <w14:textFill>
                  <w14:solidFill>
                    <w14:schemeClr w14:val="tx1"/>
                  </w14:solidFill>
                </w14:textFill>
              </w:rPr>
              <w:t>永州市生态环境局官网公示的地表水监测月报，202</w:t>
            </w:r>
            <w:r>
              <w:rPr>
                <w:rFonts w:hint="eastAsia"/>
                <w:color w:val="000000" w:themeColor="text1"/>
                <w:u w:val="none"/>
                <w:lang w:val="en-US" w:eastAsia="zh-CN"/>
                <w14:textFill>
                  <w14:solidFill>
                    <w14:schemeClr w14:val="tx1"/>
                  </w14:solidFill>
                </w14:textFill>
              </w:rPr>
              <w:t>3</w:t>
            </w:r>
            <w:r>
              <w:rPr>
                <w:color w:val="000000" w:themeColor="text1"/>
                <w:u w:val="none"/>
                <w14:textFill>
                  <w14:solidFill>
                    <w14:schemeClr w14:val="tx1"/>
                  </w14:solidFill>
                </w14:textFill>
              </w:rPr>
              <w:t>年1月~202</w:t>
            </w:r>
            <w:r>
              <w:rPr>
                <w:rFonts w:hint="eastAsia"/>
                <w:color w:val="000000" w:themeColor="text1"/>
                <w:u w:val="none"/>
                <w:lang w:val="en-US" w:eastAsia="zh-CN"/>
                <w14:textFill>
                  <w14:solidFill>
                    <w14:schemeClr w14:val="tx1"/>
                  </w14:solidFill>
                </w14:textFill>
              </w:rPr>
              <w:t>4</w:t>
            </w:r>
            <w:r>
              <w:rPr>
                <w:color w:val="000000" w:themeColor="text1"/>
                <w:u w:val="none"/>
                <w14:textFill>
                  <w14:solidFill>
                    <w14:schemeClr w14:val="tx1"/>
                  </w14:solidFill>
                </w14:textFill>
              </w:rPr>
              <w:t>年</w:t>
            </w:r>
            <w:r>
              <w:rPr>
                <w:rFonts w:hint="eastAsia"/>
                <w:color w:val="000000" w:themeColor="text1"/>
                <w:u w:val="none"/>
                <w:lang w:val="en-US" w:eastAsia="zh-CN"/>
                <w14:textFill>
                  <w14:solidFill>
                    <w14:schemeClr w14:val="tx1"/>
                  </w14:solidFill>
                </w14:textFill>
              </w:rPr>
              <w:t>5</w:t>
            </w:r>
            <w:r>
              <w:rPr>
                <w:color w:val="000000" w:themeColor="text1"/>
                <w:u w:val="none"/>
                <w14:textFill>
                  <w14:solidFill>
                    <w14:schemeClr w14:val="tx1"/>
                  </w14:solidFill>
                </w14:textFill>
              </w:rPr>
              <w:t>月，</w:t>
            </w:r>
            <w:r>
              <w:rPr>
                <w:rFonts w:hint="eastAsia"/>
                <w:color w:val="000000" w:themeColor="text1"/>
                <w:u w:val="none"/>
                <w:lang w:val="en-US" w:eastAsia="zh-CN"/>
                <w14:textFill>
                  <w14:solidFill>
                    <w14:schemeClr w14:val="tx1"/>
                  </w14:solidFill>
                </w14:textFill>
              </w:rPr>
              <w:t>零陵区诸葛庙、老埠头常规检测</w:t>
            </w:r>
            <w:r>
              <w:rPr>
                <w:color w:val="000000" w:themeColor="text1"/>
                <w:u w:val="none"/>
                <w14:textFill>
                  <w14:solidFill>
                    <w14:schemeClr w14:val="tx1"/>
                  </w14:solidFill>
                </w14:textFill>
              </w:rPr>
              <w:t>断面水质均符合《地表水环境质量标准》（GB3838-2002）Ⅱ类标准，属于区域地表水达标区。</w:t>
            </w:r>
          </w:p>
          <w:p w14:paraId="078B77DF">
            <w:pPr>
              <w:spacing w:before="156" w:line="240" w:lineRule="auto"/>
              <w:ind w:firstLine="0" w:firstLineChars="0"/>
              <w:jc w:val="center"/>
              <w:rPr>
                <w:b/>
                <w:bCs/>
                <w:color w:val="auto"/>
                <w:sz w:val="21"/>
                <w:szCs w:val="21"/>
                <w:u w:val="none"/>
              </w:rPr>
            </w:pPr>
            <w:r>
              <w:rPr>
                <w:b/>
                <w:bCs/>
                <w:color w:val="auto"/>
                <w:sz w:val="21"/>
                <w:szCs w:val="21"/>
                <w:u w:val="none"/>
              </w:rPr>
              <w:t>表</w:t>
            </w:r>
            <w:r>
              <w:rPr>
                <w:rFonts w:hint="eastAsia"/>
                <w:b/>
                <w:bCs/>
                <w:color w:val="auto"/>
                <w:sz w:val="21"/>
                <w:szCs w:val="21"/>
                <w:u w:val="none"/>
                <w:lang w:val="en-US" w:eastAsia="zh-CN"/>
              </w:rPr>
              <w:t>3-3零陵区常规检测</w:t>
            </w:r>
            <w:r>
              <w:rPr>
                <w:b/>
                <w:bCs/>
                <w:color w:val="auto"/>
                <w:sz w:val="21"/>
                <w:szCs w:val="21"/>
                <w:u w:val="none"/>
              </w:rPr>
              <w:t>断面水质情况</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428"/>
              <w:gridCol w:w="1416"/>
              <w:gridCol w:w="1490"/>
              <w:gridCol w:w="1585"/>
            </w:tblGrid>
            <w:tr w14:paraId="1CC9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vMerge w:val="restart"/>
                  <w:noWrap w:val="0"/>
                  <w:vAlign w:val="center"/>
                </w:tcPr>
                <w:p w14:paraId="214E7B5F">
                  <w:pPr>
                    <w:spacing w:line="240" w:lineRule="auto"/>
                    <w:ind w:firstLine="0" w:firstLineChars="0"/>
                    <w:jc w:val="center"/>
                    <w:rPr>
                      <w:color w:val="auto"/>
                      <w:sz w:val="21"/>
                      <w:szCs w:val="21"/>
                      <w:u w:val="none"/>
                    </w:rPr>
                  </w:pPr>
                  <w:r>
                    <w:rPr>
                      <w:rFonts w:hint="eastAsia"/>
                      <w:color w:val="auto"/>
                      <w:sz w:val="21"/>
                      <w:szCs w:val="21"/>
                      <w:u w:val="none"/>
                    </w:rPr>
                    <w:t>月份</w:t>
                  </w:r>
                </w:p>
              </w:tc>
              <w:tc>
                <w:tcPr>
                  <w:tcW w:w="1697" w:type="pct"/>
                  <w:gridSpan w:val="2"/>
                  <w:tcBorders>
                    <w:bottom w:val="single" w:color="000000" w:sz="4" w:space="0"/>
                  </w:tcBorders>
                  <w:noWrap w:val="0"/>
                  <w:vAlign w:val="center"/>
                </w:tcPr>
                <w:p w14:paraId="07B8753B">
                  <w:pPr>
                    <w:spacing w:line="240" w:lineRule="auto"/>
                    <w:ind w:firstLine="0" w:firstLineChars="0"/>
                    <w:jc w:val="center"/>
                    <w:rPr>
                      <w:color w:val="auto"/>
                      <w:sz w:val="21"/>
                      <w:szCs w:val="21"/>
                      <w:u w:val="none"/>
                    </w:rPr>
                  </w:pPr>
                  <w:r>
                    <w:rPr>
                      <w:rFonts w:hint="eastAsia"/>
                      <w:color w:val="auto"/>
                      <w:sz w:val="21"/>
                      <w:szCs w:val="21"/>
                      <w:u w:val="none"/>
                    </w:rPr>
                    <w:t>202</w:t>
                  </w:r>
                  <w:r>
                    <w:rPr>
                      <w:rFonts w:hint="eastAsia"/>
                      <w:color w:val="auto"/>
                      <w:sz w:val="21"/>
                      <w:szCs w:val="21"/>
                      <w:u w:val="none"/>
                      <w:lang w:val="en-US" w:eastAsia="zh-CN"/>
                    </w:rPr>
                    <w:t>3</w:t>
                  </w:r>
                  <w:r>
                    <w:rPr>
                      <w:rFonts w:hint="eastAsia"/>
                      <w:color w:val="auto"/>
                      <w:sz w:val="21"/>
                      <w:szCs w:val="21"/>
                      <w:u w:val="none"/>
                    </w:rPr>
                    <w:t>年</w:t>
                  </w:r>
                </w:p>
              </w:tc>
              <w:tc>
                <w:tcPr>
                  <w:tcW w:w="1835" w:type="pct"/>
                  <w:gridSpan w:val="2"/>
                  <w:tcBorders>
                    <w:bottom w:val="single" w:color="000000" w:sz="4" w:space="0"/>
                  </w:tcBorders>
                  <w:noWrap w:val="0"/>
                  <w:vAlign w:val="center"/>
                </w:tcPr>
                <w:p w14:paraId="1325AAE0">
                  <w:pPr>
                    <w:spacing w:line="240" w:lineRule="auto"/>
                    <w:ind w:firstLine="0" w:firstLineChars="0"/>
                    <w:jc w:val="center"/>
                    <w:rPr>
                      <w:color w:val="auto"/>
                      <w:sz w:val="21"/>
                      <w:szCs w:val="21"/>
                      <w:u w:val="none"/>
                    </w:rPr>
                  </w:pPr>
                  <w:r>
                    <w:rPr>
                      <w:rFonts w:hint="eastAsia"/>
                      <w:color w:val="auto"/>
                      <w:sz w:val="21"/>
                      <w:szCs w:val="21"/>
                      <w:u w:val="none"/>
                    </w:rPr>
                    <w:t>202</w:t>
                  </w:r>
                  <w:r>
                    <w:rPr>
                      <w:rFonts w:hint="eastAsia"/>
                      <w:color w:val="auto"/>
                      <w:sz w:val="21"/>
                      <w:szCs w:val="21"/>
                      <w:u w:val="none"/>
                      <w:lang w:val="en-US" w:eastAsia="zh-CN"/>
                    </w:rPr>
                    <w:t>4</w:t>
                  </w:r>
                  <w:r>
                    <w:rPr>
                      <w:rFonts w:hint="eastAsia"/>
                      <w:color w:val="auto"/>
                      <w:sz w:val="21"/>
                      <w:szCs w:val="21"/>
                      <w:u w:val="none"/>
                    </w:rPr>
                    <w:t>年</w:t>
                  </w:r>
                </w:p>
              </w:tc>
            </w:tr>
            <w:tr w14:paraId="7659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vMerge w:val="continue"/>
                  <w:noWrap w:val="0"/>
                  <w:vAlign w:val="center"/>
                </w:tcPr>
                <w:p w14:paraId="7DB2CD0B">
                  <w:pPr>
                    <w:spacing w:line="240" w:lineRule="auto"/>
                    <w:ind w:firstLine="0" w:firstLineChars="0"/>
                    <w:jc w:val="center"/>
                    <w:rPr>
                      <w:rFonts w:hint="eastAsia"/>
                      <w:color w:val="auto"/>
                      <w:sz w:val="21"/>
                      <w:szCs w:val="21"/>
                      <w:u w:val="none"/>
                    </w:rPr>
                  </w:pPr>
                </w:p>
              </w:tc>
              <w:tc>
                <w:tcPr>
                  <w:tcW w:w="852" w:type="pct"/>
                  <w:tcBorders>
                    <w:top w:val="single" w:color="000000" w:sz="4" w:space="0"/>
                    <w:right w:val="single" w:color="000000" w:sz="4" w:space="0"/>
                  </w:tcBorders>
                  <w:noWrap w:val="0"/>
                  <w:vAlign w:val="center"/>
                </w:tcPr>
                <w:p w14:paraId="1580AF17">
                  <w:pPr>
                    <w:spacing w:line="240" w:lineRule="auto"/>
                    <w:ind w:firstLine="0" w:firstLineChars="0"/>
                    <w:jc w:val="center"/>
                    <w:rPr>
                      <w:rFonts w:hint="eastAsia"/>
                      <w:color w:val="auto"/>
                      <w:sz w:val="21"/>
                      <w:szCs w:val="21"/>
                      <w:u w:val="none"/>
                    </w:rPr>
                  </w:pPr>
                  <w:r>
                    <w:rPr>
                      <w:rFonts w:hint="eastAsia"/>
                      <w:color w:val="auto"/>
                      <w:sz w:val="21"/>
                      <w:szCs w:val="21"/>
                      <w:u w:val="none"/>
                      <w:lang w:val="en-US" w:eastAsia="zh-CN"/>
                    </w:rPr>
                    <w:t>诸葛庙</w:t>
                  </w:r>
                </w:p>
              </w:tc>
              <w:tc>
                <w:tcPr>
                  <w:tcW w:w="845" w:type="pct"/>
                  <w:tcBorders>
                    <w:top w:val="single" w:color="000000" w:sz="4" w:space="0"/>
                    <w:left w:val="single" w:color="000000" w:sz="4" w:space="0"/>
                  </w:tcBorders>
                  <w:noWrap w:val="0"/>
                  <w:vAlign w:val="center"/>
                </w:tcPr>
                <w:p w14:paraId="57C5B4AA">
                  <w:pPr>
                    <w:spacing w:line="240" w:lineRule="auto"/>
                    <w:ind w:firstLine="0" w:firstLineChars="0"/>
                    <w:jc w:val="center"/>
                    <w:rPr>
                      <w:rFonts w:hint="eastAsia"/>
                      <w:color w:val="auto"/>
                      <w:sz w:val="21"/>
                      <w:szCs w:val="21"/>
                      <w:u w:val="none"/>
                    </w:rPr>
                  </w:pPr>
                  <w:r>
                    <w:rPr>
                      <w:rFonts w:hint="eastAsia"/>
                      <w:color w:val="auto"/>
                      <w:sz w:val="21"/>
                      <w:szCs w:val="21"/>
                      <w:u w:val="none"/>
                      <w:lang w:val="en-US" w:eastAsia="zh-CN"/>
                    </w:rPr>
                    <w:t>老埠头</w:t>
                  </w:r>
                </w:p>
              </w:tc>
              <w:tc>
                <w:tcPr>
                  <w:tcW w:w="889" w:type="pct"/>
                  <w:tcBorders>
                    <w:top w:val="single" w:color="000000" w:sz="4" w:space="0"/>
                    <w:right w:val="single" w:color="000000" w:sz="4" w:space="0"/>
                  </w:tcBorders>
                  <w:noWrap w:val="0"/>
                  <w:vAlign w:val="center"/>
                </w:tcPr>
                <w:p w14:paraId="1F624689">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诸葛庙</w:t>
                  </w:r>
                </w:p>
              </w:tc>
              <w:tc>
                <w:tcPr>
                  <w:tcW w:w="946" w:type="pct"/>
                  <w:tcBorders>
                    <w:top w:val="single" w:color="000000" w:sz="4" w:space="0"/>
                    <w:left w:val="single" w:color="000000" w:sz="4" w:space="0"/>
                  </w:tcBorders>
                  <w:noWrap w:val="0"/>
                  <w:vAlign w:val="center"/>
                </w:tcPr>
                <w:p w14:paraId="374831AF">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老埠头</w:t>
                  </w:r>
                </w:p>
              </w:tc>
            </w:tr>
            <w:tr w14:paraId="7473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708F075E">
                  <w:pPr>
                    <w:spacing w:line="240" w:lineRule="auto"/>
                    <w:ind w:firstLine="0" w:firstLineChars="0"/>
                    <w:jc w:val="center"/>
                    <w:rPr>
                      <w:color w:val="auto"/>
                      <w:sz w:val="21"/>
                      <w:szCs w:val="21"/>
                      <w:u w:val="none"/>
                    </w:rPr>
                  </w:pPr>
                  <w:r>
                    <w:rPr>
                      <w:rFonts w:hint="eastAsia"/>
                      <w:color w:val="auto"/>
                      <w:sz w:val="21"/>
                      <w:szCs w:val="21"/>
                      <w:u w:val="none"/>
                    </w:rPr>
                    <w:t>1月</w:t>
                  </w:r>
                </w:p>
              </w:tc>
              <w:tc>
                <w:tcPr>
                  <w:tcW w:w="852" w:type="pct"/>
                  <w:tcBorders>
                    <w:right w:val="single" w:color="000000" w:sz="4" w:space="0"/>
                  </w:tcBorders>
                  <w:noWrap w:val="0"/>
                  <w:vAlign w:val="center"/>
                </w:tcPr>
                <w:p w14:paraId="4D57FE4B">
                  <w:pPr>
                    <w:spacing w:line="240" w:lineRule="auto"/>
                    <w:ind w:firstLine="0" w:firstLineChars="0"/>
                    <w:jc w:val="center"/>
                    <w:rPr>
                      <w:color w:val="auto"/>
                      <w:sz w:val="21"/>
                      <w:szCs w:val="21"/>
                      <w:u w:val="none"/>
                    </w:rPr>
                  </w:pPr>
                  <w:r>
                    <w:rPr>
                      <w:rFonts w:hint="eastAsia"/>
                      <w:color w:val="auto"/>
                      <w:sz w:val="21"/>
                      <w:szCs w:val="21"/>
                      <w:u w:val="none"/>
                    </w:rPr>
                    <w:t>Ⅱ</w:t>
                  </w:r>
                </w:p>
              </w:tc>
              <w:tc>
                <w:tcPr>
                  <w:tcW w:w="845" w:type="pct"/>
                  <w:tcBorders>
                    <w:left w:val="single" w:color="000000" w:sz="4" w:space="0"/>
                  </w:tcBorders>
                  <w:noWrap w:val="0"/>
                  <w:vAlign w:val="center"/>
                </w:tcPr>
                <w:p w14:paraId="7B1349E1">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7B483844">
                  <w:pPr>
                    <w:spacing w:line="240" w:lineRule="auto"/>
                    <w:ind w:firstLine="0" w:firstLineChars="0"/>
                    <w:jc w:val="center"/>
                    <w:rPr>
                      <w:color w:val="auto"/>
                      <w:sz w:val="21"/>
                      <w:szCs w:val="21"/>
                      <w:u w:val="none"/>
                    </w:rPr>
                  </w:pPr>
                  <w:r>
                    <w:rPr>
                      <w:rFonts w:hint="eastAsia"/>
                      <w:color w:val="auto"/>
                      <w:sz w:val="21"/>
                      <w:szCs w:val="21"/>
                      <w:u w:val="none"/>
                    </w:rPr>
                    <w:t>Ⅱ</w:t>
                  </w:r>
                </w:p>
              </w:tc>
              <w:tc>
                <w:tcPr>
                  <w:tcW w:w="946" w:type="pct"/>
                  <w:tcBorders>
                    <w:left w:val="single" w:color="000000" w:sz="4" w:space="0"/>
                  </w:tcBorders>
                  <w:noWrap w:val="0"/>
                  <w:vAlign w:val="center"/>
                </w:tcPr>
                <w:p w14:paraId="5365BB5B">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r>
            <w:tr w14:paraId="0DFB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7D8ED81A">
                  <w:pPr>
                    <w:spacing w:line="240" w:lineRule="auto"/>
                    <w:ind w:firstLine="0" w:firstLineChars="0"/>
                    <w:jc w:val="center"/>
                    <w:rPr>
                      <w:color w:val="auto"/>
                      <w:sz w:val="21"/>
                      <w:szCs w:val="21"/>
                      <w:u w:val="none"/>
                    </w:rPr>
                  </w:pPr>
                  <w:r>
                    <w:rPr>
                      <w:rFonts w:hint="eastAsia"/>
                      <w:color w:val="auto"/>
                      <w:sz w:val="21"/>
                      <w:szCs w:val="21"/>
                      <w:u w:val="none"/>
                    </w:rPr>
                    <w:t>2月</w:t>
                  </w:r>
                </w:p>
              </w:tc>
              <w:tc>
                <w:tcPr>
                  <w:tcW w:w="852" w:type="pct"/>
                  <w:tcBorders>
                    <w:right w:val="single" w:color="000000" w:sz="4" w:space="0"/>
                  </w:tcBorders>
                  <w:noWrap w:val="0"/>
                  <w:vAlign w:val="center"/>
                </w:tcPr>
                <w:p w14:paraId="55903BC6">
                  <w:pPr>
                    <w:spacing w:line="240" w:lineRule="auto"/>
                    <w:ind w:firstLine="0" w:firstLineChars="0"/>
                    <w:jc w:val="center"/>
                    <w:rPr>
                      <w:color w:val="auto"/>
                      <w:sz w:val="21"/>
                      <w:szCs w:val="21"/>
                      <w:u w:val="none"/>
                    </w:rPr>
                  </w:pPr>
                  <w:r>
                    <w:rPr>
                      <w:rFonts w:hint="eastAsia"/>
                      <w:color w:val="auto"/>
                      <w:sz w:val="21"/>
                      <w:szCs w:val="21"/>
                      <w:u w:val="none"/>
                    </w:rPr>
                    <w:t>Ⅱ</w:t>
                  </w:r>
                </w:p>
              </w:tc>
              <w:tc>
                <w:tcPr>
                  <w:tcW w:w="845" w:type="pct"/>
                  <w:tcBorders>
                    <w:left w:val="single" w:color="000000" w:sz="4" w:space="0"/>
                  </w:tcBorders>
                  <w:noWrap w:val="0"/>
                  <w:vAlign w:val="center"/>
                </w:tcPr>
                <w:p w14:paraId="3F81D2AF">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5087EBD5">
                  <w:pPr>
                    <w:spacing w:line="240" w:lineRule="auto"/>
                    <w:ind w:firstLine="0" w:firstLineChars="0"/>
                    <w:jc w:val="center"/>
                    <w:rPr>
                      <w:color w:val="auto"/>
                      <w:sz w:val="21"/>
                      <w:szCs w:val="21"/>
                      <w:u w:val="none"/>
                    </w:rPr>
                  </w:pPr>
                  <w:r>
                    <w:rPr>
                      <w:rFonts w:hint="eastAsia"/>
                      <w:color w:val="auto"/>
                      <w:sz w:val="21"/>
                      <w:szCs w:val="21"/>
                      <w:u w:val="none"/>
                    </w:rPr>
                    <w:t>Ⅱ</w:t>
                  </w:r>
                </w:p>
              </w:tc>
              <w:tc>
                <w:tcPr>
                  <w:tcW w:w="946" w:type="pct"/>
                  <w:tcBorders>
                    <w:left w:val="single" w:color="000000" w:sz="4" w:space="0"/>
                  </w:tcBorders>
                  <w:noWrap w:val="0"/>
                  <w:vAlign w:val="center"/>
                </w:tcPr>
                <w:p w14:paraId="464ED28B">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r>
            <w:tr w14:paraId="21CA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463BD90E">
                  <w:pPr>
                    <w:spacing w:line="240" w:lineRule="auto"/>
                    <w:ind w:firstLine="0" w:firstLineChars="0"/>
                    <w:jc w:val="center"/>
                    <w:rPr>
                      <w:color w:val="auto"/>
                      <w:sz w:val="21"/>
                      <w:szCs w:val="21"/>
                      <w:u w:val="none"/>
                    </w:rPr>
                  </w:pPr>
                  <w:r>
                    <w:rPr>
                      <w:rFonts w:hint="eastAsia"/>
                      <w:color w:val="auto"/>
                      <w:sz w:val="21"/>
                      <w:szCs w:val="21"/>
                      <w:u w:val="none"/>
                    </w:rPr>
                    <w:t>3月</w:t>
                  </w:r>
                </w:p>
              </w:tc>
              <w:tc>
                <w:tcPr>
                  <w:tcW w:w="852" w:type="pct"/>
                  <w:tcBorders>
                    <w:right w:val="single" w:color="000000" w:sz="4" w:space="0"/>
                  </w:tcBorders>
                  <w:noWrap w:val="0"/>
                  <w:vAlign w:val="center"/>
                </w:tcPr>
                <w:p w14:paraId="389187AF">
                  <w:pPr>
                    <w:spacing w:line="240" w:lineRule="auto"/>
                    <w:ind w:firstLine="0" w:firstLineChars="0"/>
                    <w:jc w:val="center"/>
                    <w:rPr>
                      <w:color w:val="auto"/>
                      <w:sz w:val="21"/>
                      <w:szCs w:val="21"/>
                      <w:u w:val="none"/>
                    </w:rPr>
                  </w:pPr>
                  <w:r>
                    <w:rPr>
                      <w:rFonts w:hint="eastAsia"/>
                      <w:color w:val="auto"/>
                      <w:sz w:val="21"/>
                      <w:szCs w:val="21"/>
                      <w:u w:val="none"/>
                    </w:rPr>
                    <w:t>Ⅱ</w:t>
                  </w:r>
                </w:p>
              </w:tc>
              <w:tc>
                <w:tcPr>
                  <w:tcW w:w="845" w:type="pct"/>
                  <w:tcBorders>
                    <w:left w:val="single" w:color="000000" w:sz="4" w:space="0"/>
                  </w:tcBorders>
                  <w:noWrap w:val="0"/>
                  <w:vAlign w:val="center"/>
                </w:tcPr>
                <w:p w14:paraId="74B8B7A9">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166FF9D6">
                  <w:pPr>
                    <w:spacing w:line="240" w:lineRule="auto"/>
                    <w:ind w:firstLine="0" w:firstLineChars="0"/>
                    <w:jc w:val="center"/>
                    <w:rPr>
                      <w:color w:val="auto"/>
                      <w:sz w:val="21"/>
                      <w:szCs w:val="21"/>
                      <w:u w:val="none"/>
                    </w:rPr>
                  </w:pPr>
                  <w:r>
                    <w:rPr>
                      <w:rFonts w:hint="eastAsia" w:ascii="Times New Roman" w:hAnsi="Times New Roman" w:eastAsia="宋体" w:cs="Times New Roman"/>
                      <w:color w:val="auto"/>
                      <w:sz w:val="21"/>
                      <w:szCs w:val="21"/>
                      <w:u w:val="none"/>
                    </w:rPr>
                    <w:t>Ⅰ</w:t>
                  </w:r>
                </w:p>
              </w:tc>
              <w:tc>
                <w:tcPr>
                  <w:tcW w:w="946" w:type="pct"/>
                  <w:tcBorders>
                    <w:left w:val="single" w:color="000000" w:sz="4" w:space="0"/>
                  </w:tcBorders>
                  <w:noWrap w:val="0"/>
                  <w:vAlign w:val="center"/>
                </w:tcPr>
                <w:p w14:paraId="68CB3229">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r>
            <w:tr w14:paraId="6362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47D4FEA1">
                  <w:pPr>
                    <w:spacing w:line="240" w:lineRule="auto"/>
                    <w:ind w:firstLine="0" w:firstLineChars="0"/>
                    <w:jc w:val="center"/>
                    <w:rPr>
                      <w:color w:val="auto"/>
                      <w:sz w:val="21"/>
                      <w:szCs w:val="21"/>
                      <w:u w:val="none"/>
                    </w:rPr>
                  </w:pPr>
                  <w:r>
                    <w:rPr>
                      <w:rFonts w:hint="eastAsia"/>
                      <w:color w:val="auto"/>
                      <w:sz w:val="21"/>
                      <w:szCs w:val="21"/>
                      <w:u w:val="none"/>
                    </w:rPr>
                    <w:t>4月</w:t>
                  </w:r>
                </w:p>
              </w:tc>
              <w:tc>
                <w:tcPr>
                  <w:tcW w:w="852" w:type="pct"/>
                  <w:tcBorders>
                    <w:right w:val="single" w:color="000000" w:sz="4" w:space="0"/>
                  </w:tcBorders>
                  <w:noWrap w:val="0"/>
                  <w:vAlign w:val="center"/>
                </w:tcPr>
                <w:p w14:paraId="3ECB4E6C">
                  <w:pPr>
                    <w:spacing w:line="240" w:lineRule="auto"/>
                    <w:ind w:firstLine="0" w:firstLineChars="0"/>
                    <w:jc w:val="center"/>
                    <w:rPr>
                      <w:color w:val="auto"/>
                      <w:sz w:val="21"/>
                      <w:szCs w:val="21"/>
                      <w:u w:val="none"/>
                    </w:rPr>
                  </w:pPr>
                  <w:r>
                    <w:rPr>
                      <w:rFonts w:hint="eastAsia"/>
                      <w:color w:val="auto"/>
                      <w:sz w:val="21"/>
                      <w:szCs w:val="21"/>
                      <w:u w:val="none"/>
                    </w:rPr>
                    <w:t>Ⅱ</w:t>
                  </w:r>
                </w:p>
              </w:tc>
              <w:tc>
                <w:tcPr>
                  <w:tcW w:w="845" w:type="pct"/>
                  <w:tcBorders>
                    <w:left w:val="single" w:color="000000" w:sz="4" w:space="0"/>
                  </w:tcBorders>
                  <w:noWrap w:val="0"/>
                  <w:vAlign w:val="center"/>
                </w:tcPr>
                <w:p w14:paraId="421AE771">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7599F2F3">
                  <w:pPr>
                    <w:spacing w:line="240" w:lineRule="auto"/>
                    <w:ind w:firstLine="0" w:firstLineChars="0"/>
                    <w:jc w:val="center"/>
                    <w:rPr>
                      <w:color w:val="auto"/>
                      <w:sz w:val="21"/>
                      <w:szCs w:val="21"/>
                      <w:u w:val="none"/>
                    </w:rPr>
                  </w:pPr>
                  <w:r>
                    <w:rPr>
                      <w:rFonts w:hint="eastAsia"/>
                      <w:color w:val="auto"/>
                      <w:sz w:val="21"/>
                      <w:szCs w:val="21"/>
                      <w:u w:val="none"/>
                    </w:rPr>
                    <w:t>Ⅱ</w:t>
                  </w:r>
                </w:p>
              </w:tc>
              <w:tc>
                <w:tcPr>
                  <w:tcW w:w="946" w:type="pct"/>
                  <w:tcBorders>
                    <w:left w:val="single" w:color="000000" w:sz="4" w:space="0"/>
                  </w:tcBorders>
                  <w:noWrap w:val="0"/>
                  <w:vAlign w:val="center"/>
                </w:tcPr>
                <w:p w14:paraId="70F2E5B9">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r>
            <w:tr w14:paraId="7AFE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11DE6915">
                  <w:pPr>
                    <w:spacing w:line="240" w:lineRule="auto"/>
                    <w:ind w:firstLine="0" w:firstLineChars="0"/>
                    <w:jc w:val="center"/>
                    <w:rPr>
                      <w:color w:val="auto"/>
                      <w:sz w:val="21"/>
                      <w:szCs w:val="21"/>
                      <w:u w:val="none"/>
                    </w:rPr>
                  </w:pPr>
                  <w:r>
                    <w:rPr>
                      <w:rFonts w:hint="eastAsia"/>
                      <w:color w:val="auto"/>
                      <w:sz w:val="21"/>
                      <w:szCs w:val="21"/>
                      <w:u w:val="none"/>
                    </w:rPr>
                    <w:t>5月</w:t>
                  </w:r>
                </w:p>
              </w:tc>
              <w:tc>
                <w:tcPr>
                  <w:tcW w:w="852" w:type="pct"/>
                  <w:tcBorders>
                    <w:right w:val="single" w:color="000000" w:sz="4" w:space="0"/>
                  </w:tcBorders>
                  <w:noWrap w:val="0"/>
                  <w:vAlign w:val="center"/>
                </w:tcPr>
                <w:p w14:paraId="53C5EF50">
                  <w:pPr>
                    <w:spacing w:line="240" w:lineRule="auto"/>
                    <w:ind w:firstLine="0" w:firstLineChars="0"/>
                    <w:jc w:val="center"/>
                    <w:rPr>
                      <w:color w:val="auto"/>
                      <w:sz w:val="21"/>
                      <w:szCs w:val="21"/>
                      <w:u w:val="none"/>
                    </w:rPr>
                  </w:pPr>
                  <w:r>
                    <w:rPr>
                      <w:rFonts w:hint="eastAsia"/>
                      <w:color w:val="auto"/>
                      <w:sz w:val="21"/>
                      <w:szCs w:val="21"/>
                      <w:u w:val="none"/>
                    </w:rPr>
                    <w:t>Ⅱ</w:t>
                  </w:r>
                </w:p>
              </w:tc>
              <w:tc>
                <w:tcPr>
                  <w:tcW w:w="845" w:type="pct"/>
                  <w:tcBorders>
                    <w:left w:val="single" w:color="000000" w:sz="4" w:space="0"/>
                  </w:tcBorders>
                  <w:noWrap w:val="0"/>
                  <w:vAlign w:val="center"/>
                </w:tcPr>
                <w:p w14:paraId="6F67F3C0">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67EDF258">
                  <w:pPr>
                    <w:spacing w:line="240" w:lineRule="auto"/>
                    <w:ind w:firstLine="0" w:firstLineChars="0"/>
                    <w:jc w:val="center"/>
                    <w:rPr>
                      <w:color w:val="auto"/>
                      <w:sz w:val="21"/>
                      <w:szCs w:val="21"/>
                      <w:u w:val="none"/>
                    </w:rPr>
                  </w:pPr>
                  <w:r>
                    <w:rPr>
                      <w:rFonts w:hint="eastAsia"/>
                      <w:color w:val="auto"/>
                      <w:sz w:val="21"/>
                      <w:szCs w:val="21"/>
                      <w:u w:val="none"/>
                    </w:rPr>
                    <w:t>Ⅱ</w:t>
                  </w:r>
                </w:p>
              </w:tc>
              <w:tc>
                <w:tcPr>
                  <w:tcW w:w="946" w:type="pct"/>
                  <w:tcBorders>
                    <w:left w:val="single" w:color="000000" w:sz="4" w:space="0"/>
                  </w:tcBorders>
                  <w:noWrap w:val="0"/>
                  <w:vAlign w:val="center"/>
                </w:tcPr>
                <w:p w14:paraId="156EC2B6">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r>
            <w:tr w14:paraId="4D80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477017C3">
                  <w:pPr>
                    <w:spacing w:line="240" w:lineRule="auto"/>
                    <w:ind w:firstLine="0" w:firstLineChars="0"/>
                    <w:jc w:val="center"/>
                    <w:rPr>
                      <w:color w:val="auto"/>
                      <w:sz w:val="21"/>
                      <w:szCs w:val="21"/>
                      <w:u w:val="none"/>
                    </w:rPr>
                  </w:pPr>
                  <w:r>
                    <w:rPr>
                      <w:rFonts w:hint="eastAsia"/>
                      <w:color w:val="auto"/>
                      <w:sz w:val="21"/>
                      <w:szCs w:val="21"/>
                      <w:u w:val="none"/>
                    </w:rPr>
                    <w:t>6月</w:t>
                  </w:r>
                </w:p>
              </w:tc>
              <w:tc>
                <w:tcPr>
                  <w:tcW w:w="852" w:type="pct"/>
                  <w:tcBorders>
                    <w:right w:val="single" w:color="000000" w:sz="4" w:space="0"/>
                  </w:tcBorders>
                  <w:noWrap w:val="0"/>
                  <w:vAlign w:val="center"/>
                </w:tcPr>
                <w:p w14:paraId="23C7EB18">
                  <w:pPr>
                    <w:spacing w:line="240" w:lineRule="auto"/>
                    <w:ind w:firstLine="0" w:firstLineChars="0"/>
                    <w:jc w:val="center"/>
                    <w:rPr>
                      <w:color w:val="auto"/>
                      <w:sz w:val="21"/>
                      <w:szCs w:val="21"/>
                      <w:u w:val="none"/>
                    </w:rPr>
                  </w:pPr>
                  <w:r>
                    <w:rPr>
                      <w:rFonts w:hint="eastAsia"/>
                      <w:color w:val="auto"/>
                      <w:sz w:val="21"/>
                      <w:szCs w:val="21"/>
                      <w:u w:val="none"/>
                    </w:rPr>
                    <w:t>Ⅱ</w:t>
                  </w:r>
                </w:p>
              </w:tc>
              <w:tc>
                <w:tcPr>
                  <w:tcW w:w="845" w:type="pct"/>
                  <w:tcBorders>
                    <w:left w:val="single" w:color="000000" w:sz="4" w:space="0"/>
                  </w:tcBorders>
                  <w:noWrap w:val="0"/>
                  <w:vAlign w:val="center"/>
                </w:tcPr>
                <w:p w14:paraId="64F4B588">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72D0CDF4">
                  <w:pPr>
                    <w:spacing w:line="240" w:lineRule="auto"/>
                    <w:ind w:firstLine="0" w:firstLineChars="0"/>
                    <w:jc w:val="center"/>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46" w:type="pct"/>
                  <w:tcBorders>
                    <w:left w:val="single" w:color="000000" w:sz="4" w:space="0"/>
                  </w:tcBorders>
                  <w:noWrap w:val="0"/>
                  <w:vAlign w:val="center"/>
                </w:tcPr>
                <w:p w14:paraId="58E7AA7B">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w:t>
                  </w:r>
                </w:p>
              </w:tc>
            </w:tr>
            <w:tr w14:paraId="79E2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0657F99D">
                  <w:pPr>
                    <w:spacing w:line="240" w:lineRule="auto"/>
                    <w:ind w:firstLine="0" w:firstLineChars="0"/>
                    <w:jc w:val="center"/>
                    <w:rPr>
                      <w:color w:val="auto"/>
                      <w:sz w:val="21"/>
                      <w:szCs w:val="21"/>
                      <w:u w:val="none"/>
                    </w:rPr>
                  </w:pPr>
                  <w:r>
                    <w:rPr>
                      <w:rFonts w:hint="eastAsia"/>
                      <w:color w:val="auto"/>
                      <w:sz w:val="21"/>
                      <w:szCs w:val="21"/>
                      <w:u w:val="none"/>
                    </w:rPr>
                    <w:t>7月</w:t>
                  </w:r>
                </w:p>
              </w:tc>
              <w:tc>
                <w:tcPr>
                  <w:tcW w:w="852" w:type="pct"/>
                  <w:tcBorders>
                    <w:right w:val="single" w:color="000000" w:sz="4" w:space="0"/>
                  </w:tcBorders>
                  <w:noWrap w:val="0"/>
                  <w:vAlign w:val="center"/>
                </w:tcPr>
                <w:p w14:paraId="750DA12E">
                  <w:pPr>
                    <w:spacing w:line="240" w:lineRule="auto"/>
                    <w:ind w:firstLine="0" w:firstLineChars="0"/>
                    <w:jc w:val="center"/>
                    <w:rPr>
                      <w:rFonts w:hint="eastAsia"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rPr>
                    <w:t>Ⅱ</w:t>
                  </w:r>
                </w:p>
              </w:tc>
              <w:tc>
                <w:tcPr>
                  <w:tcW w:w="845" w:type="pct"/>
                  <w:tcBorders>
                    <w:left w:val="single" w:color="000000" w:sz="4" w:space="0"/>
                  </w:tcBorders>
                  <w:noWrap w:val="0"/>
                  <w:vAlign w:val="center"/>
                </w:tcPr>
                <w:p w14:paraId="6593BDD0">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7F22C9D6">
                  <w:pPr>
                    <w:spacing w:line="240" w:lineRule="auto"/>
                    <w:ind w:firstLine="0" w:firstLineChars="0"/>
                    <w:jc w:val="center"/>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46" w:type="pct"/>
                  <w:tcBorders>
                    <w:left w:val="single" w:color="000000" w:sz="4" w:space="0"/>
                  </w:tcBorders>
                  <w:noWrap w:val="0"/>
                  <w:vAlign w:val="center"/>
                </w:tcPr>
                <w:p w14:paraId="34C6CAB4">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w:t>
                  </w:r>
                </w:p>
              </w:tc>
            </w:tr>
            <w:tr w14:paraId="3EA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42A38379">
                  <w:pPr>
                    <w:spacing w:line="240" w:lineRule="auto"/>
                    <w:ind w:firstLine="0" w:firstLineChars="0"/>
                    <w:jc w:val="center"/>
                    <w:rPr>
                      <w:color w:val="auto"/>
                      <w:sz w:val="21"/>
                      <w:szCs w:val="21"/>
                      <w:u w:val="none"/>
                    </w:rPr>
                  </w:pPr>
                  <w:r>
                    <w:rPr>
                      <w:rFonts w:hint="eastAsia"/>
                      <w:color w:val="auto"/>
                      <w:sz w:val="21"/>
                      <w:szCs w:val="21"/>
                      <w:u w:val="none"/>
                    </w:rPr>
                    <w:t>8月</w:t>
                  </w:r>
                </w:p>
              </w:tc>
              <w:tc>
                <w:tcPr>
                  <w:tcW w:w="852" w:type="pct"/>
                  <w:tcBorders>
                    <w:right w:val="single" w:color="000000" w:sz="4" w:space="0"/>
                  </w:tcBorders>
                  <w:noWrap w:val="0"/>
                  <w:vAlign w:val="center"/>
                </w:tcPr>
                <w:p w14:paraId="4A3862D0">
                  <w:pPr>
                    <w:spacing w:line="240" w:lineRule="auto"/>
                    <w:ind w:firstLine="0" w:firstLineChars="0"/>
                    <w:jc w:val="center"/>
                    <w:rPr>
                      <w:rFonts w:hint="eastAsia"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rPr>
                    <w:t>Ⅰ</w:t>
                  </w:r>
                </w:p>
              </w:tc>
              <w:tc>
                <w:tcPr>
                  <w:tcW w:w="845" w:type="pct"/>
                  <w:tcBorders>
                    <w:left w:val="single" w:color="000000" w:sz="4" w:space="0"/>
                  </w:tcBorders>
                  <w:noWrap w:val="0"/>
                  <w:vAlign w:val="center"/>
                </w:tcPr>
                <w:p w14:paraId="1CC31186">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7944AC1C">
                  <w:pPr>
                    <w:spacing w:line="240" w:lineRule="auto"/>
                    <w:ind w:firstLine="0" w:firstLineChars="0"/>
                    <w:jc w:val="center"/>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46" w:type="pct"/>
                  <w:tcBorders>
                    <w:left w:val="single" w:color="000000" w:sz="4" w:space="0"/>
                  </w:tcBorders>
                  <w:noWrap w:val="0"/>
                  <w:vAlign w:val="center"/>
                </w:tcPr>
                <w:p w14:paraId="7CB76A23">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w:t>
                  </w:r>
                </w:p>
              </w:tc>
            </w:tr>
            <w:tr w14:paraId="2E6C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29581DA4">
                  <w:pPr>
                    <w:spacing w:line="240" w:lineRule="auto"/>
                    <w:ind w:firstLine="0" w:firstLineChars="0"/>
                    <w:jc w:val="center"/>
                    <w:rPr>
                      <w:color w:val="auto"/>
                      <w:sz w:val="21"/>
                      <w:szCs w:val="21"/>
                      <w:u w:val="none"/>
                    </w:rPr>
                  </w:pPr>
                  <w:r>
                    <w:rPr>
                      <w:rFonts w:hint="eastAsia"/>
                      <w:color w:val="auto"/>
                      <w:sz w:val="21"/>
                      <w:szCs w:val="21"/>
                      <w:u w:val="none"/>
                    </w:rPr>
                    <w:t>9月</w:t>
                  </w:r>
                </w:p>
              </w:tc>
              <w:tc>
                <w:tcPr>
                  <w:tcW w:w="852" w:type="pct"/>
                  <w:tcBorders>
                    <w:right w:val="single" w:color="000000" w:sz="4" w:space="0"/>
                  </w:tcBorders>
                  <w:noWrap w:val="0"/>
                  <w:vAlign w:val="center"/>
                </w:tcPr>
                <w:p w14:paraId="30982F7D">
                  <w:pPr>
                    <w:spacing w:line="240" w:lineRule="auto"/>
                    <w:ind w:firstLine="0" w:firstLineChars="0"/>
                    <w:jc w:val="center"/>
                    <w:rPr>
                      <w:rFonts w:hint="eastAsia"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rPr>
                    <w:t>Ⅰ</w:t>
                  </w:r>
                </w:p>
              </w:tc>
              <w:tc>
                <w:tcPr>
                  <w:tcW w:w="845" w:type="pct"/>
                  <w:tcBorders>
                    <w:left w:val="single" w:color="000000" w:sz="4" w:space="0"/>
                  </w:tcBorders>
                  <w:noWrap w:val="0"/>
                  <w:vAlign w:val="center"/>
                </w:tcPr>
                <w:p w14:paraId="2049BFD0">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rPr>
                    <w:t>Ⅰ</w:t>
                  </w:r>
                </w:p>
              </w:tc>
              <w:tc>
                <w:tcPr>
                  <w:tcW w:w="889" w:type="pct"/>
                  <w:tcBorders>
                    <w:right w:val="single" w:color="000000" w:sz="4" w:space="0"/>
                  </w:tcBorders>
                  <w:noWrap w:val="0"/>
                  <w:vAlign w:val="center"/>
                </w:tcPr>
                <w:p w14:paraId="7C80F707">
                  <w:pPr>
                    <w:spacing w:line="240" w:lineRule="auto"/>
                    <w:ind w:firstLine="0" w:firstLineChars="0"/>
                    <w:jc w:val="center"/>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46" w:type="pct"/>
                  <w:tcBorders>
                    <w:left w:val="single" w:color="000000" w:sz="4" w:space="0"/>
                  </w:tcBorders>
                  <w:noWrap w:val="0"/>
                  <w:vAlign w:val="center"/>
                </w:tcPr>
                <w:p w14:paraId="0DF3F831">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w:t>
                  </w:r>
                </w:p>
              </w:tc>
            </w:tr>
            <w:tr w14:paraId="136C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609F95C4">
                  <w:pPr>
                    <w:spacing w:line="240" w:lineRule="auto"/>
                    <w:ind w:firstLine="0" w:firstLineChars="0"/>
                    <w:jc w:val="center"/>
                    <w:rPr>
                      <w:color w:val="auto"/>
                      <w:sz w:val="21"/>
                      <w:szCs w:val="21"/>
                      <w:u w:val="none"/>
                    </w:rPr>
                  </w:pPr>
                  <w:r>
                    <w:rPr>
                      <w:rFonts w:hint="eastAsia"/>
                      <w:color w:val="auto"/>
                      <w:sz w:val="21"/>
                      <w:szCs w:val="21"/>
                      <w:u w:val="none"/>
                    </w:rPr>
                    <w:t>10月</w:t>
                  </w:r>
                </w:p>
              </w:tc>
              <w:tc>
                <w:tcPr>
                  <w:tcW w:w="852" w:type="pct"/>
                  <w:tcBorders>
                    <w:right w:val="single" w:color="000000" w:sz="4" w:space="0"/>
                  </w:tcBorders>
                  <w:noWrap w:val="0"/>
                  <w:vAlign w:val="center"/>
                </w:tcPr>
                <w:p w14:paraId="354673A0">
                  <w:pPr>
                    <w:spacing w:line="240" w:lineRule="auto"/>
                    <w:ind w:firstLine="0" w:firstLineChars="0"/>
                    <w:jc w:val="center"/>
                    <w:rPr>
                      <w:rFonts w:hint="eastAsia"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rPr>
                    <w:t>Ⅰ</w:t>
                  </w:r>
                </w:p>
              </w:tc>
              <w:tc>
                <w:tcPr>
                  <w:tcW w:w="845" w:type="pct"/>
                  <w:tcBorders>
                    <w:left w:val="single" w:color="000000" w:sz="4" w:space="0"/>
                  </w:tcBorders>
                  <w:noWrap w:val="0"/>
                  <w:vAlign w:val="center"/>
                </w:tcPr>
                <w:p w14:paraId="6E248DB0">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713B2850">
                  <w:pPr>
                    <w:spacing w:line="240" w:lineRule="auto"/>
                    <w:ind w:firstLine="0" w:firstLineChars="0"/>
                    <w:jc w:val="center"/>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46" w:type="pct"/>
                  <w:tcBorders>
                    <w:left w:val="single" w:color="000000" w:sz="4" w:space="0"/>
                  </w:tcBorders>
                  <w:noWrap w:val="0"/>
                  <w:vAlign w:val="center"/>
                </w:tcPr>
                <w:p w14:paraId="25E94FF1">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w:t>
                  </w:r>
                </w:p>
              </w:tc>
            </w:tr>
            <w:tr w14:paraId="3137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1A5AA5CD">
                  <w:pPr>
                    <w:spacing w:line="240" w:lineRule="auto"/>
                    <w:ind w:firstLine="0" w:firstLineChars="0"/>
                    <w:jc w:val="center"/>
                    <w:rPr>
                      <w:color w:val="auto"/>
                      <w:sz w:val="21"/>
                      <w:szCs w:val="21"/>
                      <w:u w:val="none"/>
                    </w:rPr>
                  </w:pPr>
                  <w:r>
                    <w:rPr>
                      <w:rFonts w:hint="eastAsia"/>
                      <w:color w:val="auto"/>
                      <w:sz w:val="21"/>
                      <w:szCs w:val="21"/>
                      <w:u w:val="none"/>
                    </w:rPr>
                    <w:t>11月</w:t>
                  </w:r>
                </w:p>
              </w:tc>
              <w:tc>
                <w:tcPr>
                  <w:tcW w:w="852" w:type="pct"/>
                  <w:tcBorders>
                    <w:right w:val="single" w:color="000000" w:sz="4" w:space="0"/>
                  </w:tcBorders>
                  <w:noWrap w:val="0"/>
                  <w:vAlign w:val="center"/>
                </w:tcPr>
                <w:p w14:paraId="3029CF61">
                  <w:pPr>
                    <w:spacing w:line="240" w:lineRule="auto"/>
                    <w:ind w:firstLine="0" w:firstLineChars="0"/>
                    <w:jc w:val="center"/>
                    <w:rPr>
                      <w:rFonts w:hint="eastAsia"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rPr>
                    <w:t>Ⅱ</w:t>
                  </w:r>
                </w:p>
              </w:tc>
              <w:tc>
                <w:tcPr>
                  <w:tcW w:w="845" w:type="pct"/>
                  <w:tcBorders>
                    <w:left w:val="single" w:color="000000" w:sz="4" w:space="0"/>
                  </w:tcBorders>
                  <w:noWrap w:val="0"/>
                  <w:vAlign w:val="center"/>
                </w:tcPr>
                <w:p w14:paraId="23A5E811">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37146EC4">
                  <w:pPr>
                    <w:spacing w:line="240" w:lineRule="auto"/>
                    <w:ind w:firstLine="0" w:firstLineChars="0"/>
                    <w:jc w:val="center"/>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46" w:type="pct"/>
                  <w:tcBorders>
                    <w:left w:val="single" w:color="000000" w:sz="4" w:space="0"/>
                  </w:tcBorders>
                  <w:noWrap w:val="0"/>
                  <w:vAlign w:val="center"/>
                </w:tcPr>
                <w:p w14:paraId="3F7068F4">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w:t>
                  </w:r>
                </w:p>
              </w:tc>
            </w:tr>
            <w:tr w14:paraId="0EB5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pct"/>
                  <w:noWrap w:val="0"/>
                  <w:vAlign w:val="center"/>
                </w:tcPr>
                <w:p w14:paraId="374C75A7">
                  <w:pPr>
                    <w:spacing w:line="240" w:lineRule="auto"/>
                    <w:ind w:firstLine="0" w:firstLineChars="0"/>
                    <w:jc w:val="center"/>
                    <w:rPr>
                      <w:color w:val="auto"/>
                      <w:sz w:val="21"/>
                      <w:szCs w:val="21"/>
                      <w:u w:val="none"/>
                    </w:rPr>
                  </w:pPr>
                  <w:r>
                    <w:rPr>
                      <w:rFonts w:hint="eastAsia"/>
                      <w:color w:val="auto"/>
                      <w:sz w:val="21"/>
                      <w:szCs w:val="21"/>
                      <w:u w:val="none"/>
                    </w:rPr>
                    <w:t>12月</w:t>
                  </w:r>
                </w:p>
              </w:tc>
              <w:tc>
                <w:tcPr>
                  <w:tcW w:w="852" w:type="pct"/>
                  <w:tcBorders>
                    <w:right w:val="single" w:color="000000" w:sz="4" w:space="0"/>
                  </w:tcBorders>
                  <w:noWrap w:val="0"/>
                  <w:vAlign w:val="center"/>
                </w:tcPr>
                <w:p w14:paraId="439D0728">
                  <w:pPr>
                    <w:spacing w:line="240" w:lineRule="auto"/>
                    <w:ind w:firstLine="0" w:firstLineChars="0"/>
                    <w:jc w:val="center"/>
                    <w:rPr>
                      <w:color w:val="auto"/>
                      <w:sz w:val="21"/>
                      <w:szCs w:val="21"/>
                      <w:u w:val="none"/>
                    </w:rPr>
                  </w:pPr>
                  <w:r>
                    <w:rPr>
                      <w:rFonts w:hint="eastAsia"/>
                      <w:color w:val="auto"/>
                      <w:sz w:val="21"/>
                      <w:szCs w:val="21"/>
                      <w:u w:val="none"/>
                    </w:rPr>
                    <w:t>Ⅱ</w:t>
                  </w:r>
                </w:p>
              </w:tc>
              <w:tc>
                <w:tcPr>
                  <w:tcW w:w="845" w:type="pct"/>
                  <w:tcBorders>
                    <w:left w:val="single" w:color="000000" w:sz="4" w:space="0"/>
                  </w:tcBorders>
                  <w:noWrap w:val="0"/>
                  <w:vAlign w:val="center"/>
                </w:tcPr>
                <w:p w14:paraId="06652824">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rPr>
                    <w:t>Ⅱ</w:t>
                  </w:r>
                </w:p>
              </w:tc>
              <w:tc>
                <w:tcPr>
                  <w:tcW w:w="889" w:type="pct"/>
                  <w:tcBorders>
                    <w:right w:val="single" w:color="000000" w:sz="4" w:space="0"/>
                  </w:tcBorders>
                  <w:noWrap w:val="0"/>
                  <w:vAlign w:val="center"/>
                </w:tcPr>
                <w:p w14:paraId="664A2E36">
                  <w:pPr>
                    <w:spacing w:line="240" w:lineRule="auto"/>
                    <w:ind w:firstLine="0" w:firstLineChars="0"/>
                    <w:jc w:val="center"/>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46" w:type="pct"/>
                  <w:tcBorders>
                    <w:left w:val="single" w:color="000000" w:sz="4" w:space="0"/>
                  </w:tcBorders>
                  <w:noWrap w:val="0"/>
                  <w:vAlign w:val="center"/>
                </w:tcPr>
                <w:p w14:paraId="22E605AD">
                  <w:pPr>
                    <w:spacing w:line="240" w:lineRule="auto"/>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w:t>
                  </w:r>
                </w:p>
              </w:tc>
            </w:tr>
          </w:tbl>
          <w:p w14:paraId="514F089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4、地下水、土壤现状调查</w:t>
            </w:r>
          </w:p>
          <w:p w14:paraId="6CA7708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原则上不开展地下水环境质量现状调查，建设项目存在土壤、地下水环境污染途径的，应结合污染源、保护目标分布情况开展现状调查以留作背景值。本项目厂区生产车间地面全部进行硬化，化学品原辅材料仓、危废暂存间等进行防渗防腐设置，本项目运营期主要的废气为非甲烷总烃废气，废水经预处理后</w:t>
            </w:r>
            <w:r>
              <w:rPr>
                <w:rFonts w:hint="eastAsia"/>
                <w:color w:val="000000" w:themeColor="text1"/>
                <w:lang w:eastAsia="zh-CN"/>
                <w14:textFill>
                  <w14:solidFill>
                    <w14:schemeClr w14:val="tx1"/>
                  </w14:solidFill>
                </w14:textFill>
              </w:rPr>
              <w:t>排入市政污水管网</w:t>
            </w:r>
            <w:r>
              <w:rPr>
                <w:rFonts w:hint="eastAsia"/>
                <w:color w:val="000000" w:themeColor="text1"/>
                <w14:textFill>
                  <w14:solidFill>
                    <w14:schemeClr w14:val="tx1"/>
                  </w14:solidFill>
                </w14:textFill>
              </w:rPr>
              <w:t>，根据《建设项目环境影响报告表编制技术指南（污染影响类）（试行）》，本项目不存在相关土壤、地下水污染途径。故可不开展土壤、地下水环境现状调查。</w:t>
            </w:r>
          </w:p>
          <w:p w14:paraId="100A0C1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5、生态环境</w:t>
            </w:r>
          </w:p>
          <w:p w14:paraId="31F4D4E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位于零陵潇湘汽车城内，本次为扩建现状评价</w:t>
            </w:r>
            <w:r>
              <w:rPr>
                <w:rFonts w:hint="eastAsia"/>
                <w:color w:val="000000" w:themeColor="text1"/>
                <w14:textFill>
                  <w14:solidFill>
                    <w14:schemeClr w14:val="tx1"/>
                  </w14:solidFill>
                </w14:textFill>
              </w:rPr>
              <w:t>，无新增用</w:t>
            </w:r>
            <w:r>
              <w:rPr>
                <w:rFonts w:hint="eastAsia"/>
                <w:color w:val="000000" w:themeColor="text1"/>
                <w:lang w:val="en-US" w:eastAsia="zh-CN"/>
                <w14:textFill>
                  <w14:solidFill>
                    <w14:schemeClr w14:val="tx1"/>
                  </w14:solidFill>
                </w14:textFill>
              </w:rPr>
              <w:t>地与土建工程</w:t>
            </w:r>
            <w:r>
              <w:rPr>
                <w:rFonts w:hint="eastAsia"/>
                <w:color w:val="000000" w:themeColor="text1"/>
                <w14:textFill>
                  <w14:solidFill>
                    <w14:schemeClr w14:val="tx1"/>
                  </w14:solidFill>
                </w14:textFill>
              </w:rPr>
              <w:t>，且用地范围内无生态环境保护目标。</w:t>
            </w:r>
          </w:p>
          <w:p w14:paraId="34EA02C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6、电磁辐射</w:t>
            </w:r>
          </w:p>
          <w:p w14:paraId="3A84A6E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本项目不涉及电磁辐射有关内容。</w:t>
            </w:r>
          </w:p>
        </w:tc>
      </w:tr>
      <w:tr w14:paraId="7B0AB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1" w:type="dxa"/>
            <w:noWrap w:val="0"/>
            <w:vAlign w:val="center"/>
          </w:tcPr>
          <w:p w14:paraId="5D3A451C">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环境</w:t>
            </w:r>
          </w:p>
          <w:p w14:paraId="3D60DE36">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保护</w:t>
            </w:r>
          </w:p>
          <w:p w14:paraId="101BE841">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目标</w:t>
            </w:r>
          </w:p>
        </w:tc>
        <w:tc>
          <w:tcPr>
            <w:tcW w:w="8610" w:type="dxa"/>
            <w:noWrap w:val="0"/>
            <w:vAlign w:val="center"/>
          </w:tcPr>
          <w:p w14:paraId="210B081D">
            <w:pPr>
              <w:bidi w:val="0"/>
            </w:pPr>
            <w:r>
              <w:rPr>
                <w:rFonts w:hint="eastAsia"/>
              </w:rPr>
              <w:t>本项目</w:t>
            </w:r>
            <w:r>
              <w:rPr>
                <w:rFonts w:hint="eastAsia"/>
                <w:lang w:eastAsia="zh-CN"/>
              </w:rPr>
              <w:t>位于零陵潇湘汽车城</w:t>
            </w:r>
            <w:r>
              <w:rPr>
                <w:rFonts w:hint="eastAsia"/>
              </w:rPr>
              <w:t>，据调查，项目厂界外500m范围内无自然保护区、风景名胜区、文化区，</w:t>
            </w:r>
            <w:r>
              <w:rPr>
                <w:rFonts w:hint="eastAsia"/>
                <w:lang w:val="zh-CN"/>
              </w:rPr>
              <w:t>无地下水集中式饮用水水源和热水、矿泉水、温泉等特殊地下水资源</w:t>
            </w:r>
            <w:r>
              <w:rPr>
                <w:rFonts w:hint="eastAsia"/>
              </w:rPr>
              <w:t>等；本次大气环境保护目标调查列出厂界外500m范围内居住区和农村地区中人群较集中的区域等保护目标的名称及与建设项目厂界位置关系，调查厂界外50m范围内声环境保护目标；确定需纳入保护的</w:t>
            </w:r>
            <w:r>
              <w:t>环境保护目标</w:t>
            </w:r>
            <w:r>
              <w:rPr>
                <w:rFonts w:hint="eastAsia"/>
              </w:rPr>
              <w:t>详</w:t>
            </w:r>
            <w:r>
              <w:t>见表</w:t>
            </w:r>
            <w:r>
              <w:rPr>
                <w:rFonts w:hint="eastAsia"/>
              </w:rPr>
              <w:t>3</w:t>
            </w:r>
            <w:r>
              <w:t>-</w:t>
            </w:r>
            <w:r>
              <w:rPr>
                <w:rFonts w:hint="eastAsia"/>
                <w:lang w:val="en-US" w:eastAsia="zh-CN"/>
              </w:rPr>
              <w:t>3</w:t>
            </w:r>
            <w:r>
              <w:rPr>
                <w:rFonts w:hint="eastAsia"/>
              </w:rPr>
              <w:t>。</w:t>
            </w:r>
          </w:p>
          <w:p w14:paraId="5C2BB319">
            <w:pPr>
              <w:spacing w:line="400" w:lineRule="exact"/>
              <w:ind w:firstLine="42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3</w:t>
            </w:r>
            <w:r>
              <w:rPr>
                <w:b/>
                <w:color w:val="000000" w:themeColor="text1"/>
                <w:sz w:val="21"/>
                <w:szCs w:val="21"/>
                <w14:textFill>
                  <w14:solidFill>
                    <w14:schemeClr w14:val="tx1"/>
                  </w14:solidFill>
                </w14:textFill>
              </w:rPr>
              <w:t>-</w:t>
            </w:r>
            <w:r>
              <w:rPr>
                <w:rFonts w:hint="eastAsia"/>
                <w:b/>
                <w:color w:val="000000" w:themeColor="text1"/>
                <w:sz w:val="21"/>
                <w:szCs w:val="21"/>
                <w:lang w:val="en-US" w:eastAsia="zh-CN"/>
                <w14:textFill>
                  <w14:solidFill>
                    <w14:schemeClr w14:val="tx1"/>
                  </w14:solidFill>
                </w14:textFill>
              </w:rPr>
              <w:t>3</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项目周边主要环境保护目标</w:t>
            </w:r>
          </w:p>
          <w:tbl>
            <w:tblPr>
              <w:tblStyle w:val="26"/>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04"/>
              <w:gridCol w:w="1252"/>
              <w:gridCol w:w="1308"/>
              <w:gridCol w:w="1106"/>
              <w:gridCol w:w="1081"/>
              <w:gridCol w:w="1262"/>
              <w:gridCol w:w="1553"/>
            </w:tblGrid>
            <w:tr w14:paraId="33270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81" w:type="pct"/>
                  <w:vMerge w:val="restart"/>
                  <w:tcBorders>
                    <w:right w:val="single" w:color="000000" w:sz="4" w:space="0"/>
                  </w:tcBorders>
                  <w:noWrap w:val="0"/>
                  <w:tcMar>
                    <w:top w:w="12" w:type="dxa"/>
                    <w:left w:w="12" w:type="dxa"/>
                    <w:right w:w="12" w:type="dxa"/>
                  </w:tcMar>
                  <w:vAlign w:val="center"/>
                </w:tcPr>
                <w:p w14:paraId="02FB3073">
                  <w:pPr>
                    <w:widowControl/>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名称</w:t>
                  </w:r>
                </w:p>
              </w:tc>
              <w:tc>
                <w:tcPr>
                  <w:tcW w:w="1530" w:type="pct"/>
                  <w:gridSpan w:val="2"/>
                  <w:tcBorders>
                    <w:left w:val="single" w:color="000000" w:sz="4" w:space="0"/>
                  </w:tcBorders>
                  <w:noWrap w:val="0"/>
                  <w:tcMar>
                    <w:top w:w="12" w:type="dxa"/>
                    <w:left w:w="12" w:type="dxa"/>
                    <w:right w:w="12" w:type="dxa"/>
                  </w:tcMar>
                  <w:vAlign w:val="center"/>
                </w:tcPr>
                <w:p w14:paraId="6E6A2E37">
                  <w:pPr>
                    <w:widowControl/>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坐标/m</w:t>
                  </w:r>
                </w:p>
              </w:tc>
              <w:tc>
                <w:tcPr>
                  <w:tcW w:w="661" w:type="pct"/>
                  <w:vMerge w:val="restart"/>
                  <w:noWrap w:val="0"/>
                  <w:tcMar>
                    <w:top w:w="12" w:type="dxa"/>
                    <w:left w:w="12" w:type="dxa"/>
                    <w:right w:w="12" w:type="dxa"/>
                  </w:tcMar>
                  <w:vAlign w:val="center"/>
                </w:tcPr>
                <w:p w14:paraId="007DD640">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保护对象</w:t>
                  </w:r>
                </w:p>
              </w:tc>
              <w:tc>
                <w:tcPr>
                  <w:tcW w:w="646" w:type="pct"/>
                  <w:vMerge w:val="restart"/>
                  <w:noWrap w:val="0"/>
                  <w:tcMar>
                    <w:top w:w="12" w:type="dxa"/>
                    <w:left w:w="12" w:type="dxa"/>
                    <w:right w:w="12" w:type="dxa"/>
                  </w:tcMar>
                  <w:vAlign w:val="center"/>
                </w:tcPr>
                <w:p w14:paraId="5A70E02C">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保护内容</w:t>
                  </w:r>
                </w:p>
              </w:tc>
              <w:tc>
                <w:tcPr>
                  <w:tcW w:w="754" w:type="pct"/>
                  <w:vMerge w:val="restart"/>
                  <w:noWrap w:val="0"/>
                  <w:tcMar>
                    <w:top w:w="12" w:type="dxa"/>
                    <w:left w:w="12" w:type="dxa"/>
                    <w:right w:w="12" w:type="dxa"/>
                  </w:tcMar>
                  <w:vAlign w:val="center"/>
                </w:tcPr>
                <w:p w14:paraId="47A7CE8F">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环境功能区</w:t>
                  </w:r>
                </w:p>
              </w:tc>
              <w:tc>
                <w:tcPr>
                  <w:tcW w:w="925" w:type="pct"/>
                  <w:vMerge w:val="restart"/>
                  <w:noWrap w:val="0"/>
                  <w:tcMar>
                    <w:top w:w="12" w:type="dxa"/>
                    <w:left w:w="12" w:type="dxa"/>
                    <w:right w:w="12" w:type="dxa"/>
                  </w:tcMar>
                  <w:vAlign w:val="center"/>
                </w:tcPr>
                <w:p w14:paraId="77E8C7BC">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方位及距离</w:t>
                  </w:r>
                </w:p>
              </w:tc>
            </w:tr>
            <w:tr w14:paraId="41B21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81" w:type="pct"/>
                  <w:vMerge w:val="continue"/>
                  <w:tcBorders>
                    <w:bottom w:val="single" w:color="000000" w:sz="6" w:space="0"/>
                    <w:right w:val="single" w:color="000000" w:sz="4" w:space="0"/>
                  </w:tcBorders>
                  <w:noWrap w:val="0"/>
                  <w:tcMar>
                    <w:top w:w="12" w:type="dxa"/>
                    <w:left w:w="12" w:type="dxa"/>
                    <w:right w:w="12" w:type="dxa"/>
                  </w:tcMar>
                  <w:vAlign w:val="center"/>
                </w:tcPr>
                <w:p w14:paraId="38246400">
                  <w:pPr>
                    <w:widowControl/>
                    <w:spacing w:line="240" w:lineRule="auto"/>
                    <w:ind w:firstLine="0" w:firstLineChars="0"/>
                    <w:jc w:val="center"/>
                    <w:rPr>
                      <w:rFonts w:hint="eastAsia"/>
                      <w:color w:val="000000" w:themeColor="text1"/>
                      <w:kern w:val="0"/>
                      <w:sz w:val="21"/>
                      <w:szCs w:val="21"/>
                      <w14:textFill>
                        <w14:solidFill>
                          <w14:schemeClr w14:val="tx1"/>
                        </w14:solidFill>
                      </w14:textFill>
                    </w:rPr>
                  </w:pPr>
                </w:p>
              </w:tc>
              <w:tc>
                <w:tcPr>
                  <w:tcW w:w="748" w:type="pct"/>
                  <w:tcBorders>
                    <w:left w:val="single" w:color="000000" w:sz="4" w:space="0"/>
                    <w:bottom w:val="single" w:color="000000" w:sz="6" w:space="0"/>
                  </w:tcBorders>
                  <w:noWrap w:val="0"/>
                  <w:tcMar>
                    <w:top w:w="12" w:type="dxa"/>
                    <w:left w:w="12" w:type="dxa"/>
                    <w:right w:w="12" w:type="dxa"/>
                  </w:tcMar>
                  <w:vAlign w:val="center"/>
                </w:tcPr>
                <w:p w14:paraId="5F7769E7">
                  <w:pPr>
                    <w:widowControl/>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经度</w:t>
                  </w:r>
                </w:p>
              </w:tc>
              <w:tc>
                <w:tcPr>
                  <w:tcW w:w="781" w:type="pct"/>
                  <w:tcBorders>
                    <w:left w:val="single" w:color="000000" w:sz="4" w:space="0"/>
                    <w:bottom w:val="single" w:color="000000" w:sz="6" w:space="0"/>
                  </w:tcBorders>
                  <w:noWrap w:val="0"/>
                  <w:tcMar>
                    <w:top w:w="12" w:type="dxa"/>
                    <w:left w:w="12" w:type="dxa"/>
                    <w:right w:w="12" w:type="dxa"/>
                  </w:tcMar>
                  <w:vAlign w:val="center"/>
                </w:tcPr>
                <w:p w14:paraId="2AFED458">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纬度</w:t>
                  </w:r>
                </w:p>
              </w:tc>
              <w:tc>
                <w:tcPr>
                  <w:tcW w:w="661" w:type="pct"/>
                  <w:vMerge w:val="continue"/>
                  <w:tcBorders>
                    <w:bottom w:val="single" w:color="000000" w:sz="6" w:space="0"/>
                  </w:tcBorders>
                  <w:noWrap w:val="0"/>
                  <w:tcMar>
                    <w:top w:w="12" w:type="dxa"/>
                    <w:left w:w="12" w:type="dxa"/>
                    <w:right w:w="12" w:type="dxa"/>
                  </w:tcMar>
                  <w:vAlign w:val="center"/>
                </w:tcPr>
                <w:p w14:paraId="2B7D4213">
                  <w:pPr>
                    <w:widowControl/>
                    <w:spacing w:line="240" w:lineRule="auto"/>
                    <w:ind w:firstLine="0" w:firstLineChars="0"/>
                    <w:jc w:val="center"/>
                    <w:rPr>
                      <w:color w:val="000000" w:themeColor="text1"/>
                      <w:kern w:val="0"/>
                      <w:sz w:val="21"/>
                      <w:szCs w:val="21"/>
                      <w14:textFill>
                        <w14:solidFill>
                          <w14:schemeClr w14:val="tx1"/>
                        </w14:solidFill>
                      </w14:textFill>
                    </w:rPr>
                  </w:pPr>
                </w:p>
              </w:tc>
              <w:tc>
                <w:tcPr>
                  <w:tcW w:w="646" w:type="pct"/>
                  <w:vMerge w:val="continue"/>
                  <w:tcBorders>
                    <w:bottom w:val="single" w:color="000000" w:sz="6" w:space="0"/>
                  </w:tcBorders>
                  <w:noWrap w:val="0"/>
                  <w:tcMar>
                    <w:top w:w="12" w:type="dxa"/>
                    <w:left w:w="12" w:type="dxa"/>
                    <w:right w:w="12" w:type="dxa"/>
                  </w:tcMar>
                  <w:vAlign w:val="center"/>
                </w:tcPr>
                <w:p w14:paraId="50723F11">
                  <w:pPr>
                    <w:widowControl/>
                    <w:spacing w:line="240" w:lineRule="auto"/>
                    <w:ind w:firstLine="0" w:firstLineChars="0"/>
                    <w:jc w:val="center"/>
                    <w:rPr>
                      <w:color w:val="000000" w:themeColor="text1"/>
                      <w:kern w:val="0"/>
                      <w:sz w:val="21"/>
                      <w:szCs w:val="21"/>
                      <w14:textFill>
                        <w14:solidFill>
                          <w14:schemeClr w14:val="tx1"/>
                        </w14:solidFill>
                      </w14:textFill>
                    </w:rPr>
                  </w:pPr>
                </w:p>
              </w:tc>
              <w:tc>
                <w:tcPr>
                  <w:tcW w:w="754" w:type="pct"/>
                  <w:vMerge w:val="continue"/>
                  <w:tcBorders>
                    <w:bottom w:val="single" w:color="000000" w:sz="6" w:space="0"/>
                  </w:tcBorders>
                  <w:noWrap w:val="0"/>
                  <w:tcMar>
                    <w:top w:w="12" w:type="dxa"/>
                    <w:left w:w="12" w:type="dxa"/>
                    <w:right w:w="12" w:type="dxa"/>
                  </w:tcMar>
                  <w:vAlign w:val="center"/>
                </w:tcPr>
                <w:p w14:paraId="74FA7B34">
                  <w:pPr>
                    <w:widowControl/>
                    <w:spacing w:line="240" w:lineRule="auto"/>
                    <w:ind w:firstLine="0" w:firstLineChars="0"/>
                    <w:jc w:val="center"/>
                    <w:rPr>
                      <w:color w:val="000000" w:themeColor="text1"/>
                      <w:kern w:val="0"/>
                      <w:sz w:val="21"/>
                      <w:szCs w:val="21"/>
                      <w14:textFill>
                        <w14:solidFill>
                          <w14:schemeClr w14:val="tx1"/>
                        </w14:solidFill>
                      </w14:textFill>
                    </w:rPr>
                  </w:pPr>
                </w:p>
              </w:tc>
              <w:tc>
                <w:tcPr>
                  <w:tcW w:w="925" w:type="pct"/>
                  <w:vMerge w:val="continue"/>
                  <w:tcBorders>
                    <w:bottom w:val="single" w:color="000000" w:sz="6" w:space="0"/>
                  </w:tcBorders>
                  <w:noWrap w:val="0"/>
                  <w:tcMar>
                    <w:top w:w="12" w:type="dxa"/>
                    <w:left w:w="12" w:type="dxa"/>
                    <w:right w:w="12" w:type="dxa"/>
                  </w:tcMar>
                  <w:vAlign w:val="center"/>
                </w:tcPr>
                <w:p w14:paraId="148DAC67">
                  <w:pPr>
                    <w:widowControl/>
                    <w:spacing w:line="240" w:lineRule="auto"/>
                    <w:ind w:firstLine="0" w:firstLineChars="0"/>
                    <w:jc w:val="center"/>
                    <w:rPr>
                      <w:color w:val="000000" w:themeColor="text1"/>
                      <w:kern w:val="0"/>
                      <w:sz w:val="21"/>
                      <w:szCs w:val="21"/>
                      <w14:textFill>
                        <w14:solidFill>
                          <w14:schemeClr w14:val="tx1"/>
                        </w14:solidFill>
                      </w14:textFill>
                    </w:rPr>
                  </w:pPr>
                </w:p>
              </w:tc>
            </w:tr>
            <w:tr w14:paraId="1AE13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000" w:type="pct"/>
                  <w:gridSpan w:val="7"/>
                  <w:tcBorders>
                    <w:top w:val="single" w:color="000000" w:sz="6" w:space="0"/>
                  </w:tcBorders>
                  <w:noWrap w:val="0"/>
                  <w:tcMar>
                    <w:top w:w="12" w:type="dxa"/>
                    <w:left w:w="12" w:type="dxa"/>
                    <w:right w:w="12" w:type="dxa"/>
                  </w:tcMar>
                  <w:vAlign w:val="center"/>
                </w:tcPr>
                <w:p w14:paraId="0CC22808">
                  <w:pPr>
                    <w:widowControl/>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环境空气</w:t>
                  </w:r>
                </w:p>
              </w:tc>
            </w:tr>
            <w:tr w14:paraId="72222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81" w:type="pct"/>
                  <w:tcBorders>
                    <w:bottom w:val="single" w:color="auto" w:sz="4" w:space="0"/>
                  </w:tcBorders>
                  <w:noWrap w:val="0"/>
                  <w:tcMar>
                    <w:top w:w="12" w:type="dxa"/>
                    <w:left w:w="12" w:type="dxa"/>
                    <w:right w:w="12" w:type="dxa"/>
                  </w:tcMar>
                  <w:vAlign w:val="center"/>
                </w:tcPr>
                <w:p w14:paraId="5EC19915">
                  <w:pPr>
                    <w:widowControl/>
                    <w:spacing w:line="240" w:lineRule="auto"/>
                    <w:ind w:firstLine="0" w:firstLineChars="0"/>
                    <w:jc w:val="center"/>
                    <w:rPr>
                      <w:rFonts w:hint="eastAsia" w:ascii="Times New Roman" w:hAnsi="Times New Roman" w:eastAsia="宋体" w:cs="Times New Roman"/>
                      <w:bCs/>
                      <w:color w:val="FF0000"/>
                      <w:kern w:val="2"/>
                      <w:sz w:val="21"/>
                      <w:szCs w:val="21"/>
                      <w:lang w:val="zh-CN" w:eastAsia="zh-CN" w:bidi="ar-SA"/>
                    </w:rPr>
                  </w:pPr>
                  <w:r>
                    <w:rPr>
                      <w:rFonts w:hint="eastAsia"/>
                      <w:color w:val="000000" w:themeColor="text1"/>
                      <w:kern w:val="0"/>
                      <w:sz w:val="21"/>
                      <w:szCs w:val="21"/>
                      <w:u w:val="none"/>
                      <w:lang w:val="en-US" w:eastAsia="zh-CN"/>
                      <w14:textFill>
                        <w14:solidFill>
                          <w14:schemeClr w14:val="tx1"/>
                        </w14:solidFill>
                      </w14:textFill>
                    </w:rPr>
                    <w:t>潇湘社区</w:t>
                  </w:r>
                </w:p>
              </w:tc>
              <w:tc>
                <w:tcPr>
                  <w:tcW w:w="748" w:type="pct"/>
                  <w:tcBorders>
                    <w:bottom w:val="single" w:color="auto" w:sz="4" w:space="0"/>
                    <w:right w:val="single" w:color="000000" w:sz="6" w:space="0"/>
                  </w:tcBorders>
                  <w:noWrap w:val="0"/>
                  <w:tcMar>
                    <w:top w:w="12" w:type="dxa"/>
                    <w:left w:w="12" w:type="dxa"/>
                    <w:right w:w="12" w:type="dxa"/>
                  </w:tcMar>
                  <w:vAlign w:val="center"/>
                </w:tcPr>
                <w:p w14:paraId="24A7572A">
                  <w:pPr>
                    <w:widowControl/>
                    <w:spacing w:line="240" w:lineRule="auto"/>
                    <w:ind w:firstLine="0" w:firstLineChars="0"/>
                    <w:jc w:val="center"/>
                    <w:rPr>
                      <w:rFonts w:ascii="Times New Roman" w:hAnsi="Times New Roman" w:eastAsia="宋体" w:cs="Times New Roman"/>
                      <w:color w:val="FF0000"/>
                      <w:kern w:val="0"/>
                      <w:sz w:val="21"/>
                      <w:szCs w:val="21"/>
                      <w:lang w:val="en-US" w:eastAsia="zh-CN" w:bidi="ar-SA"/>
                    </w:rPr>
                  </w:pPr>
                  <w:r>
                    <w:rPr>
                      <w:rFonts w:hint="eastAsia"/>
                      <w:color w:val="000000" w:themeColor="text1"/>
                      <w:kern w:val="0"/>
                      <w:sz w:val="21"/>
                      <w:szCs w:val="21"/>
                      <w:u w:val="none"/>
                      <w:lang w:val="en-US" w:eastAsia="zh-CN"/>
                      <w14:textFill>
                        <w14:solidFill>
                          <w14:schemeClr w14:val="tx1"/>
                        </w14:solidFill>
                      </w14:textFill>
                    </w:rPr>
                    <w:t>111.63217</w:t>
                  </w:r>
                </w:p>
              </w:tc>
              <w:tc>
                <w:tcPr>
                  <w:tcW w:w="781" w:type="pct"/>
                  <w:tcBorders>
                    <w:left w:val="single" w:color="000000" w:sz="6" w:space="0"/>
                    <w:bottom w:val="single" w:color="000000" w:sz="6" w:space="0"/>
                  </w:tcBorders>
                  <w:noWrap w:val="0"/>
                  <w:tcMar>
                    <w:top w:w="12" w:type="dxa"/>
                    <w:left w:w="12" w:type="dxa"/>
                    <w:right w:w="12" w:type="dxa"/>
                  </w:tcMar>
                  <w:vAlign w:val="center"/>
                </w:tcPr>
                <w:p w14:paraId="7628FACE">
                  <w:pPr>
                    <w:widowControl/>
                    <w:spacing w:line="240" w:lineRule="auto"/>
                    <w:ind w:firstLine="0" w:firstLineChars="0"/>
                    <w:jc w:val="center"/>
                    <w:rPr>
                      <w:rFonts w:ascii="Times New Roman" w:hAnsi="Times New Roman" w:eastAsia="宋体" w:cs="Times New Roman"/>
                      <w:color w:val="FF0000"/>
                      <w:kern w:val="0"/>
                      <w:sz w:val="21"/>
                      <w:szCs w:val="21"/>
                      <w:lang w:val="en-US" w:eastAsia="zh-CN" w:bidi="ar-SA"/>
                    </w:rPr>
                  </w:pPr>
                  <w:r>
                    <w:rPr>
                      <w:rFonts w:hint="eastAsia"/>
                      <w:color w:val="000000" w:themeColor="text1"/>
                      <w:kern w:val="0"/>
                      <w:sz w:val="21"/>
                      <w:szCs w:val="21"/>
                      <w:u w:val="none"/>
                      <w:lang w:val="en-US" w:eastAsia="zh-CN"/>
                      <w14:textFill>
                        <w14:solidFill>
                          <w14:schemeClr w14:val="tx1"/>
                        </w14:solidFill>
                      </w14:textFill>
                    </w:rPr>
                    <w:t>26.29802</w:t>
                  </w:r>
                </w:p>
              </w:tc>
              <w:tc>
                <w:tcPr>
                  <w:tcW w:w="661" w:type="pct"/>
                  <w:tcBorders>
                    <w:bottom w:val="single" w:color="000000" w:sz="6" w:space="0"/>
                    <w:right w:val="single" w:color="auto" w:sz="4" w:space="0"/>
                  </w:tcBorders>
                  <w:noWrap w:val="0"/>
                  <w:tcMar>
                    <w:top w:w="12" w:type="dxa"/>
                    <w:left w:w="12" w:type="dxa"/>
                    <w:right w:w="12" w:type="dxa"/>
                  </w:tcMar>
                  <w:vAlign w:val="center"/>
                </w:tcPr>
                <w:p w14:paraId="383E5B97">
                  <w:pPr>
                    <w:widowControl/>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人群</w:t>
                  </w:r>
                </w:p>
              </w:tc>
              <w:tc>
                <w:tcPr>
                  <w:tcW w:w="646" w:type="pct"/>
                  <w:tcBorders>
                    <w:left w:val="single" w:color="auto" w:sz="4" w:space="0"/>
                    <w:bottom w:val="single" w:color="000000" w:sz="6" w:space="0"/>
                    <w:right w:val="single" w:color="auto" w:sz="4" w:space="0"/>
                  </w:tcBorders>
                  <w:noWrap w:val="0"/>
                  <w:tcMar>
                    <w:top w:w="12" w:type="dxa"/>
                    <w:left w:w="12" w:type="dxa"/>
                    <w:right w:w="12" w:type="dxa"/>
                  </w:tcMar>
                  <w:vAlign w:val="center"/>
                </w:tcPr>
                <w:p w14:paraId="2252EB35">
                  <w:pPr>
                    <w:widowControl/>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居民</w:t>
                  </w:r>
                </w:p>
              </w:tc>
              <w:tc>
                <w:tcPr>
                  <w:tcW w:w="754" w:type="pct"/>
                  <w:tcBorders>
                    <w:left w:val="single" w:color="auto" w:sz="4" w:space="0"/>
                    <w:bottom w:val="single" w:color="000000" w:sz="6" w:space="0"/>
                    <w:right w:val="single" w:color="auto" w:sz="4" w:space="0"/>
                  </w:tcBorders>
                  <w:noWrap w:val="0"/>
                  <w:tcMar>
                    <w:top w:w="12" w:type="dxa"/>
                    <w:left w:w="12" w:type="dxa"/>
                    <w:right w:w="12" w:type="dxa"/>
                  </w:tcMar>
                  <w:vAlign w:val="center"/>
                </w:tcPr>
                <w:p w14:paraId="5E2321F1">
                  <w:pPr>
                    <w:widowControl/>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14:textFill>
                        <w14:solidFill>
                          <w14:schemeClr w14:val="tx1"/>
                        </w14:solidFill>
                      </w14:textFill>
                    </w:rPr>
                    <w:t>二类区</w:t>
                  </w:r>
                </w:p>
              </w:tc>
              <w:tc>
                <w:tcPr>
                  <w:tcW w:w="925" w:type="pct"/>
                  <w:tcBorders>
                    <w:left w:val="single" w:color="auto" w:sz="4" w:space="0"/>
                    <w:bottom w:val="single" w:color="000000" w:sz="6" w:space="0"/>
                  </w:tcBorders>
                  <w:noWrap w:val="0"/>
                  <w:tcMar>
                    <w:top w:w="12" w:type="dxa"/>
                    <w:left w:w="12" w:type="dxa"/>
                    <w:right w:w="12" w:type="dxa"/>
                  </w:tcMar>
                  <w:vAlign w:val="center"/>
                </w:tcPr>
                <w:p w14:paraId="62F2D046">
                  <w:pPr>
                    <w:widowControl/>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u w:val="none"/>
                      <w:lang w:val="en-US" w:eastAsia="zh-CN"/>
                      <w14:textFill>
                        <w14:solidFill>
                          <w14:schemeClr w14:val="tx1"/>
                        </w14:solidFill>
                      </w14:textFill>
                    </w:rPr>
                    <w:t>E，350-500m</w:t>
                  </w:r>
                </w:p>
              </w:tc>
            </w:tr>
            <w:tr w14:paraId="2B091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81" w:type="pct"/>
                  <w:tcBorders>
                    <w:top w:val="single" w:color="auto" w:sz="4" w:space="0"/>
                    <w:bottom w:val="single" w:color="auto" w:sz="4" w:space="0"/>
                  </w:tcBorders>
                  <w:noWrap w:val="0"/>
                  <w:tcMar>
                    <w:top w:w="12" w:type="dxa"/>
                    <w:left w:w="12" w:type="dxa"/>
                    <w:right w:w="12" w:type="dxa"/>
                  </w:tcMar>
                  <w:vAlign w:val="center"/>
                </w:tcPr>
                <w:p w14:paraId="4DDB35C9">
                  <w:pPr>
                    <w:widowControl/>
                    <w:spacing w:line="240" w:lineRule="auto"/>
                    <w:ind w:firstLine="0" w:firstLineChars="0"/>
                    <w:jc w:val="center"/>
                    <w:rPr>
                      <w:rFonts w:hint="eastAsia" w:ascii="Times New Roman" w:hAnsi="Times New Roman" w:eastAsia="宋体" w:cs="Times New Roman"/>
                      <w:bCs/>
                      <w:color w:val="FF0000"/>
                      <w:kern w:val="2"/>
                      <w:sz w:val="21"/>
                      <w:szCs w:val="21"/>
                      <w:lang w:val="zh-CN" w:eastAsia="zh-CN" w:bidi="ar-SA"/>
                    </w:rPr>
                  </w:pPr>
                  <w:r>
                    <w:rPr>
                      <w:rFonts w:hint="eastAsia"/>
                      <w:color w:val="000000" w:themeColor="text1"/>
                      <w:kern w:val="0"/>
                      <w:sz w:val="21"/>
                      <w:szCs w:val="21"/>
                      <w:u w:val="none"/>
                      <w:lang w:val="en-US" w:eastAsia="zh-CN"/>
                      <w14:textFill>
                        <w14:solidFill>
                          <w14:schemeClr w14:val="tx1"/>
                        </w14:solidFill>
                      </w14:textFill>
                    </w:rPr>
                    <w:t>胡家</w:t>
                  </w:r>
                </w:p>
              </w:tc>
              <w:tc>
                <w:tcPr>
                  <w:tcW w:w="748" w:type="pct"/>
                  <w:tcBorders>
                    <w:top w:val="single" w:color="auto" w:sz="4" w:space="0"/>
                    <w:bottom w:val="single" w:color="auto" w:sz="4" w:space="0"/>
                    <w:right w:val="single" w:color="000000" w:sz="6" w:space="0"/>
                  </w:tcBorders>
                  <w:noWrap w:val="0"/>
                  <w:tcMar>
                    <w:top w:w="12" w:type="dxa"/>
                    <w:left w:w="12" w:type="dxa"/>
                    <w:right w:w="12" w:type="dxa"/>
                  </w:tcMar>
                  <w:vAlign w:val="center"/>
                </w:tcPr>
                <w:p w14:paraId="3D5EF4A3">
                  <w:pPr>
                    <w:widowControl/>
                    <w:spacing w:line="240" w:lineRule="auto"/>
                    <w:ind w:firstLine="0" w:firstLineChars="0"/>
                    <w:jc w:val="center"/>
                    <w:rPr>
                      <w:rFonts w:ascii="Times New Roman" w:hAnsi="Times New Roman" w:eastAsia="宋体" w:cs="Times New Roman"/>
                      <w:color w:val="FF0000"/>
                      <w:kern w:val="0"/>
                      <w:sz w:val="21"/>
                      <w:szCs w:val="21"/>
                      <w:lang w:val="en-US" w:eastAsia="zh-CN" w:bidi="ar-SA"/>
                    </w:rPr>
                  </w:pPr>
                  <w:r>
                    <w:rPr>
                      <w:rFonts w:hint="eastAsia"/>
                      <w:color w:val="000000" w:themeColor="text1"/>
                      <w:kern w:val="0"/>
                      <w:sz w:val="21"/>
                      <w:szCs w:val="21"/>
                      <w:u w:val="none"/>
                      <w:lang w:val="en-US" w:eastAsia="zh-CN"/>
                      <w14:textFill>
                        <w14:solidFill>
                          <w14:schemeClr w14:val="tx1"/>
                        </w14:solidFill>
                      </w14:textFill>
                    </w:rPr>
                    <w:t>111.62508</w:t>
                  </w:r>
                </w:p>
              </w:tc>
              <w:tc>
                <w:tcPr>
                  <w:tcW w:w="781" w:type="pct"/>
                  <w:tcBorders>
                    <w:top w:val="single" w:color="000000" w:sz="6" w:space="0"/>
                    <w:left w:val="single" w:color="000000" w:sz="6" w:space="0"/>
                    <w:bottom w:val="single" w:color="auto" w:sz="4" w:space="0"/>
                  </w:tcBorders>
                  <w:noWrap w:val="0"/>
                  <w:tcMar>
                    <w:top w:w="12" w:type="dxa"/>
                    <w:left w:w="12" w:type="dxa"/>
                    <w:right w:w="12" w:type="dxa"/>
                  </w:tcMar>
                  <w:vAlign w:val="center"/>
                </w:tcPr>
                <w:p w14:paraId="086298BA">
                  <w:pPr>
                    <w:widowControl/>
                    <w:spacing w:line="240" w:lineRule="auto"/>
                    <w:ind w:firstLine="0" w:firstLineChars="0"/>
                    <w:jc w:val="center"/>
                    <w:rPr>
                      <w:rFonts w:ascii="Times New Roman" w:hAnsi="Times New Roman" w:eastAsia="宋体" w:cs="Times New Roman"/>
                      <w:color w:val="FF0000"/>
                      <w:kern w:val="0"/>
                      <w:sz w:val="21"/>
                      <w:szCs w:val="21"/>
                      <w:lang w:val="en-US" w:eastAsia="zh-CN" w:bidi="ar-SA"/>
                    </w:rPr>
                  </w:pPr>
                  <w:r>
                    <w:rPr>
                      <w:rFonts w:hint="eastAsia"/>
                      <w:color w:val="000000" w:themeColor="text1"/>
                      <w:kern w:val="0"/>
                      <w:sz w:val="21"/>
                      <w:szCs w:val="21"/>
                      <w:u w:val="none"/>
                      <w:lang w:val="en-US" w:eastAsia="zh-CN"/>
                      <w14:textFill>
                        <w14:solidFill>
                          <w14:schemeClr w14:val="tx1"/>
                        </w14:solidFill>
                      </w14:textFill>
                    </w:rPr>
                    <w:t>26.29982</w:t>
                  </w:r>
                </w:p>
              </w:tc>
              <w:tc>
                <w:tcPr>
                  <w:tcW w:w="661" w:type="pct"/>
                  <w:tcBorders>
                    <w:top w:val="single" w:color="000000" w:sz="6" w:space="0"/>
                    <w:bottom w:val="single" w:color="auto" w:sz="4" w:space="0"/>
                    <w:right w:val="single" w:color="auto" w:sz="4" w:space="0"/>
                  </w:tcBorders>
                  <w:noWrap w:val="0"/>
                  <w:tcMar>
                    <w:top w:w="12" w:type="dxa"/>
                    <w:left w:w="12" w:type="dxa"/>
                    <w:right w:w="12" w:type="dxa"/>
                  </w:tcMar>
                  <w:vAlign w:val="center"/>
                </w:tcPr>
                <w:p w14:paraId="7D315AD5">
                  <w:pPr>
                    <w:widowControl/>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人群</w:t>
                  </w:r>
                </w:p>
              </w:tc>
              <w:tc>
                <w:tcPr>
                  <w:tcW w:w="646" w:type="pct"/>
                  <w:tcBorders>
                    <w:top w:val="single" w:color="000000" w:sz="6" w:space="0"/>
                    <w:left w:val="single" w:color="auto" w:sz="4" w:space="0"/>
                    <w:bottom w:val="single" w:color="auto" w:sz="4" w:space="0"/>
                    <w:right w:val="single" w:color="auto" w:sz="4" w:space="0"/>
                  </w:tcBorders>
                  <w:noWrap w:val="0"/>
                  <w:tcMar>
                    <w:top w:w="12" w:type="dxa"/>
                    <w:left w:w="12" w:type="dxa"/>
                    <w:right w:w="12" w:type="dxa"/>
                  </w:tcMar>
                  <w:vAlign w:val="center"/>
                </w:tcPr>
                <w:p w14:paraId="4D3E4504">
                  <w:pPr>
                    <w:widowControl/>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居民</w:t>
                  </w:r>
                </w:p>
              </w:tc>
              <w:tc>
                <w:tcPr>
                  <w:tcW w:w="754" w:type="pct"/>
                  <w:tcBorders>
                    <w:top w:val="single" w:color="000000" w:sz="6" w:space="0"/>
                    <w:left w:val="single" w:color="auto" w:sz="4" w:space="0"/>
                    <w:bottom w:val="single" w:color="auto" w:sz="4" w:space="0"/>
                    <w:right w:val="single" w:color="auto" w:sz="4" w:space="0"/>
                  </w:tcBorders>
                  <w:noWrap w:val="0"/>
                  <w:tcMar>
                    <w:top w:w="12" w:type="dxa"/>
                    <w:left w:w="12" w:type="dxa"/>
                    <w:right w:w="12" w:type="dxa"/>
                  </w:tcMar>
                  <w:vAlign w:val="center"/>
                </w:tcPr>
                <w:p w14:paraId="03FA814D">
                  <w:pPr>
                    <w:widowControl/>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14:textFill>
                        <w14:solidFill>
                          <w14:schemeClr w14:val="tx1"/>
                        </w14:solidFill>
                      </w14:textFill>
                    </w:rPr>
                    <w:t>二类区</w:t>
                  </w:r>
                </w:p>
              </w:tc>
              <w:tc>
                <w:tcPr>
                  <w:tcW w:w="925" w:type="pct"/>
                  <w:tcBorders>
                    <w:top w:val="single" w:color="000000" w:sz="6" w:space="0"/>
                    <w:left w:val="single" w:color="auto" w:sz="4" w:space="0"/>
                    <w:bottom w:val="single" w:color="auto" w:sz="4" w:space="0"/>
                  </w:tcBorders>
                  <w:noWrap w:val="0"/>
                  <w:tcMar>
                    <w:top w:w="12" w:type="dxa"/>
                    <w:left w:w="12" w:type="dxa"/>
                    <w:right w:w="12" w:type="dxa"/>
                  </w:tcMar>
                  <w:vAlign w:val="center"/>
                </w:tcPr>
                <w:p w14:paraId="58D12FA5">
                  <w:pPr>
                    <w:widowControl/>
                    <w:spacing w:line="240" w:lineRule="auto"/>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u w:val="none"/>
                      <w:lang w:val="en-US" w:eastAsia="zh-CN"/>
                      <w14:textFill>
                        <w14:solidFill>
                          <w14:schemeClr w14:val="tx1"/>
                        </w14:solidFill>
                      </w14:textFill>
                    </w:rPr>
                    <w:t>W，170-260m</w:t>
                  </w:r>
                </w:p>
              </w:tc>
            </w:tr>
            <w:tr w14:paraId="7CEBF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000" w:type="pct"/>
                  <w:gridSpan w:val="7"/>
                  <w:tcBorders>
                    <w:top w:val="single" w:color="000000" w:sz="6" w:space="0"/>
                  </w:tcBorders>
                  <w:noWrap w:val="0"/>
                  <w:tcMar>
                    <w:top w:w="12" w:type="dxa"/>
                    <w:left w:w="12" w:type="dxa"/>
                    <w:right w:w="12" w:type="dxa"/>
                  </w:tcMar>
                  <w:vAlign w:val="center"/>
                </w:tcPr>
                <w:p w14:paraId="4D10283D">
                  <w:pPr>
                    <w:widowControl/>
                    <w:spacing w:line="240" w:lineRule="auto"/>
                    <w:ind w:firstLine="0" w:firstLineChars="0"/>
                    <w:jc w:val="center"/>
                    <w:rPr>
                      <w:rFonts w:hint="eastAsia"/>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声环境：厂界外50m范围内无声环境保护目标</w:t>
                  </w:r>
                </w:p>
              </w:tc>
            </w:tr>
            <w:tr w14:paraId="2E4F9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81" w:type="pct"/>
                  <w:noWrap w:val="0"/>
                  <w:tcMar>
                    <w:top w:w="12" w:type="dxa"/>
                    <w:left w:w="12" w:type="dxa"/>
                    <w:right w:w="12" w:type="dxa"/>
                  </w:tcMar>
                  <w:vAlign w:val="center"/>
                </w:tcPr>
                <w:p w14:paraId="7D4EB109">
                  <w:pPr>
                    <w:autoSpaceDE w:val="0"/>
                    <w:autoSpaceDN w:val="0"/>
                    <w:spacing w:line="240" w:lineRule="auto"/>
                    <w:ind w:firstLine="0" w:firstLineChars="0"/>
                    <w:jc w:val="center"/>
                    <w:textAlignment w:val="baseline"/>
                    <w:rPr>
                      <w:rFonts w:hint="eastAsia"/>
                      <w:bCs/>
                      <w:color w:val="000000" w:themeColor="text1"/>
                      <w:sz w:val="21"/>
                      <w:szCs w:val="21"/>
                      <w:lang w:val="zh-CN"/>
                      <w14:textFill>
                        <w14:solidFill>
                          <w14:schemeClr w14:val="tx1"/>
                        </w14:solidFill>
                      </w14:textFill>
                    </w:rPr>
                  </w:pPr>
                  <w:r>
                    <w:rPr>
                      <w:rFonts w:hint="eastAsia"/>
                      <w:bCs/>
                      <w:color w:val="000000" w:themeColor="text1"/>
                      <w:sz w:val="21"/>
                      <w:szCs w:val="21"/>
                      <w:lang w:val="zh-CN"/>
                      <w14:textFill>
                        <w14:solidFill>
                          <w14:schemeClr w14:val="tx1"/>
                        </w14:solidFill>
                      </w14:textFill>
                    </w:rPr>
                    <w:t>地下水环境</w:t>
                  </w:r>
                </w:p>
              </w:tc>
              <w:tc>
                <w:tcPr>
                  <w:tcW w:w="4518" w:type="pct"/>
                  <w:gridSpan w:val="6"/>
                  <w:tcBorders>
                    <w:right w:val="single" w:color="auto" w:sz="4" w:space="0"/>
                  </w:tcBorders>
                  <w:noWrap w:val="0"/>
                  <w:tcMar>
                    <w:top w:w="12" w:type="dxa"/>
                    <w:left w:w="12" w:type="dxa"/>
                    <w:right w:w="12" w:type="dxa"/>
                  </w:tcMar>
                  <w:vAlign w:val="center"/>
                </w:tcPr>
                <w:p w14:paraId="1A125B72">
                  <w:pPr>
                    <w:autoSpaceDE w:val="0"/>
                    <w:autoSpaceDN w:val="0"/>
                    <w:spacing w:line="240" w:lineRule="auto"/>
                    <w:ind w:firstLine="0" w:firstLineChars="0"/>
                    <w:jc w:val="center"/>
                    <w:textAlignment w:val="baseline"/>
                    <w:rPr>
                      <w:rFonts w:hint="eastAsia"/>
                      <w:bCs/>
                      <w:color w:val="000000" w:themeColor="text1"/>
                      <w:sz w:val="21"/>
                      <w:szCs w:val="21"/>
                      <w:lang w:val="zh-CN"/>
                      <w14:textFill>
                        <w14:solidFill>
                          <w14:schemeClr w14:val="tx1"/>
                        </w14:solidFill>
                      </w14:textFill>
                    </w:rPr>
                  </w:pPr>
                  <w:r>
                    <w:rPr>
                      <w:rFonts w:hint="eastAsia"/>
                      <w:bCs/>
                      <w:color w:val="000000" w:themeColor="text1"/>
                      <w:sz w:val="21"/>
                      <w:szCs w:val="21"/>
                      <w:lang w:val="zh-CN"/>
                      <w14:textFill>
                        <w14:solidFill>
                          <w14:schemeClr w14:val="tx1"/>
                        </w14:solidFill>
                      </w14:textFill>
                    </w:rPr>
                    <w:t>厂界外500米范围内无地下水集中式饮用水水源和热水、矿泉水、温泉等特殊地下水资源</w:t>
                  </w:r>
                </w:p>
              </w:tc>
            </w:tr>
            <w:tr w14:paraId="6A71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81" w:type="pct"/>
                  <w:noWrap w:val="0"/>
                  <w:tcMar>
                    <w:top w:w="12" w:type="dxa"/>
                    <w:left w:w="12" w:type="dxa"/>
                    <w:right w:w="12" w:type="dxa"/>
                  </w:tcMar>
                  <w:vAlign w:val="center"/>
                </w:tcPr>
                <w:p w14:paraId="66F8043A">
                  <w:pPr>
                    <w:autoSpaceDE w:val="0"/>
                    <w:autoSpaceDN w:val="0"/>
                    <w:spacing w:line="240" w:lineRule="auto"/>
                    <w:ind w:firstLine="0" w:firstLineChars="0"/>
                    <w:jc w:val="center"/>
                    <w:textAlignment w:val="baseline"/>
                    <w:rPr>
                      <w:rFonts w:hint="eastAsia"/>
                      <w:bCs/>
                      <w:color w:val="000000" w:themeColor="text1"/>
                      <w:sz w:val="21"/>
                      <w:szCs w:val="21"/>
                      <w:lang w:val="zh-CN"/>
                      <w14:textFill>
                        <w14:solidFill>
                          <w14:schemeClr w14:val="tx1"/>
                        </w14:solidFill>
                      </w14:textFill>
                    </w:rPr>
                  </w:pPr>
                  <w:r>
                    <w:rPr>
                      <w:rFonts w:hint="eastAsia"/>
                      <w:bCs/>
                      <w:color w:val="000000" w:themeColor="text1"/>
                      <w:sz w:val="21"/>
                      <w:szCs w:val="21"/>
                      <w:lang w:val="zh-CN"/>
                      <w14:textFill>
                        <w14:solidFill>
                          <w14:schemeClr w14:val="tx1"/>
                        </w14:solidFill>
                      </w14:textFill>
                    </w:rPr>
                    <w:t>生态环境</w:t>
                  </w:r>
                </w:p>
              </w:tc>
              <w:tc>
                <w:tcPr>
                  <w:tcW w:w="4518" w:type="pct"/>
                  <w:gridSpan w:val="6"/>
                  <w:tcBorders>
                    <w:right w:val="single" w:color="auto" w:sz="4" w:space="0"/>
                  </w:tcBorders>
                  <w:noWrap w:val="0"/>
                  <w:tcMar>
                    <w:top w:w="12" w:type="dxa"/>
                    <w:left w:w="12" w:type="dxa"/>
                    <w:right w:w="12" w:type="dxa"/>
                  </w:tcMar>
                  <w:vAlign w:val="center"/>
                </w:tcPr>
                <w:p w14:paraId="32A0E2A1">
                  <w:pPr>
                    <w:autoSpaceDE w:val="0"/>
                    <w:autoSpaceDN w:val="0"/>
                    <w:spacing w:line="240" w:lineRule="auto"/>
                    <w:ind w:firstLine="0" w:firstLineChars="0"/>
                    <w:jc w:val="center"/>
                    <w:textAlignment w:val="baseline"/>
                    <w:rPr>
                      <w:rFonts w:hint="eastAsia"/>
                      <w:bCs/>
                      <w:color w:val="000000" w:themeColor="text1"/>
                      <w:sz w:val="21"/>
                      <w:szCs w:val="21"/>
                      <w:lang w:val="zh-CN"/>
                      <w14:textFill>
                        <w14:solidFill>
                          <w14:schemeClr w14:val="tx1"/>
                        </w14:solidFill>
                      </w14:textFill>
                    </w:rPr>
                  </w:pPr>
                  <w:r>
                    <w:rPr>
                      <w:rFonts w:hint="eastAsia"/>
                      <w:bCs/>
                      <w:color w:val="000000" w:themeColor="text1"/>
                      <w:sz w:val="21"/>
                      <w:szCs w:val="21"/>
                      <w:lang w:val="zh-CN"/>
                      <w14:textFill>
                        <w14:solidFill>
                          <w14:schemeClr w14:val="tx1"/>
                        </w14:solidFill>
                      </w14:textFill>
                    </w:rPr>
                    <w:t>无新增用地，不涉及生态环境保护目标</w:t>
                  </w:r>
                </w:p>
              </w:tc>
            </w:tr>
          </w:tbl>
          <w:p w14:paraId="2CFC5630">
            <w:pPr>
              <w:ind w:firstLine="0" w:firstLineChars="0"/>
              <w:rPr>
                <w:color w:val="000000" w:themeColor="text1"/>
                <w14:textFill>
                  <w14:solidFill>
                    <w14:schemeClr w14:val="tx1"/>
                  </w14:solidFill>
                </w14:textFill>
              </w:rPr>
            </w:pPr>
          </w:p>
        </w:tc>
      </w:tr>
      <w:tr w14:paraId="0BE7C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1" w:type="dxa"/>
            <w:noWrap w:val="0"/>
            <w:tcMar>
              <w:left w:w="28" w:type="dxa"/>
              <w:right w:w="28" w:type="dxa"/>
            </w:tcMar>
            <w:vAlign w:val="center"/>
          </w:tcPr>
          <w:p w14:paraId="15854373">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w:t>
            </w:r>
          </w:p>
          <w:p w14:paraId="5D361B30">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物排</w:t>
            </w:r>
          </w:p>
          <w:p w14:paraId="722ADCAE">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放控</w:t>
            </w:r>
          </w:p>
          <w:p w14:paraId="62A84040">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制标</w:t>
            </w:r>
          </w:p>
          <w:p w14:paraId="715899C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准</w:t>
            </w:r>
          </w:p>
        </w:tc>
        <w:tc>
          <w:tcPr>
            <w:tcW w:w="8610" w:type="dxa"/>
            <w:noWrap w:val="0"/>
            <w:vAlign w:val="center"/>
          </w:tcPr>
          <w:p w14:paraId="31AA1A34">
            <w:pPr>
              <w:bidi w:val="0"/>
            </w:pPr>
            <w:r>
              <w:t>（1）废气</w:t>
            </w:r>
          </w:p>
          <w:p w14:paraId="582A198B">
            <w:pPr>
              <w:bidi w:val="0"/>
            </w:pPr>
            <w:r>
              <w:t>本项目营运期</w:t>
            </w:r>
            <w:r>
              <w:rPr>
                <w:rFonts w:hint="eastAsia"/>
                <w:lang w:val="en-US" w:eastAsia="zh-CN"/>
              </w:rPr>
              <w:t>挥发性有机物</w:t>
            </w:r>
            <w:r>
              <w:rPr>
                <w:rFonts w:hint="eastAsia"/>
                <w:lang w:eastAsia="zh-CN"/>
              </w:rPr>
              <w:t>有组织</w:t>
            </w:r>
            <w:r>
              <w:rPr>
                <w:rFonts w:hint="eastAsia"/>
              </w:rPr>
              <w:t>排放执行</w:t>
            </w:r>
            <w:r>
              <w:rPr>
                <w:rFonts w:hint="eastAsia"/>
                <w:lang w:val="en-US" w:eastAsia="zh-CN"/>
              </w:rPr>
              <w:t>《表面涂装（汽车制造及维修）挥发性有机物、镍排放标准》(DB43/1356-2017)表1中汽车维修排气筒挥发性有机物排放浓度限值</w:t>
            </w:r>
            <w:r>
              <w:rPr>
                <w:rFonts w:hint="eastAsia"/>
                <w:lang w:eastAsia="zh-CN"/>
              </w:rPr>
              <w:t>，</w:t>
            </w:r>
            <w:r>
              <w:t>厂区内挥发性有机物无组织排放执行《挥发性有机物无组织排放控制标准》（GB37822-2019）附录A表A.1中的排放限值要求</w:t>
            </w:r>
            <w:r>
              <w:rPr>
                <w:rFonts w:hint="eastAsia"/>
                <w:lang w:eastAsia="zh-CN"/>
              </w:rPr>
              <w:t>，厂界外无组织</w:t>
            </w:r>
            <w:r>
              <w:t>排放监控浓度限值</w:t>
            </w:r>
            <w:r>
              <w:rPr>
                <w:rFonts w:hint="eastAsia"/>
                <w:lang w:eastAsia="zh-CN"/>
              </w:rPr>
              <w:t>参照</w:t>
            </w:r>
            <w:r>
              <w:rPr>
                <w:rFonts w:hint="eastAsia"/>
              </w:rPr>
              <w:t>《大气污染物综合排放标准》（GB16297-1996）表2中</w:t>
            </w:r>
            <w:r>
              <w:rPr>
                <w:rFonts w:hint="eastAsia"/>
                <w:lang w:eastAsia="zh-CN"/>
              </w:rPr>
              <w:t>其他行业非甲烷总烃</w:t>
            </w:r>
            <w:r>
              <w:rPr>
                <w:rFonts w:hint="eastAsia"/>
              </w:rPr>
              <w:t>无组织排放监控浓度限值</w:t>
            </w:r>
            <w:r>
              <w:rPr>
                <w:rFonts w:hint="eastAsia"/>
                <w:lang w:eastAsia="zh-CN"/>
              </w:rPr>
              <w:t>；</w:t>
            </w:r>
            <w:r>
              <w:t>具体详见表</w:t>
            </w:r>
            <w:r>
              <w:rPr>
                <w:rFonts w:hint="eastAsia"/>
                <w:lang w:val="en-US" w:eastAsia="zh-CN"/>
              </w:rPr>
              <w:t>3-4、</w:t>
            </w:r>
            <w:r>
              <w:rPr>
                <w:rFonts w:hint="eastAsia"/>
              </w:rPr>
              <w:t>3-5</w:t>
            </w:r>
            <w:r>
              <w:t>。</w:t>
            </w:r>
          </w:p>
          <w:p w14:paraId="18285964">
            <w:pPr>
              <w:spacing w:line="240" w:lineRule="auto"/>
              <w:ind w:firstLine="422"/>
              <w:jc w:val="center"/>
              <w:rPr>
                <w:rFonts w:hint="default" w:ascii="Times New Roman" w:hAnsi="Times New Roman" w:eastAsia="宋体" w:cs="Times New Roman"/>
                <w:b/>
                <w:color w:val="000000"/>
                <w:sz w:val="21"/>
                <w:szCs w:val="21"/>
                <w:lang w:val="en-US" w:eastAsia="zh-CN"/>
              </w:rPr>
            </w:pPr>
            <w:r>
              <w:rPr>
                <w:rFonts w:hint="eastAsia" w:ascii="Times New Roman" w:hAnsi="Times New Roman" w:eastAsia="宋体" w:cs="Times New Roman"/>
                <w:b/>
                <w:color w:val="000000"/>
                <w:sz w:val="21"/>
                <w:szCs w:val="21"/>
                <w:lang w:val="en-US" w:eastAsia="zh-CN"/>
              </w:rPr>
              <w:t>表3-4 排气筒挥发性有机物排放浓度限值</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2735"/>
              <w:gridCol w:w="3583"/>
            </w:tblGrid>
            <w:tr w14:paraId="1684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8" w:type="pct"/>
                  <w:noWrap w:val="0"/>
                  <w:vAlign w:val="center"/>
                </w:tcPr>
                <w:p w14:paraId="41DC8B8C">
                  <w:pPr>
                    <w:autoSpaceDE w:val="0"/>
                    <w:autoSpaceDN w:val="0"/>
                    <w:spacing w:line="240" w:lineRule="auto"/>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污染物项目</w:t>
                  </w:r>
                </w:p>
              </w:tc>
              <w:tc>
                <w:tcPr>
                  <w:tcW w:w="1632" w:type="pct"/>
                  <w:noWrap w:val="0"/>
                  <w:vAlign w:val="center"/>
                </w:tcPr>
                <w:p w14:paraId="4A3FA357">
                  <w:pPr>
                    <w:autoSpaceDE w:val="0"/>
                    <w:autoSpaceDN w:val="0"/>
                    <w:spacing w:line="240" w:lineRule="auto"/>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排放浓度</w:t>
                  </w:r>
                  <w:r>
                    <w:rPr>
                      <w:rFonts w:ascii="Times New Roman" w:hAnsi="Times New Roman" w:eastAsia="宋体" w:cs="Times New Roman"/>
                      <w:color w:val="000000"/>
                      <w:sz w:val="21"/>
                      <w:szCs w:val="21"/>
                    </w:rPr>
                    <w:t>（mg/m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w:t>
                  </w:r>
                </w:p>
              </w:tc>
              <w:tc>
                <w:tcPr>
                  <w:tcW w:w="2138" w:type="pct"/>
                  <w:noWrap w:val="0"/>
                  <w:vAlign w:val="center"/>
                </w:tcPr>
                <w:p w14:paraId="6148CD8F">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标准来源</w:t>
                  </w:r>
                </w:p>
              </w:tc>
            </w:tr>
            <w:tr w14:paraId="3133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8" w:type="pct"/>
                  <w:shd w:val="clear" w:color="auto" w:fill="auto"/>
                  <w:noWrap w:val="0"/>
                  <w:vAlign w:val="center"/>
                </w:tcPr>
                <w:p w14:paraId="260646CE">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苯</w:t>
                  </w:r>
                </w:p>
              </w:tc>
              <w:tc>
                <w:tcPr>
                  <w:tcW w:w="1632" w:type="pct"/>
                  <w:shd w:val="clear" w:color="auto" w:fill="auto"/>
                  <w:noWrap w:val="0"/>
                  <w:vAlign w:val="center"/>
                </w:tcPr>
                <w:p w14:paraId="4B0D05D0">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2138" w:type="pct"/>
                  <w:vMerge w:val="restart"/>
                  <w:shd w:val="clear" w:color="auto" w:fill="auto"/>
                  <w:noWrap w:val="0"/>
                  <w:vAlign w:val="center"/>
                </w:tcPr>
                <w:p w14:paraId="723CF22C">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《表面涂装（汽车制造及维修）挥发性有机物、镍排放标准》(DB43/1356-2017)表1中汽车维修排气筒挥发性有机物排放浓度限值</w:t>
                  </w:r>
                </w:p>
              </w:tc>
            </w:tr>
            <w:tr w14:paraId="24A3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8" w:type="pct"/>
                  <w:noWrap w:val="0"/>
                  <w:vAlign w:val="center"/>
                </w:tcPr>
                <w:p w14:paraId="40089AB2">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苯系物</w:t>
                  </w:r>
                </w:p>
              </w:tc>
              <w:tc>
                <w:tcPr>
                  <w:tcW w:w="1632" w:type="pct"/>
                  <w:noWrap w:val="0"/>
                  <w:vAlign w:val="center"/>
                </w:tcPr>
                <w:p w14:paraId="1597AE70">
                  <w:pPr>
                    <w:autoSpaceDE w:val="0"/>
                    <w:autoSpaceDN w:val="0"/>
                    <w:spacing w:line="240" w:lineRule="auto"/>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30</w:t>
                  </w:r>
                </w:p>
              </w:tc>
              <w:tc>
                <w:tcPr>
                  <w:tcW w:w="2138" w:type="pct"/>
                  <w:vMerge w:val="continue"/>
                  <w:noWrap w:val="0"/>
                  <w:vAlign w:val="center"/>
                </w:tcPr>
                <w:p w14:paraId="2FB7CA18">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p>
              </w:tc>
            </w:tr>
            <w:tr w14:paraId="1BC4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28" w:type="pct"/>
                  <w:noWrap w:val="0"/>
                  <w:vAlign w:val="center"/>
                </w:tcPr>
                <w:p w14:paraId="774F5B2F">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非甲烷总烃</w:t>
                  </w:r>
                </w:p>
              </w:tc>
              <w:tc>
                <w:tcPr>
                  <w:tcW w:w="1632" w:type="pct"/>
                  <w:noWrap w:val="0"/>
                  <w:vAlign w:val="center"/>
                </w:tcPr>
                <w:p w14:paraId="6A360AC0">
                  <w:pPr>
                    <w:autoSpaceDE w:val="0"/>
                    <w:autoSpaceDN w:val="0"/>
                    <w:spacing w:line="240" w:lineRule="auto"/>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50</w:t>
                  </w:r>
                </w:p>
              </w:tc>
              <w:tc>
                <w:tcPr>
                  <w:tcW w:w="2138" w:type="pct"/>
                  <w:vMerge w:val="continue"/>
                  <w:noWrap w:val="0"/>
                  <w:vAlign w:val="center"/>
                </w:tcPr>
                <w:p w14:paraId="0C7F37AB">
                  <w:pPr>
                    <w:autoSpaceDE w:val="0"/>
                    <w:autoSpaceDN w:val="0"/>
                    <w:spacing w:line="240" w:lineRule="auto"/>
                    <w:ind w:firstLine="0" w:firstLineChars="0"/>
                    <w:jc w:val="center"/>
                    <w:textAlignment w:val="baseline"/>
                    <w:rPr>
                      <w:rFonts w:hint="eastAsia" w:ascii="Times New Roman" w:hAnsi="Times New Roman" w:eastAsia="宋体" w:cs="Times New Roman"/>
                      <w:color w:val="000000"/>
                      <w:sz w:val="21"/>
                      <w:szCs w:val="21"/>
                      <w:lang w:val="en-US" w:eastAsia="zh-CN"/>
                    </w:rPr>
                  </w:pPr>
                </w:p>
              </w:tc>
            </w:tr>
          </w:tbl>
          <w:p w14:paraId="6A7609C6">
            <w:pPr>
              <w:spacing w:line="240" w:lineRule="auto"/>
              <w:ind w:firstLine="422"/>
              <w:jc w:val="center"/>
              <w:rPr>
                <w:b/>
                <w:color w:val="000000"/>
                <w:sz w:val="21"/>
                <w:szCs w:val="21"/>
              </w:rPr>
            </w:pPr>
            <w:r>
              <w:rPr>
                <w:b/>
                <w:color w:val="000000"/>
                <w:sz w:val="21"/>
                <w:szCs w:val="21"/>
              </w:rPr>
              <w:t>表</w:t>
            </w:r>
            <w:r>
              <w:rPr>
                <w:rFonts w:hint="eastAsia"/>
                <w:b/>
                <w:color w:val="000000"/>
                <w:sz w:val="21"/>
                <w:szCs w:val="21"/>
              </w:rPr>
              <w:t>3-5</w:t>
            </w:r>
            <w:r>
              <w:rPr>
                <w:b/>
                <w:color w:val="000000"/>
                <w:sz w:val="21"/>
                <w:szCs w:val="21"/>
              </w:rPr>
              <w:t xml:space="preserve">  </w:t>
            </w:r>
            <w:r>
              <w:rPr>
                <w:rFonts w:hint="eastAsia"/>
                <w:b/>
                <w:color w:val="000000"/>
                <w:sz w:val="21"/>
                <w:szCs w:val="21"/>
                <w:lang w:val="en-US" w:eastAsia="zh-CN"/>
              </w:rPr>
              <w:t>无组织废气</w:t>
            </w:r>
            <w:r>
              <w:rPr>
                <w:b/>
                <w:color w:val="000000"/>
                <w:sz w:val="21"/>
                <w:szCs w:val="21"/>
              </w:rPr>
              <w:t>排放控制标准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562"/>
              <w:gridCol w:w="2585"/>
              <w:gridCol w:w="3170"/>
            </w:tblGrid>
            <w:tr w14:paraId="78A4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2" w:type="pct"/>
                  <w:vMerge w:val="restart"/>
                  <w:noWrap w:val="0"/>
                  <w:vAlign w:val="center"/>
                </w:tcPr>
                <w:p w14:paraId="298D7348">
                  <w:pPr>
                    <w:spacing w:line="240" w:lineRule="auto"/>
                    <w:ind w:firstLine="0" w:firstLineChars="0"/>
                    <w:jc w:val="center"/>
                    <w:rPr>
                      <w:color w:val="000000"/>
                      <w:sz w:val="21"/>
                      <w:szCs w:val="21"/>
                    </w:rPr>
                  </w:pPr>
                  <w:r>
                    <w:rPr>
                      <w:color w:val="000000"/>
                      <w:sz w:val="21"/>
                      <w:szCs w:val="21"/>
                    </w:rPr>
                    <w:t>污染物名称</w:t>
                  </w:r>
                </w:p>
              </w:tc>
              <w:tc>
                <w:tcPr>
                  <w:tcW w:w="2475" w:type="pct"/>
                  <w:gridSpan w:val="2"/>
                  <w:noWrap w:val="0"/>
                  <w:vAlign w:val="center"/>
                </w:tcPr>
                <w:p w14:paraId="74D93847">
                  <w:pPr>
                    <w:spacing w:line="240" w:lineRule="auto"/>
                    <w:ind w:firstLine="0" w:firstLineChars="0"/>
                    <w:jc w:val="center"/>
                    <w:rPr>
                      <w:color w:val="000000"/>
                      <w:sz w:val="21"/>
                      <w:szCs w:val="21"/>
                    </w:rPr>
                  </w:pPr>
                  <w:r>
                    <w:rPr>
                      <w:color w:val="000000"/>
                      <w:sz w:val="21"/>
                      <w:szCs w:val="21"/>
                    </w:rPr>
                    <w:t>无组织排放监控浓度限值</w:t>
                  </w:r>
                </w:p>
              </w:tc>
              <w:tc>
                <w:tcPr>
                  <w:tcW w:w="1892" w:type="pct"/>
                  <w:vMerge w:val="restart"/>
                  <w:noWrap w:val="0"/>
                  <w:vAlign w:val="center"/>
                </w:tcPr>
                <w:p w14:paraId="2DBE37A3">
                  <w:pPr>
                    <w:spacing w:line="240" w:lineRule="auto"/>
                    <w:ind w:firstLine="0" w:firstLineChars="0"/>
                    <w:jc w:val="center"/>
                    <w:rPr>
                      <w:color w:val="000000"/>
                      <w:sz w:val="21"/>
                      <w:szCs w:val="21"/>
                    </w:rPr>
                  </w:pPr>
                  <w:r>
                    <w:rPr>
                      <w:color w:val="000000"/>
                      <w:sz w:val="21"/>
                      <w:szCs w:val="21"/>
                    </w:rPr>
                    <w:t>标准来源</w:t>
                  </w:r>
                </w:p>
              </w:tc>
            </w:tr>
            <w:tr w14:paraId="0367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2" w:type="pct"/>
                  <w:vMerge w:val="continue"/>
                  <w:tcBorders>
                    <w:bottom w:val="single" w:color="auto" w:sz="4" w:space="0"/>
                  </w:tcBorders>
                  <w:noWrap w:val="0"/>
                  <w:vAlign w:val="center"/>
                </w:tcPr>
                <w:p w14:paraId="61F841FE">
                  <w:pPr>
                    <w:spacing w:line="240" w:lineRule="auto"/>
                    <w:ind w:firstLine="420"/>
                    <w:jc w:val="center"/>
                    <w:rPr>
                      <w:color w:val="000000"/>
                      <w:sz w:val="21"/>
                      <w:szCs w:val="21"/>
                    </w:rPr>
                  </w:pPr>
                </w:p>
              </w:tc>
              <w:tc>
                <w:tcPr>
                  <w:tcW w:w="932" w:type="pct"/>
                  <w:tcBorders>
                    <w:bottom w:val="single" w:color="auto" w:sz="4" w:space="0"/>
                  </w:tcBorders>
                  <w:noWrap w:val="0"/>
                  <w:vAlign w:val="center"/>
                </w:tcPr>
                <w:p w14:paraId="7BFB8161">
                  <w:pPr>
                    <w:spacing w:line="240" w:lineRule="auto"/>
                    <w:ind w:firstLine="0" w:firstLineChars="0"/>
                    <w:jc w:val="center"/>
                    <w:rPr>
                      <w:color w:val="000000"/>
                      <w:sz w:val="21"/>
                      <w:szCs w:val="21"/>
                    </w:rPr>
                  </w:pPr>
                  <w:r>
                    <w:rPr>
                      <w:color w:val="000000"/>
                      <w:sz w:val="21"/>
                      <w:szCs w:val="21"/>
                    </w:rPr>
                    <w:t>监控点</w:t>
                  </w:r>
                </w:p>
              </w:tc>
              <w:tc>
                <w:tcPr>
                  <w:tcW w:w="1543" w:type="pct"/>
                  <w:tcBorders>
                    <w:bottom w:val="single" w:color="auto" w:sz="4" w:space="0"/>
                  </w:tcBorders>
                  <w:noWrap w:val="0"/>
                  <w:vAlign w:val="center"/>
                </w:tcPr>
                <w:p w14:paraId="20EB9D3F">
                  <w:pPr>
                    <w:spacing w:line="240" w:lineRule="auto"/>
                    <w:ind w:firstLine="0" w:firstLineChars="0"/>
                    <w:jc w:val="center"/>
                    <w:rPr>
                      <w:color w:val="000000"/>
                      <w:sz w:val="21"/>
                      <w:szCs w:val="21"/>
                    </w:rPr>
                  </w:pPr>
                  <w:r>
                    <w:rPr>
                      <w:color w:val="000000"/>
                      <w:sz w:val="21"/>
                      <w:szCs w:val="21"/>
                    </w:rPr>
                    <w:t>浓度（mg/m</w:t>
                  </w:r>
                  <w:r>
                    <w:rPr>
                      <w:color w:val="000000"/>
                      <w:sz w:val="21"/>
                      <w:szCs w:val="21"/>
                      <w:vertAlign w:val="superscript"/>
                    </w:rPr>
                    <w:t>3</w:t>
                  </w:r>
                  <w:r>
                    <w:rPr>
                      <w:color w:val="000000"/>
                      <w:sz w:val="21"/>
                      <w:szCs w:val="21"/>
                    </w:rPr>
                    <w:t>）</w:t>
                  </w:r>
                </w:p>
              </w:tc>
              <w:tc>
                <w:tcPr>
                  <w:tcW w:w="1892" w:type="pct"/>
                  <w:vMerge w:val="continue"/>
                  <w:tcBorders>
                    <w:bottom w:val="single" w:color="auto" w:sz="4" w:space="0"/>
                  </w:tcBorders>
                  <w:noWrap w:val="0"/>
                  <w:vAlign w:val="center"/>
                </w:tcPr>
                <w:p w14:paraId="517F1F2D">
                  <w:pPr>
                    <w:spacing w:line="240" w:lineRule="auto"/>
                    <w:ind w:firstLine="420"/>
                    <w:jc w:val="center"/>
                    <w:rPr>
                      <w:color w:val="000000"/>
                      <w:sz w:val="21"/>
                      <w:szCs w:val="21"/>
                    </w:rPr>
                  </w:pPr>
                </w:p>
              </w:tc>
            </w:tr>
            <w:tr w14:paraId="0358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2" w:type="pct"/>
                  <w:vMerge w:val="restart"/>
                  <w:noWrap w:val="0"/>
                  <w:vAlign w:val="center"/>
                </w:tcPr>
                <w:p w14:paraId="1AF9EC0A">
                  <w:pPr>
                    <w:spacing w:line="240" w:lineRule="auto"/>
                    <w:ind w:firstLine="0" w:firstLineChars="0"/>
                    <w:jc w:val="center"/>
                    <w:rPr>
                      <w:rFonts w:hint="default" w:eastAsia="宋体"/>
                      <w:color w:val="000000"/>
                      <w:sz w:val="21"/>
                      <w:szCs w:val="21"/>
                      <w:lang w:val="en-US" w:eastAsia="zh-CN"/>
                    </w:rPr>
                  </w:pPr>
                  <w:r>
                    <w:rPr>
                      <w:rFonts w:hint="eastAsia"/>
                      <w:color w:val="000000"/>
                      <w:sz w:val="21"/>
                      <w:szCs w:val="21"/>
                      <w:lang w:val="en-US" w:eastAsia="zh-CN"/>
                    </w:rPr>
                    <w:t>非甲烷总烃</w:t>
                  </w:r>
                </w:p>
              </w:tc>
              <w:tc>
                <w:tcPr>
                  <w:tcW w:w="932" w:type="pct"/>
                  <w:vMerge w:val="restart"/>
                  <w:noWrap w:val="0"/>
                  <w:vAlign w:val="center"/>
                </w:tcPr>
                <w:p w14:paraId="7B95EBFB">
                  <w:pPr>
                    <w:spacing w:line="240" w:lineRule="auto"/>
                    <w:ind w:firstLine="0" w:firstLineChars="0"/>
                    <w:jc w:val="center"/>
                    <w:rPr>
                      <w:color w:val="000000"/>
                      <w:sz w:val="21"/>
                      <w:szCs w:val="21"/>
                    </w:rPr>
                  </w:pPr>
                  <w:r>
                    <w:rPr>
                      <w:rFonts w:hint="eastAsia"/>
                      <w:color w:val="000000"/>
                      <w:sz w:val="21"/>
                      <w:szCs w:val="21"/>
                    </w:rPr>
                    <w:t>厂房外设监控点</w:t>
                  </w:r>
                </w:p>
              </w:tc>
              <w:tc>
                <w:tcPr>
                  <w:tcW w:w="1543" w:type="pct"/>
                  <w:noWrap w:val="0"/>
                  <w:vAlign w:val="center"/>
                </w:tcPr>
                <w:p w14:paraId="5316B4BE">
                  <w:pPr>
                    <w:spacing w:line="240" w:lineRule="auto"/>
                    <w:ind w:firstLine="0" w:firstLineChars="0"/>
                    <w:jc w:val="center"/>
                    <w:rPr>
                      <w:rFonts w:hint="eastAsia"/>
                      <w:color w:val="000000"/>
                      <w:sz w:val="21"/>
                      <w:szCs w:val="21"/>
                    </w:rPr>
                  </w:pPr>
                  <w:r>
                    <w:rPr>
                      <w:rFonts w:hint="eastAsia"/>
                      <w:color w:val="000000"/>
                      <w:sz w:val="21"/>
                      <w:szCs w:val="21"/>
                    </w:rPr>
                    <w:t>10(监控点处1小时平均浓度值)</w:t>
                  </w:r>
                </w:p>
              </w:tc>
              <w:tc>
                <w:tcPr>
                  <w:tcW w:w="1892" w:type="pct"/>
                  <w:vMerge w:val="restart"/>
                  <w:noWrap w:val="0"/>
                  <w:vAlign w:val="center"/>
                </w:tcPr>
                <w:p w14:paraId="6EAEE944">
                  <w:pPr>
                    <w:spacing w:line="240" w:lineRule="auto"/>
                    <w:ind w:firstLine="0" w:firstLineChars="0"/>
                    <w:jc w:val="center"/>
                    <w:rPr>
                      <w:rFonts w:hint="eastAsia"/>
                      <w:color w:val="000000"/>
                      <w:sz w:val="21"/>
                      <w:szCs w:val="21"/>
                    </w:rPr>
                  </w:pPr>
                  <w:r>
                    <w:rPr>
                      <w:rFonts w:hint="eastAsia"/>
                      <w:color w:val="000000"/>
                      <w:sz w:val="21"/>
                      <w:szCs w:val="21"/>
                    </w:rPr>
                    <w:t>《挥发性有机物无组织排放控制标准》（GB 37822-2019）表A.1</w:t>
                  </w:r>
                </w:p>
              </w:tc>
            </w:tr>
            <w:tr w14:paraId="4B9D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2" w:type="pct"/>
                  <w:vMerge w:val="continue"/>
                  <w:noWrap w:val="0"/>
                  <w:vAlign w:val="center"/>
                </w:tcPr>
                <w:p w14:paraId="7F1A0121">
                  <w:pPr>
                    <w:spacing w:line="240" w:lineRule="auto"/>
                    <w:ind w:firstLine="0" w:firstLineChars="0"/>
                    <w:jc w:val="center"/>
                    <w:rPr>
                      <w:color w:val="000000"/>
                      <w:sz w:val="21"/>
                      <w:szCs w:val="21"/>
                    </w:rPr>
                  </w:pPr>
                </w:p>
              </w:tc>
              <w:tc>
                <w:tcPr>
                  <w:tcW w:w="932" w:type="pct"/>
                  <w:vMerge w:val="continue"/>
                  <w:noWrap w:val="0"/>
                  <w:vAlign w:val="center"/>
                </w:tcPr>
                <w:p w14:paraId="36354FCE">
                  <w:pPr>
                    <w:spacing w:line="240" w:lineRule="auto"/>
                    <w:ind w:firstLine="0" w:firstLineChars="0"/>
                    <w:jc w:val="center"/>
                    <w:rPr>
                      <w:color w:val="000000"/>
                      <w:sz w:val="21"/>
                      <w:szCs w:val="21"/>
                    </w:rPr>
                  </w:pPr>
                </w:p>
              </w:tc>
              <w:tc>
                <w:tcPr>
                  <w:tcW w:w="1543" w:type="pct"/>
                  <w:noWrap w:val="0"/>
                  <w:vAlign w:val="center"/>
                </w:tcPr>
                <w:p w14:paraId="10B4AD8E">
                  <w:pPr>
                    <w:spacing w:line="240" w:lineRule="auto"/>
                    <w:ind w:firstLine="0" w:firstLineChars="0"/>
                    <w:jc w:val="center"/>
                    <w:rPr>
                      <w:rFonts w:hint="eastAsia"/>
                      <w:color w:val="000000"/>
                      <w:sz w:val="21"/>
                      <w:szCs w:val="21"/>
                    </w:rPr>
                  </w:pPr>
                  <w:r>
                    <w:rPr>
                      <w:rFonts w:hint="eastAsia"/>
                      <w:color w:val="000000"/>
                      <w:sz w:val="21"/>
                      <w:szCs w:val="21"/>
                    </w:rPr>
                    <w:t>30(监控点任意一次浓度值)</w:t>
                  </w:r>
                </w:p>
              </w:tc>
              <w:tc>
                <w:tcPr>
                  <w:tcW w:w="1892" w:type="pct"/>
                  <w:vMerge w:val="continue"/>
                  <w:noWrap w:val="0"/>
                  <w:vAlign w:val="center"/>
                </w:tcPr>
                <w:p w14:paraId="23E7AD5D">
                  <w:pPr>
                    <w:spacing w:line="240" w:lineRule="auto"/>
                    <w:ind w:firstLine="0" w:firstLineChars="0"/>
                    <w:jc w:val="center"/>
                    <w:rPr>
                      <w:color w:val="000000"/>
                      <w:sz w:val="21"/>
                      <w:szCs w:val="21"/>
                    </w:rPr>
                  </w:pPr>
                </w:p>
              </w:tc>
            </w:tr>
            <w:tr w14:paraId="3377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2" w:type="pct"/>
                  <w:vMerge w:val="continue"/>
                  <w:noWrap w:val="0"/>
                  <w:vAlign w:val="center"/>
                </w:tcPr>
                <w:p w14:paraId="42E6C4D5">
                  <w:pPr>
                    <w:spacing w:line="240" w:lineRule="auto"/>
                    <w:ind w:firstLine="0" w:firstLineChars="0"/>
                    <w:jc w:val="center"/>
                    <w:rPr>
                      <w:rFonts w:hint="eastAsia" w:eastAsia="宋体"/>
                      <w:color w:val="000000"/>
                      <w:sz w:val="21"/>
                      <w:szCs w:val="21"/>
                      <w:lang w:eastAsia="zh-CN"/>
                    </w:rPr>
                  </w:pPr>
                </w:p>
              </w:tc>
              <w:tc>
                <w:tcPr>
                  <w:tcW w:w="932" w:type="pct"/>
                  <w:noWrap w:val="0"/>
                  <w:vAlign w:val="center"/>
                </w:tcPr>
                <w:p w14:paraId="686FA2FE">
                  <w:pPr>
                    <w:spacing w:line="240" w:lineRule="auto"/>
                    <w:ind w:firstLine="0" w:firstLineChars="0"/>
                    <w:jc w:val="center"/>
                    <w:rPr>
                      <w:rFonts w:hint="eastAsia" w:eastAsia="宋体"/>
                      <w:color w:val="000000"/>
                      <w:sz w:val="21"/>
                      <w:szCs w:val="21"/>
                      <w:lang w:eastAsia="zh-CN"/>
                    </w:rPr>
                  </w:pPr>
                  <w:r>
                    <w:rPr>
                      <w:rFonts w:hint="eastAsia"/>
                      <w:color w:val="000000"/>
                      <w:sz w:val="21"/>
                      <w:szCs w:val="21"/>
                      <w:lang w:eastAsia="zh-CN"/>
                    </w:rPr>
                    <w:t>厂界外</w:t>
                  </w:r>
                </w:p>
              </w:tc>
              <w:tc>
                <w:tcPr>
                  <w:tcW w:w="1543" w:type="pct"/>
                  <w:noWrap w:val="0"/>
                  <w:vAlign w:val="center"/>
                </w:tcPr>
                <w:p w14:paraId="64FA9F16">
                  <w:pPr>
                    <w:spacing w:line="240" w:lineRule="auto"/>
                    <w:ind w:firstLine="0" w:firstLineChars="0"/>
                    <w:jc w:val="center"/>
                    <w:rPr>
                      <w:rFonts w:hint="default" w:eastAsia="宋体"/>
                      <w:color w:val="000000"/>
                      <w:sz w:val="21"/>
                      <w:szCs w:val="21"/>
                      <w:lang w:val="en-US" w:eastAsia="zh-CN"/>
                    </w:rPr>
                  </w:pPr>
                  <w:r>
                    <w:rPr>
                      <w:rFonts w:hint="eastAsia"/>
                      <w:color w:val="000000"/>
                      <w:sz w:val="21"/>
                      <w:szCs w:val="21"/>
                      <w:lang w:val="en-US" w:eastAsia="zh-CN"/>
                    </w:rPr>
                    <w:t>4.0</w:t>
                  </w:r>
                </w:p>
              </w:tc>
              <w:tc>
                <w:tcPr>
                  <w:tcW w:w="1892" w:type="pct"/>
                  <w:vMerge w:val="restart"/>
                  <w:noWrap w:val="0"/>
                  <w:vAlign w:val="center"/>
                </w:tcPr>
                <w:p w14:paraId="5E8658E2">
                  <w:pPr>
                    <w:spacing w:line="240" w:lineRule="auto"/>
                    <w:ind w:firstLine="0" w:firstLineChars="0"/>
                    <w:jc w:val="center"/>
                    <w:rPr>
                      <w:color w:val="000000"/>
                      <w:sz w:val="21"/>
                      <w:szCs w:val="21"/>
                    </w:rPr>
                  </w:pPr>
                  <w:r>
                    <w:rPr>
                      <w:rFonts w:hint="eastAsia"/>
                      <w:color w:val="000000"/>
                      <w:sz w:val="21"/>
                      <w:szCs w:val="21"/>
                    </w:rPr>
                    <w:t>《大气污染物综合排放标准》（GB16297-1996）表2中</w:t>
                  </w:r>
                  <w:r>
                    <w:rPr>
                      <w:rFonts w:hint="eastAsia"/>
                      <w:color w:val="000000"/>
                      <w:sz w:val="21"/>
                      <w:szCs w:val="21"/>
                      <w:lang w:eastAsia="zh-CN"/>
                    </w:rPr>
                    <w:t>其他行业</w:t>
                  </w:r>
                  <w:r>
                    <w:rPr>
                      <w:rFonts w:hint="eastAsia"/>
                      <w:color w:val="000000"/>
                      <w:sz w:val="21"/>
                      <w:szCs w:val="21"/>
                    </w:rPr>
                    <w:t>无组织排放监控浓度限值</w:t>
                  </w:r>
                </w:p>
              </w:tc>
            </w:tr>
            <w:tr w14:paraId="1173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2" w:type="pct"/>
                  <w:noWrap w:val="0"/>
                  <w:vAlign w:val="center"/>
                </w:tcPr>
                <w:p w14:paraId="5363A42B">
                  <w:pPr>
                    <w:spacing w:line="240" w:lineRule="auto"/>
                    <w:ind w:firstLine="0" w:firstLineChars="0"/>
                    <w:jc w:val="center"/>
                    <w:rPr>
                      <w:rFonts w:hint="default" w:eastAsia="宋体"/>
                      <w:color w:val="000000"/>
                      <w:sz w:val="21"/>
                      <w:szCs w:val="21"/>
                      <w:lang w:val="en-US" w:eastAsia="zh-CN"/>
                    </w:rPr>
                  </w:pPr>
                  <w:r>
                    <w:rPr>
                      <w:rFonts w:hint="eastAsia" w:eastAsia="宋体"/>
                      <w:color w:val="000000"/>
                      <w:sz w:val="21"/>
                      <w:szCs w:val="21"/>
                      <w:lang w:val="en-US" w:eastAsia="zh-CN"/>
                    </w:rPr>
                    <w:t>颗粒物</w:t>
                  </w:r>
                </w:p>
              </w:tc>
              <w:tc>
                <w:tcPr>
                  <w:tcW w:w="932" w:type="pct"/>
                  <w:noWrap w:val="0"/>
                  <w:vAlign w:val="center"/>
                </w:tcPr>
                <w:p w14:paraId="4C18575A">
                  <w:pPr>
                    <w:spacing w:line="240" w:lineRule="auto"/>
                    <w:ind w:firstLine="0" w:firstLineChars="0"/>
                    <w:jc w:val="center"/>
                    <w:rPr>
                      <w:rFonts w:hint="eastAsia"/>
                      <w:color w:val="000000"/>
                      <w:sz w:val="21"/>
                      <w:szCs w:val="21"/>
                      <w:lang w:eastAsia="zh-CN"/>
                    </w:rPr>
                  </w:pPr>
                  <w:r>
                    <w:rPr>
                      <w:rFonts w:hint="eastAsia"/>
                      <w:color w:val="000000"/>
                      <w:sz w:val="21"/>
                      <w:szCs w:val="21"/>
                      <w:lang w:eastAsia="zh-CN"/>
                    </w:rPr>
                    <w:t>厂界外</w:t>
                  </w:r>
                </w:p>
              </w:tc>
              <w:tc>
                <w:tcPr>
                  <w:tcW w:w="1543" w:type="pct"/>
                  <w:noWrap w:val="0"/>
                  <w:vAlign w:val="center"/>
                </w:tcPr>
                <w:p w14:paraId="2D702370">
                  <w:pPr>
                    <w:spacing w:line="240" w:lineRule="auto"/>
                    <w:ind w:firstLine="0" w:firstLineChars="0"/>
                    <w:jc w:val="center"/>
                    <w:rPr>
                      <w:rFonts w:hint="default"/>
                      <w:color w:val="000000"/>
                      <w:sz w:val="21"/>
                      <w:szCs w:val="21"/>
                      <w:lang w:val="en-US" w:eastAsia="zh-CN"/>
                    </w:rPr>
                  </w:pPr>
                  <w:r>
                    <w:rPr>
                      <w:rFonts w:hint="eastAsia"/>
                      <w:color w:val="000000"/>
                      <w:sz w:val="21"/>
                      <w:szCs w:val="21"/>
                      <w:lang w:val="en-US" w:eastAsia="zh-CN"/>
                    </w:rPr>
                    <w:t>1.0</w:t>
                  </w:r>
                </w:p>
              </w:tc>
              <w:tc>
                <w:tcPr>
                  <w:tcW w:w="1892" w:type="pct"/>
                  <w:vMerge w:val="continue"/>
                  <w:noWrap w:val="0"/>
                  <w:vAlign w:val="center"/>
                </w:tcPr>
                <w:p w14:paraId="5C2B488B">
                  <w:pPr>
                    <w:spacing w:line="240" w:lineRule="auto"/>
                    <w:ind w:firstLine="0" w:firstLineChars="0"/>
                    <w:jc w:val="center"/>
                    <w:rPr>
                      <w:rFonts w:hint="eastAsia"/>
                      <w:color w:val="000000"/>
                      <w:sz w:val="21"/>
                      <w:szCs w:val="21"/>
                    </w:rPr>
                  </w:pPr>
                </w:p>
              </w:tc>
            </w:tr>
          </w:tbl>
          <w:p w14:paraId="5BF59619">
            <w:pPr>
              <w:ind w:firstLine="480"/>
              <w:rPr>
                <w:color w:val="000000" w:themeColor="text1"/>
                <w14:textFill>
                  <w14:solidFill>
                    <w14:schemeClr w14:val="tx1"/>
                  </w14:solidFill>
                </w14:textFill>
              </w:rPr>
            </w:pPr>
            <w:r>
              <w:rPr>
                <w:color w:val="000000" w:themeColor="text1"/>
                <w14:textFill>
                  <w14:solidFill>
                    <w14:schemeClr w14:val="tx1"/>
                  </w14:solidFill>
                </w14:textFill>
              </w:rPr>
              <w:t>（2）废水</w:t>
            </w:r>
          </w:p>
          <w:p w14:paraId="20F89192">
            <w:pPr>
              <w:bidi w:val="0"/>
              <w:rPr>
                <w:rFonts w:hint="eastAsia"/>
              </w:rPr>
            </w:pPr>
            <w:r>
              <w:rPr>
                <w:rFonts w:hint="eastAsia"/>
              </w:rPr>
              <w:t>本项目生活污水</w:t>
            </w:r>
            <w:r>
              <w:rPr>
                <w:rFonts w:hint="eastAsia"/>
                <w:lang w:eastAsia="zh-CN"/>
              </w:rPr>
              <w:t>、</w:t>
            </w:r>
            <w:r>
              <w:rPr>
                <w:rFonts w:hint="eastAsia"/>
                <w:lang w:val="en-US" w:eastAsia="zh-CN"/>
              </w:rPr>
              <w:t>洗车废水经</w:t>
            </w:r>
            <w:r>
              <w:rPr>
                <w:rFonts w:hint="eastAsia"/>
              </w:rPr>
              <w:t>处理后</w:t>
            </w:r>
            <w:r>
              <w:rPr>
                <w:rFonts w:hint="eastAsia"/>
                <w:lang w:eastAsia="zh-CN"/>
              </w:rPr>
              <w:t>排入市政污水管网</w:t>
            </w:r>
            <w:r>
              <w:rPr>
                <w:rFonts w:hint="eastAsia"/>
              </w:rPr>
              <w:t>，废水排放执行</w:t>
            </w:r>
            <w:r>
              <w:rPr>
                <w:rFonts w:hint="eastAsia"/>
                <w:lang w:val="en-US" w:eastAsia="zh-CN"/>
              </w:rPr>
              <w:t>《汽车维修业水污染物排放标准》（GB26877-2011）表2中间接排放浓度限值</w:t>
            </w:r>
            <w:r>
              <w:rPr>
                <w:rFonts w:hint="eastAsia"/>
              </w:rPr>
              <w:t>，排放标准见表3-</w:t>
            </w:r>
            <w:r>
              <w:rPr>
                <w:rFonts w:hint="eastAsia"/>
                <w:lang w:val="en-US" w:eastAsia="zh-CN"/>
              </w:rPr>
              <w:t>5</w:t>
            </w:r>
            <w:r>
              <w:rPr>
                <w:rFonts w:hint="eastAsia"/>
              </w:rPr>
              <w:t>。</w:t>
            </w:r>
          </w:p>
          <w:p w14:paraId="7D746D8D">
            <w:pPr>
              <w:spacing w:line="240" w:lineRule="auto"/>
              <w:ind w:firstLine="42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3-</w:t>
            </w:r>
            <w:r>
              <w:rPr>
                <w:rFonts w:hint="eastAsia"/>
                <w:b/>
                <w:color w:val="000000" w:themeColor="text1"/>
                <w:sz w:val="21"/>
                <w:szCs w:val="21"/>
                <w:lang w:val="en-US" w:eastAsia="zh-CN"/>
                <w14:textFill>
                  <w14:solidFill>
                    <w14:schemeClr w14:val="tx1"/>
                  </w14:solidFill>
                </w14:textFill>
              </w:rPr>
              <w:t>5</w:t>
            </w:r>
            <w:r>
              <w:rPr>
                <w:b/>
                <w:color w:val="000000" w:themeColor="text1"/>
                <w:sz w:val="21"/>
                <w:szCs w:val="21"/>
                <w14:textFill>
                  <w14:solidFill>
                    <w14:schemeClr w14:val="tx1"/>
                  </w14:solidFill>
                </w14:textFill>
              </w:rPr>
              <w:t xml:space="preserve"> </w:t>
            </w:r>
            <w:r>
              <w:rPr>
                <w:rFonts w:hint="eastAsia"/>
                <w:b/>
                <w:bCs/>
                <w:color w:val="000000" w:themeColor="text1"/>
                <w:sz w:val="21"/>
                <w:szCs w:val="21"/>
                <w14:textFill>
                  <w14:solidFill>
                    <w14:schemeClr w14:val="tx1"/>
                  </w14:solidFill>
                </w14:textFill>
              </w:rPr>
              <w:t xml:space="preserve"> 废水污染物排放标准</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4899"/>
            </w:tblGrid>
            <w:tr w14:paraId="5397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58F6ED8C">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污染物</w:t>
                  </w:r>
                </w:p>
              </w:tc>
              <w:tc>
                <w:tcPr>
                  <w:tcW w:w="2924" w:type="pct"/>
                  <w:noWrap w:val="0"/>
                  <w:vAlign w:val="center"/>
                </w:tcPr>
                <w:p w14:paraId="0121902E">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间接排放</w:t>
                  </w:r>
                </w:p>
              </w:tc>
            </w:tr>
            <w:tr w14:paraId="3B91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37F322A1">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PH</w:t>
                  </w:r>
                </w:p>
              </w:tc>
              <w:tc>
                <w:tcPr>
                  <w:tcW w:w="2924" w:type="pct"/>
                  <w:noWrap w:val="0"/>
                  <w:vAlign w:val="center"/>
                </w:tcPr>
                <w:p w14:paraId="79B0EC9F">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6~9</w:t>
                  </w:r>
                </w:p>
              </w:tc>
            </w:tr>
            <w:tr w14:paraId="79B8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54D4F7ED">
                  <w:pPr>
                    <w:widowControl/>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悬浮物</w:t>
                  </w:r>
                </w:p>
              </w:tc>
              <w:tc>
                <w:tcPr>
                  <w:tcW w:w="2924" w:type="pct"/>
                  <w:noWrap w:val="0"/>
                  <w:vAlign w:val="center"/>
                </w:tcPr>
                <w:p w14:paraId="2AF018F1">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100</w:t>
                  </w:r>
                  <w:r>
                    <w:rPr>
                      <w:rFonts w:hint="eastAsia"/>
                      <w:color w:val="000000" w:themeColor="text1"/>
                      <w:kern w:val="0"/>
                      <w:sz w:val="21"/>
                      <w:szCs w:val="21"/>
                      <w14:textFill>
                        <w14:solidFill>
                          <w14:schemeClr w14:val="tx1"/>
                        </w14:solidFill>
                      </w14:textFill>
                    </w:rPr>
                    <w:t>mg/L</w:t>
                  </w:r>
                </w:p>
              </w:tc>
            </w:tr>
            <w:tr w14:paraId="4497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0442DCD3">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COD</w:t>
                  </w:r>
                </w:p>
              </w:tc>
              <w:tc>
                <w:tcPr>
                  <w:tcW w:w="2924" w:type="pct"/>
                  <w:noWrap w:val="0"/>
                  <w:vAlign w:val="center"/>
                </w:tcPr>
                <w:p w14:paraId="44F330C5">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w:t>
                  </w:r>
                  <w:r>
                    <w:rPr>
                      <w:rFonts w:hint="eastAsia"/>
                      <w:color w:val="000000" w:themeColor="text1"/>
                      <w:kern w:val="0"/>
                      <w:sz w:val="21"/>
                      <w:szCs w:val="21"/>
                      <w14:textFill>
                        <w14:solidFill>
                          <w14:schemeClr w14:val="tx1"/>
                        </w14:solidFill>
                      </w14:textFill>
                    </w:rPr>
                    <w:t>00mg/L</w:t>
                  </w:r>
                </w:p>
              </w:tc>
            </w:tr>
            <w:tr w14:paraId="4E64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305CDE43">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BOD</w:t>
                  </w:r>
                  <w:r>
                    <w:rPr>
                      <w:rFonts w:hint="eastAsia"/>
                      <w:color w:val="000000" w:themeColor="text1"/>
                      <w:kern w:val="0"/>
                      <w:sz w:val="21"/>
                      <w:szCs w:val="21"/>
                      <w:vertAlign w:val="subscript"/>
                      <w14:textFill>
                        <w14:solidFill>
                          <w14:schemeClr w14:val="tx1"/>
                        </w14:solidFill>
                      </w14:textFill>
                    </w:rPr>
                    <w:t>5</w:t>
                  </w:r>
                </w:p>
              </w:tc>
              <w:tc>
                <w:tcPr>
                  <w:tcW w:w="2924" w:type="pct"/>
                  <w:noWrap w:val="0"/>
                  <w:vAlign w:val="center"/>
                </w:tcPr>
                <w:p w14:paraId="307D46DD">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15</w:t>
                  </w:r>
                  <w:r>
                    <w:rPr>
                      <w:rFonts w:hint="eastAsia"/>
                      <w:color w:val="000000" w:themeColor="text1"/>
                      <w:kern w:val="0"/>
                      <w:sz w:val="21"/>
                      <w:szCs w:val="21"/>
                      <w14:textFill>
                        <w14:solidFill>
                          <w14:schemeClr w14:val="tx1"/>
                        </w14:solidFill>
                      </w14:textFill>
                    </w:rPr>
                    <w:t>0mg/L</w:t>
                  </w:r>
                </w:p>
              </w:tc>
            </w:tr>
            <w:tr w14:paraId="23DF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3CF59531">
                  <w:pPr>
                    <w:widowControl/>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石油类</w:t>
                  </w:r>
                </w:p>
              </w:tc>
              <w:tc>
                <w:tcPr>
                  <w:tcW w:w="2924" w:type="pct"/>
                  <w:noWrap w:val="0"/>
                  <w:vAlign w:val="center"/>
                </w:tcPr>
                <w:p w14:paraId="67484DF4">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10</w:t>
                  </w:r>
                  <w:r>
                    <w:rPr>
                      <w:rFonts w:hint="eastAsia"/>
                      <w:color w:val="000000" w:themeColor="text1"/>
                      <w:kern w:val="0"/>
                      <w:sz w:val="21"/>
                      <w:szCs w:val="21"/>
                      <w14:textFill>
                        <w14:solidFill>
                          <w14:schemeClr w14:val="tx1"/>
                        </w14:solidFill>
                      </w14:textFill>
                    </w:rPr>
                    <w:t>mg/L</w:t>
                  </w:r>
                </w:p>
              </w:tc>
            </w:tr>
            <w:tr w14:paraId="03DD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4C519164">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阴离子表面活性剂</w:t>
                  </w:r>
                </w:p>
              </w:tc>
              <w:tc>
                <w:tcPr>
                  <w:tcW w:w="2924" w:type="pct"/>
                  <w:noWrap w:val="0"/>
                  <w:vAlign w:val="center"/>
                </w:tcPr>
                <w:p w14:paraId="1473D5AC">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10</w:t>
                  </w:r>
                  <w:r>
                    <w:rPr>
                      <w:rFonts w:hint="eastAsia"/>
                      <w:color w:val="000000" w:themeColor="text1"/>
                      <w:kern w:val="0"/>
                      <w:sz w:val="21"/>
                      <w:szCs w:val="21"/>
                      <w14:textFill>
                        <w14:solidFill>
                          <w14:schemeClr w14:val="tx1"/>
                        </w14:solidFill>
                      </w14:textFill>
                    </w:rPr>
                    <w:t>mg/L</w:t>
                  </w:r>
                </w:p>
              </w:tc>
            </w:tr>
            <w:tr w14:paraId="37FD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0D68CE86">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NH</w:t>
                  </w:r>
                  <w:r>
                    <w:rPr>
                      <w:rFonts w:hint="eastAsia"/>
                      <w:color w:val="000000" w:themeColor="text1"/>
                      <w:kern w:val="0"/>
                      <w:sz w:val="21"/>
                      <w:szCs w:val="21"/>
                      <w:vertAlign w:val="subscript"/>
                      <w14:textFill>
                        <w14:solidFill>
                          <w14:schemeClr w14:val="tx1"/>
                        </w14:solidFill>
                      </w14:textFill>
                    </w:rPr>
                    <w:t>3</w:t>
                  </w:r>
                  <w:r>
                    <w:rPr>
                      <w:rFonts w:hint="eastAsia"/>
                      <w:color w:val="000000" w:themeColor="text1"/>
                      <w:kern w:val="0"/>
                      <w:sz w:val="21"/>
                      <w:szCs w:val="21"/>
                      <w14:textFill>
                        <w14:solidFill>
                          <w14:schemeClr w14:val="tx1"/>
                        </w14:solidFill>
                      </w14:textFill>
                    </w:rPr>
                    <w:t>-N</w:t>
                  </w:r>
                </w:p>
              </w:tc>
              <w:tc>
                <w:tcPr>
                  <w:tcW w:w="2924" w:type="pct"/>
                  <w:noWrap w:val="0"/>
                  <w:vAlign w:val="center"/>
                </w:tcPr>
                <w:p w14:paraId="72BC6D69">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25</w:t>
                  </w:r>
                  <w:r>
                    <w:rPr>
                      <w:rFonts w:hint="eastAsia"/>
                      <w:color w:val="000000" w:themeColor="text1"/>
                      <w:kern w:val="0"/>
                      <w:sz w:val="21"/>
                      <w:szCs w:val="21"/>
                      <w14:textFill>
                        <w14:solidFill>
                          <w14:schemeClr w14:val="tx1"/>
                        </w14:solidFill>
                      </w14:textFill>
                    </w:rPr>
                    <w:t>mg/L</w:t>
                  </w:r>
                </w:p>
              </w:tc>
            </w:tr>
            <w:tr w14:paraId="0B91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7B2030FD">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TP</w:t>
                  </w:r>
                </w:p>
              </w:tc>
              <w:tc>
                <w:tcPr>
                  <w:tcW w:w="2924" w:type="pct"/>
                  <w:noWrap w:val="0"/>
                  <w:vAlign w:val="center"/>
                </w:tcPr>
                <w:p w14:paraId="7B7C17D8">
                  <w:pPr>
                    <w:widowControl/>
                    <w:spacing w:line="240" w:lineRule="auto"/>
                    <w:ind w:firstLine="0" w:firstLineChars="0"/>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w:t>
                  </w:r>
                  <w:r>
                    <w:rPr>
                      <w:rFonts w:hint="eastAsia"/>
                      <w:color w:val="000000" w:themeColor="text1"/>
                      <w:kern w:val="0"/>
                      <w:sz w:val="21"/>
                      <w:szCs w:val="21"/>
                      <w14:textFill>
                        <w14:solidFill>
                          <w14:schemeClr w14:val="tx1"/>
                        </w14:solidFill>
                      </w14:textFill>
                    </w:rPr>
                    <w:t>mg/L</w:t>
                  </w:r>
                </w:p>
              </w:tc>
            </w:tr>
            <w:tr w14:paraId="2E9C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0AFBAC1B">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TN</w:t>
                  </w:r>
                </w:p>
              </w:tc>
              <w:tc>
                <w:tcPr>
                  <w:tcW w:w="2924" w:type="pct"/>
                  <w:noWrap w:val="0"/>
                  <w:vAlign w:val="center"/>
                </w:tcPr>
                <w:p w14:paraId="6189C779">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30</w:t>
                  </w:r>
                  <w:r>
                    <w:rPr>
                      <w:rFonts w:hint="eastAsia"/>
                      <w:color w:val="000000" w:themeColor="text1"/>
                      <w:kern w:val="0"/>
                      <w:sz w:val="21"/>
                      <w:szCs w:val="21"/>
                      <w14:textFill>
                        <w14:solidFill>
                          <w14:schemeClr w14:val="tx1"/>
                        </w14:solidFill>
                      </w14:textFill>
                    </w:rPr>
                    <w:t>mg/L</w:t>
                  </w:r>
                </w:p>
              </w:tc>
            </w:tr>
            <w:tr w14:paraId="6E4A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5" w:type="pct"/>
                  <w:noWrap w:val="0"/>
                  <w:vAlign w:val="center"/>
                </w:tcPr>
                <w:p w14:paraId="0F38DCFC">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单位基准排水量</w:t>
                  </w:r>
                </w:p>
              </w:tc>
              <w:tc>
                <w:tcPr>
                  <w:tcW w:w="2924" w:type="pct"/>
                  <w:noWrap w:val="0"/>
                  <w:vAlign w:val="center"/>
                </w:tcPr>
                <w:p w14:paraId="0999352E">
                  <w:pPr>
                    <w:widowControl/>
                    <w:spacing w:line="240" w:lineRule="auto"/>
                    <w:ind w:firstLine="0" w:firstLineChars="0"/>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0.014m</w:t>
                  </w:r>
                  <w:r>
                    <w:rPr>
                      <w:rFonts w:hint="eastAsia"/>
                      <w:color w:val="000000" w:themeColor="text1"/>
                      <w:kern w:val="0"/>
                      <w:sz w:val="21"/>
                      <w:szCs w:val="21"/>
                      <w:vertAlign w:val="superscript"/>
                      <w:lang w:val="en-US" w:eastAsia="zh-CN"/>
                      <w14:textFill>
                        <w14:solidFill>
                          <w14:schemeClr w14:val="tx1"/>
                        </w14:solidFill>
                      </w14:textFill>
                    </w:rPr>
                    <w:t>3</w:t>
                  </w:r>
                  <w:r>
                    <w:rPr>
                      <w:rFonts w:hint="eastAsia"/>
                      <w:color w:val="000000" w:themeColor="text1"/>
                      <w:kern w:val="0"/>
                      <w:sz w:val="21"/>
                      <w:szCs w:val="21"/>
                      <w:lang w:val="en-US" w:eastAsia="zh-CN"/>
                      <w14:textFill>
                        <w14:solidFill>
                          <w14:schemeClr w14:val="tx1"/>
                        </w14:solidFill>
                      </w14:textFill>
                    </w:rPr>
                    <w:t>/辆</w:t>
                  </w:r>
                </w:p>
              </w:tc>
            </w:tr>
          </w:tbl>
          <w:p w14:paraId="07D2B745">
            <w:pPr>
              <w:ind w:firstLine="480"/>
              <w:rPr>
                <w:color w:val="000000" w:themeColor="text1"/>
                <w14:textFill>
                  <w14:solidFill>
                    <w14:schemeClr w14:val="tx1"/>
                  </w14:solidFill>
                </w14:textFill>
              </w:rPr>
            </w:pPr>
            <w:r>
              <w:rPr>
                <w:color w:val="000000" w:themeColor="text1"/>
                <w14:textFill>
                  <w14:solidFill>
                    <w14:schemeClr w14:val="tx1"/>
                  </w14:solidFill>
                </w14:textFill>
              </w:rPr>
              <w:t>（3）噪声</w:t>
            </w:r>
          </w:p>
          <w:p w14:paraId="224EF15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项目位于</w:t>
            </w:r>
            <w:r>
              <w:rPr>
                <w:rFonts w:hint="eastAsia"/>
                <w:color w:val="000000" w:themeColor="text1"/>
                <w:lang w:val="en-US" w:eastAsia="zh-CN"/>
                <w14:textFill>
                  <w14:solidFill>
                    <w14:schemeClr w14:val="tx1"/>
                  </w14:solidFill>
                </w14:textFill>
              </w:rPr>
              <w:t>汽车城</w:t>
            </w:r>
            <w:r>
              <w:rPr>
                <w:rFonts w:hint="eastAsia"/>
                <w:color w:val="000000" w:themeColor="text1"/>
                <w14:textFill>
                  <w14:solidFill>
                    <w14:schemeClr w14:val="tx1"/>
                  </w14:solidFill>
                </w14:textFill>
              </w:rPr>
              <w:t>，噪声</w:t>
            </w:r>
            <w:r>
              <w:rPr>
                <w:color w:val="000000" w:themeColor="text1"/>
                <w14:textFill>
                  <w14:solidFill>
                    <w14:schemeClr w14:val="tx1"/>
                  </w14:solidFill>
                </w14:textFill>
              </w:rPr>
              <w:t>执行《工业企业厂界环境噪声排放标准》（GB12348-2008）中</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类标准。</w:t>
            </w:r>
          </w:p>
          <w:p w14:paraId="2BA81E0D">
            <w:pPr>
              <w:pStyle w:val="12"/>
              <w:spacing w:line="400" w:lineRule="exact"/>
              <w:ind w:firstLine="422"/>
              <w:rPr>
                <w:rFonts w:hAnsi="Times New Roman"/>
                <w:b/>
                <w:color w:val="000000" w:themeColor="text1"/>
                <w:sz w:val="21"/>
                <w:szCs w:val="21"/>
                <w14:textFill>
                  <w14:solidFill>
                    <w14:schemeClr w14:val="tx1"/>
                  </w14:solidFill>
                </w14:textFill>
              </w:rPr>
            </w:pPr>
            <w:r>
              <w:rPr>
                <w:rFonts w:hAnsi="Times New Roman"/>
                <w:b/>
                <w:color w:val="000000" w:themeColor="text1"/>
                <w:sz w:val="21"/>
                <w:szCs w:val="21"/>
                <w14:textFill>
                  <w14:solidFill>
                    <w14:schemeClr w14:val="tx1"/>
                  </w14:solidFill>
                </w14:textFill>
              </w:rPr>
              <w:t>表</w:t>
            </w:r>
            <w:r>
              <w:rPr>
                <w:rFonts w:hint="eastAsia" w:hAnsi="Times New Roman"/>
                <w:b/>
                <w:color w:val="000000" w:themeColor="text1"/>
                <w:sz w:val="21"/>
                <w:szCs w:val="21"/>
                <w:lang w:val="en-US"/>
                <w14:textFill>
                  <w14:solidFill>
                    <w14:schemeClr w14:val="tx1"/>
                  </w14:solidFill>
                </w14:textFill>
              </w:rPr>
              <w:t>3</w:t>
            </w:r>
            <w:r>
              <w:rPr>
                <w:rFonts w:hAnsi="Times New Roman"/>
                <w:b/>
                <w:color w:val="000000" w:themeColor="text1"/>
                <w:sz w:val="21"/>
                <w:szCs w:val="21"/>
                <w14:textFill>
                  <w14:solidFill>
                    <w14:schemeClr w14:val="tx1"/>
                  </w14:solidFill>
                </w14:textFill>
              </w:rPr>
              <w:t>-</w:t>
            </w:r>
            <w:r>
              <w:rPr>
                <w:rFonts w:hint="eastAsia" w:hAnsi="Times New Roman"/>
                <w:b/>
                <w:color w:val="000000" w:themeColor="text1"/>
                <w:sz w:val="21"/>
                <w:szCs w:val="21"/>
                <w:lang w:val="en-US" w:eastAsia="zh-CN"/>
                <w14:textFill>
                  <w14:solidFill>
                    <w14:schemeClr w14:val="tx1"/>
                  </w14:solidFill>
                </w14:textFill>
              </w:rPr>
              <w:t>6</w:t>
            </w:r>
            <w:r>
              <w:rPr>
                <w:rFonts w:hAnsi="Times New Roman"/>
                <w:b/>
                <w:color w:val="000000" w:themeColor="text1"/>
                <w:sz w:val="21"/>
                <w:szCs w:val="21"/>
                <w14:textFill>
                  <w14:solidFill>
                    <w14:schemeClr w14:val="tx1"/>
                  </w14:solidFill>
                </w14:textFill>
              </w:rPr>
              <w:t xml:space="preserve">   噪声评价标准标准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8"/>
              <w:gridCol w:w="2780"/>
              <w:gridCol w:w="2781"/>
            </w:tblGrid>
            <w:tr w14:paraId="1F47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18" w:type="dxa"/>
                  <w:noWrap w:val="0"/>
                  <w:vAlign w:val="center"/>
                </w:tcPr>
                <w:p w14:paraId="4F79A7F1">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类别</w:t>
                  </w:r>
                </w:p>
              </w:tc>
              <w:tc>
                <w:tcPr>
                  <w:tcW w:w="2780" w:type="dxa"/>
                  <w:noWrap w:val="0"/>
                  <w:vAlign w:val="center"/>
                </w:tcPr>
                <w:p w14:paraId="04C56577">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昼间</w:t>
                  </w:r>
                </w:p>
              </w:tc>
              <w:tc>
                <w:tcPr>
                  <w:tcW w:w="2781" w:type="dxa"/>
                  <w:noWrap w:val="0"/>
                  <w:vAlign w:val="center"/>
                </w:tcPr>
                <w:p w14:paraId="6D310EF6">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夜间</w:t>
                  </w:r>
                </w:p>
              </w:tc>
            </w:tr>
            <w:tr w14:paraId="5D82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18" w:type="dxa"/>
                  <w:noWrap w:val="0"/>
                  <w:vAlign w:val="center"/>
                </w:tcPr>
                <w:p w14:paraId="24C9D104">
                  <w:pPr>
                    <w:widowControl/>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（GB12348-2008）</w:t>
                  </w:r>
                  <w:r>
                    <w:rPr>
                      <w:rFonts w:hint="eastAsia"/>
                      <w:color w:val="000000" w:themeColor="text1"/>
                      <w:kern w:val="0"/>
                      <w:sz w:val="21"/>
                      <w:szCs w:val="21"/>
                      <w:lang w:val="en-US" w:eastAsia="zh-CN"/>
                      <w14:textFill>
                        <w14:solidFill>
                          <w14:schemeClr w14:val="tx1"/>
                        </w14:solidFill>
                      </w14:textFill>
                    </w:rPr>
                    <w:t>2</w:t>
                  </w:r>
                  <w:r>
                    <w:rPr>
                      <w:rFonts w:hint="eastAsia"/>
                      <w:color w:val="000000" w:themeColor="text1"/>
                      <w:kern w:val="0"/>
                      <w:sz w:val="21"/>
                      <w:szCs w:val="21"/>
                      <w14:textFill>
                        <w14:solidFill>
                          <w14:schemeClr w14:val="tx1"/>
                        </w14:solidFill>
                      </w14:textFill>
                    </w:rPr>
                    <w:t>类</w:t>
                  </w:r>
                </w:p>
              </w:tc>
              <w:tc>
                <w:tcPr>
                  <w:tcW w:w="2780" w:type="dxa"/>
                  <w:noWrap w:val="0"/>
                  <w:vAlign w:val="center"/>
                </w:tcPr>
                <w:p w14:paraId="1985C919">
                  <w:pPr>
                    <w:widowControl/>
                    <w:spacing w:line="240" w:lineRule="auto"/>
                    <w:ind w:firstLine="0" w:firstLineChars="0"/>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60</w:t>
                  </w:r>
                </w:p>
              </w:tc>
              <w:tc>
                <w:tcPr>
                  <w:tcW w:w="2781" w:type="dxa"/>
                  <w:noWrap w:val="0"/>
                  <w:vAlign w:val="center"/>
                </w:tcPr>
                <w:p w14:paraId="20D3F2C4">
                  <w:pPr>
                    <w:widowControl/>
                    <w:spacing w:line="240" w:lineRule="auto"/>
                    <w:ind w:firstLine="0" w:firstLineChars="0"/>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14:textFill>
                        <w14:solidFill>
                          <w14:schemeClr w14:val="tx1"/>
                        </w14:solidFill>
                      </w14:textFill>
                    </w:rPr>
                    <w:t>≤5</w:t>
                  </w:r>
                  <w:r>
                    <w:rPr>
                      <w:rFonts w:hint="eastAsia"/>
                      <w:color w:val="000000" w:themeColor="text1"/>
                      <w:kern w:val="0"/>
                      <w:sz w:val="21"/>
                      <w:szCs w:val="21"/>
                      <w:lang w:val="en-US" w:eastAsia="zh-CN"/>
                      <w14:textFill>
                        <w14:solidFill>
                          <w14:schemeClr w14:val="tx1"/>
                        </w14:solidFill>
                      </w14:textFill>
                    </w:rPr>
                    <w:t>0</w:t>
                  </w:r>
                </w:p>
              </w:tc>
            </w:tr>
          </w:tbl>
          <w:p w14:paraId="0BF87032">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（4）固体废物</w:t>
            </w:r>
          </w:p>
          <w:p w14:paraId="6F5E7D95">
            <w:pPr>
              <w:ind w:firstLine="480"/>
              <w:rPr>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一般固废执行《一般工业固体废物贮存和填埋污染控制标准》（GB18599-2020）；危险废物执行《危险废物贮存污染控制标准》（GB18597-20</w:t>
            </w:r>
            <w:r>
              <w:rPr>
                <w:rFonts w:hint="eastAsia" w:ascii="Times New Roman" w:hAnsi="Times New Roman" w:eastAsia="宋体" w:cs="Times New Roman"/>
                <w:color w:val="000000" w:themeColor="text1"/>
                <w:lang w:val="en-US" w:eastAsia="zh-CN"/>
                <w14:textFill>
                  <w14:solidFill>
                    <w14:schemeClr w14:val="tx1"/>
                  </w14:solidFill>
                </w14:textFill>
              </w:rPr>
              <w:t>23</w:t>
            </w:r>
            <w:r>
              <w:rPr>
                <w:rFonts w:hint="eastAsia" w:ascii="Times New Roman" w:hAnsi="Times New Roman" w:eastAsia="宋体" w:cs="Times New Roman"/>
                <w:color w:val="000000" w:themeColor="text1"/>
                <w14:textFill>
                  <w14:solidFill>
                    <w14:schemeClr w14:val="tx1"/>
                  </w14:solidFill>
                </w14:textFill>
              </w:rPr>
              <w:t>）；生活垃圾</w:t>
            </w:r>
            <w:r>
              <w:rPr>
                <w:rFonts w:hint="eastAsia" w:ascii="Times New Roman" w:hAnsi="Times New Roman" w:eastAsia="宋体" w:cs="Times New Roman"/>
                <w:color w:val="000000" w:themeColor="text1"/>
                <w:lang w:val="en-US" w:eastAsia="zh-CN"/>
                <w14:textFill>
                  <w14:solidFill>
                    <w14:schemeClr w14:val="tx1"/>
                  </w14:solidFill>
                </w14:textFill>
              </w:rPr>
              <w:t>收集后交环卫部门处置</w:t>
            </w:r>
            <w:r>
              <w:rPr>
                <w:rFonts w:hint="eastAsia" w:ascii="Times New Roman" w:hAnsi="Times New Roman" w:eastAsia="宋体" w:cs="Times New Roman"/>
                <w:color w:val="000000" w:themeColor="text1"/>
                <w14:textFill>
                  <w14:solidFill>
                    <w14:schemeClr w14:val="tx1"/>
                  </w14:solidFill>
                </w14:textFill>
              </w:rPr>
              <w:t>。</w:t>
            </w:r>
          </w:p>
        </w:tc>
      </w:tr>
      <w:tr w14:paraId="7F0F4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51" w:type="dxa"/>
            <w:noWrap w:val="0"/>
            <w:vAlign w:val="center"/>
          </w:tcPr>
          <w:p w14:paraId="14567BC6">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总量</w:t>
            </w:r>
          </w:p>
          <w:p w14:paraId="5A9C8B21">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控制</w:t>
            </w:r>
          </w:p>
          <w:p w14:paraId="011208A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指标</w:t>
            </w:r>
          </w:p>
        </w:tc>
        <w:tc>
          <w:tcPr>
            <w:tcW w:w="8610" w:type="dxa"/>
            <w:noWrap w:val="0"/>
            <w:vAlign w:val="center"/>
          </w:tcPr>
          <w:p w14:paraId="3C23F3D9">
            <w:pPr>
              <w:ind w:firstLine="480"/>
              <w:rPr>
                <w:color w:val="000000" w:themeColor="text1"/>
                <w:u w:val="none"/>
                <w14:textFill>
                  <w14:solidFill>
                    <w14:schemeClr w14:val="tx1"/>
                  </w14:solidFill>
                </w14:textFill>
              </w:rPr>
            </w:pPr>
            <w:r>
              <w:rPr>
                <w:color w:val="000000" w:themeColor="text1"/>
                <w:u w:val="none"/>
                <w14:textFill>
                  <w14:solidFill>
                    <w14:schemeClr w14:val="tx1"/>
                  </w14:solidFill>
                </w14:textFill>
              </w:rPr>
              <w:t>根据</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湖南省十四五环境保护规划</w:t>
            </w:r>
            <w:r>
              <w:rPr>
                <w:rFonts w:hint="eastAsia"/>
                <w:color w:val="000000" w:themeColor="text1"/>
                <w:u w:val="none"/>
                <w14:textFill>
                  <w14:solidFill>
                    <w14:schemeClr w14:val="tx1"/>
                  </w14:solidFill>
                </w14:textFill>
              </w:rPr>
              <w:t>》，十四五期间</w:t>
            </w:r>
            <w:r>
              <w:rPr>
                <w:color w:val="000000" w:themeColor="text1"/>
                <w:u w:val="none"/>
                <w14:textFill>
                  <w14:solidFill>
                    <w14:schemeClr w14:val="tx1"/>
                  </w14:solidFill>
                </w14:textFill>
              </w:rPr>
              <w:t>对化学需氧量、氨氮、二氧化硫、氮氧化物四种主要污染物实行排放总量控制计划管理。</w:t>
            </w:r>
          </w:p>
          <w:p w14:paraId="148067F4">
            <w:pPr>
              <w:ind w:firstLine="48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根据工程分析，</w:t>
            </w:r>
            <w:r>
              <w:rPr>
                <w:color w:val="000000" w:themeColor="text1"/>
                <w:u w:val="none"/>
                <w14:textFill>
                  <w14:solidFill>
                    <w14:schemeClr w14:val="tx1"/>
                  </w14:solidFill>
                </w14:textFill>
              </w:rPr>
              <w:t>并结合本项目工程特征，确定本项目的总量控制因子为废水为COD、氨氮。</w:t>
            </w:r>
          </w:p>
          <w:p w14:paraId="4EDC385E">
            <w:pPr>
              <w:ind w:firstLine="480"/>
              <w:rPr>
                <w:rFonts w:hint="eastAsia"/>
                <w:color w:val="000000" w:themeColor="text1"/>
                <w:u w:val="none"/>
                <w14:textFill>
                  <w14:solidFill>
                    <w14:schemeClr w14:val="tx1"/>
                  </w14:solidFill>
                </w14:textFill>
              </w:rPr>
            </w:pPr>
            <w:r>
              <w:rPr>
                <w:color w:val="000000" w:themeColor="text1"/>
                <w:u w:val="none"/>
                <w14:textFill>
                  <w14:solidFill>
                    <w14:schemeClr w14:val="tx1"/>
                  </w14:solidFill>
                </w14:textFill>
              </w:rPr>
              <w:t>①水污染物控制指标：</w:t>
            </w:r>
            <w:r>
              <w:rPr>
                <w:rFonts w:hint="eastAsia"/>
                <w:color w:val="000000" w:themeColor="text1"/>
                <w:u w:val="none"/>
                <w14:textFill>
                  <w14:solidFill>
                    <w14:schemeClr w14:val="tx1"/>
                  </w14:solidFill>
                </w14:textFill>
              </w:rPr>
              <w:t>本项目</w:t>
            </w:r>
            <w:r>
              <w:rPr>
                <w:color w:val="000000" w:themeColor="text1"/>
                <w:u w:val="none"/>
                <w14:textFill>
                  <w14:solidFill>
                    <w14:schemeClr w14:val="tx1"/>
                  </w14:solidFill>
                </w14:textFill>
              </w:rPr>
              <w:t>生活污水经化粪池污水处理</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洗车废水经沉淀池处理</w:t>
            </w:r>
            <w:r>
              <w:rPr>
                <w:rFonts w:hint="eastAsia"/>
                <w:color w:val="000000" w:themeColor="text1"/>
                <w:u w:val="none"/>
                <w14:textFill>
                  <w14:solidFill>
                    <w14:schemeClr w14:val="tx1"/>
                  </w14:solidFill>
                </w14:textFill>
              </w:rPr>
              <w:t>后</w:t>
            </w:r>
            <w:r>
              <w:rPr>
                <w:rFonts w:hint="eastAsia"/>
                <w:color w:val="000000" w:themeColor="text1"/>
                <w:u w:val="none"/>
                <w:lang w:eastAsia="zh-CN"/>
                <w14:textFill>
                  <w14:solidFill>
                    <w14:schemeClr w14:val="tx1"/>
                  </w14:solidFill>
                </w14:textFill>
              </w:rPr>
              <w:t>排入市政污水管网</w:t>
            </w:r>
            <w:r>
              <w:rPr>
                <w:rFonts w:hint="eastAsia"/>
                <w:color w:val="000000" w:themeColor="text1"/>
                <w:u w:val="none"/>
                <w14:textFill>
                  <w14:solidFill>
                    <w14:schemeClr w14:val="tx1"/>
                  </w14:solidFill>
                </w14:textFill>
              </w:rPr>
              <w:t>。</w:t>
            </w:r>
          </w:p>
          <w:p w14:paraId="58E0B672">
            <w:pPr>
              <w:bidi w:val="0"/>
              <w:rPr>
                <w:rFonts w:hint="eastAsia"/>
              </w:rPr>
            </w:pPr>
            <w:r>
              <w:rPr>
                <w:rFonts w:hint="eastAsia"/>
              </w:rPr>
              <w:t>②大气总量控制指标：根据工程分析，本项目VOCs（以非甲烷总烃计）排放量为0.</w:t>
            </w:r>
            <w:r>
              <w:rPr>
                <w:rFonts w:hint="eastAsia"/>
                <w:lang w:val="en-US" w:eastAsia="zh-CN"/>
              </w:rPr>
              <w:t>0165</w:t>
            </w:r>
            <w:r>
              <w:t>t/a</w:t>
            </w:r>
            <w:r>
              <w:rPr>
                <w:rFonts w:hint="eastAsia"/>
              </w:rPr>
              <w:t>。</w:t>
            </w:r>
          </w:p>
          <w:p w14:paraId="0BA76CD9">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olor w:val="auto"/>
                <w:highlight w:val="none"/>
                <w:lang w:val="en-US" w:eastAsia="zh-CN"/>
              </w:rPr>
            </w:pPr>
            <w:r>
              <w:rPr>
                <w:rFonts w:ascii="Times New Roman" w:hAnsi="Times New Roman" w:eastAsia="宋体" w:cs="Times New Roman"/>
                <w:color w:val="auto"/>
                <w:kern w:val="2"/>
                <w:sz w:val="24"/>
                <w:szCs w:val="21"/>
                <w:highlight w:val="none"/>
                <w:lang w:val="en-US" w:eastAsia="zh-CN" w:bidi="ar-SA"/>
              </w:rPr>
              <w:t>本项目为</w:t>
            </w:r>
            <w:r>
              <w:rPr>
                <w:rFonts w:hint="eastAsia" w:ascii="Times New Roman" w:hAnsi="Times New Roman" w:eastAsia="宋体" w:cs="Times New Roman"/>
                <w:color w:val="auto"/>
                <w:kern w:val="2"/>
                <w:sz w:val="24"/>
                <w:szCs w:val="21"/>
                <w:highlight w:val="none"/>
                <w:lang w:val="en-US" w:eastAsia="zh-CN" w:bidi="ar-SA"/>
              </w:rPr>
              <w:t>社会区域服务业</w:t>
            </w:r>
            <w:r>
              <w:rPr>
                <w:rFonts w:ascii="Times New Roman" w:hAnsi="Times New Roman" w:eastAsia="宋体" w:cs="Times New Roman"/>
                <w:color w:val="auto"/>
                <w:kern w:val="2"/>
                <w:sz w:val="24"/>
                <w:szCs w:val="21"/>
                <w:highlight w:val="none"/>
                <w:lang w:val="en-US" w:eastAsia="zh-CN" w:bidi="ar-SA"/>
              </w:rPr>
              <w:t>项目，</w:t>
            </w:r>
            <w:r>
              <w:rPr>
                <w:rFonts w:hint="eastAsia" w:cs="Times New Roman"/>
                <w:color w:val="auto"/>
                <w:kern w:val="2"/>
                <w:sz w:val="24"/>
                <w:szCs w:val="21"/>
                <w:highlight w:val="none"/>
                <w:lang w:val="en-US" w:eastAsia="zh-CN" w:bidi="ar-SA"/>
              </w:rPr>
              <w:t>无需购买总量控制指标。</w:t>
            </w:r>
          </w:p>
          <w:p w14:paraId="5C99D813">
            <w:pPr>
              <w:pStyle w:val="2"/>
              <w:rPr>
                <w:rFonts w:hint="eastAsia"/>
              </w:rPr>
            </w:pPr>
          </w:p>
          <w:p w14:paraId="3EE2F806">
            <w:pPr>
              <w:pStyle w:val="2"/>
              <w:rPr>
                <w:color w:val="000000" w:themeColor="text1"/>
                <w14:textFill>
                  <w14:solidFill>
                    <w14:schemeClr w14:val="tx1"/>
                  </w14:solidFill>
                </w14:textFill>
              </w:rPr>
            </w:pPr>
          </w:p>
        </w:tc>
      </w:tr>
    </w:tbl>
    <w:p w14:paraId="1C6BDBD7">
      <w:pPr>
        <w:pStyle w:val="22"/>
        <w:jc w:val="center"/>
        <w:outlineLvl w:val="0"/>
        <w:rPr>
          <w:rFonts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sz w:val="36"/>
          <w:szCs w:val="36"/>
          <w14:textFill>
            <w14:solidFill>
              <w14:schemeClr w14:val="tx1"/>
            </w14:solidFill>
          </w14:textFill>
        </w:rPr>
        <w:br w:type="page"/>
      </w:r>
      <w:bookmarkStart w:id="16" w:name="_Toc8282"/>
      <w:bookmarkStart w:id="17" w:name="_Toc13553"/>
      <w:r>
        <w:rPr>
          <w:rFonts w:hint="eastAsia" w:ascii="黑体" w:hAnsi="黑体" w:eastAsia="黑体"/>
          <w:snapToGrid w:val="0"/>
          <w:color w:val="000000" w:themeColor="text1"/>
          <w:sz w:val="30"/>
          <w:szCs w:val="30"/>
          <w14:textFill>
            <w14:solidFill>
              <w14:schemeClr w14:val="tx1"/>
            </w14:solidFill>
          </w14:textFill>
        </w:rPr>
        <w:t>四、主要环境影响和保护措施</w:t>
      </w:r>
      <w:bookmarkEnd w:id="16"/>
      <w:bookmarkEnd w:id="17"/>
    </w:p>
    <w:tbl>
      <w:tblPr>
        <w:tblStyle w:val="26"/>
        <w:tblW w:w="50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495"/>
      </w:tblGrid>
      <w:tr w14:paraId="7DE0B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noWrap w:val="0"/>
            <w:tcMar>
              <w:left w:w="28" w:type="dxa"/>
              <w:right w:w="28" w:type="dxa"/>
            </w:tcMar>
            <w:vAlign w:val="center"/>
          </w:tcPr>
          <w:p w14:paraId="31462B02">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w:t>
            </w:r>
          </w:p>
          <w:p w14:paraId="1B96F47B">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期环</w:t>
            </w:r>
          </w:p>
          <w:p w14:paraId="2A07F932">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境保</w:t>
            </w:r>
          </w:p>
          <w:p w14:paraId="206456CC">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护措</w:t>
            </w:r>
          </w:p>
          <w:p w14:paraId="563C300A">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w:t>
            </w:r>
          </w:p>
        </w:tc>
        <w:tc>
          <w:tcPr>
            <w:tcW w:w="4687" w:type="pct"/>
            <w:noWrap w:val="0"/>
            <w:vAlign w:val="center"/>
          </w:tcPr>
          <w:p w14:paraId="409F13A4">
            <w:pPr>
              <w:bidi w:val="0"/>
              <w:rPr>
                <w:rFonts w:hint="eastAsia" w:ascii="宋体" w:hAnsi="宋体" w:cs="宋体"/>
                <w:bCs/>
                <w:color w:val="000000" w:themeColor="text1"/>
                <w:spacing w:val="-10"/>
                <w:szCs w:val="21"/>
                <w14:textFill>
                  <w14:solidFill>
                    <w14:schemeClr w14:val="tx1"/>
                  </w14:solidFill>
                </w14:textFill>
              </w:rPr>
            </w:pPr>
            <w:r>
              <w:rPr>
                <w:rFonts w:hint="eastAsia"/>
              </w:rPr>
              <w:t>项目</w:t>
            </w:r>
            <w:r>
              <w:rPr>
                <w:rFonts w:hint="eastAsia"/>
                <w:lang w:val="en-US" w:eastAsia="zh-CN"/>
              </w:rPr>
              <w:t>已建成</w:t>
            </w:r>
            <w:r>
              <w:rPr>
                <w:rFonts w:hint="eastAsia"/>
              </w:rPr>
              <w:t>，</w:t>
            </w:r>
            <w:r>
              <w:rPr>
                <w:rFonts w:hint="eastAsia"/>
                <w:lang w:val="en-US" w:eastAsia="zh-CN"/>
              </w:rPr>
              <w:t>施工期影响已消失</w:t>
            </w:r>
            <w:r>
              <w:rPr>
                <w:rFonts w:hint="eastAsia"/>
              </w:rPr>
              <w:t>，</w:t>
            </w:r>
            <w:r>
              <w:rPr>
                <w:rFonts w:hint="eastAsia"/>
                <w:lang w:val="en-US" w:eastAsia="zh-CN"/>
              </w:rPr>
              <w:t>本次不再提出</w:t>
            </w:r>
            <w:r>
              <w:rPr>
                <w:rFonts w:hint="eastAsia"/>
              </w:rPr>
              <w:t>施工期环境保护措施。</w:t>
            </w:r>
          </w:p>
        </w:tc>
      </w:tr>
      <w:tr w14:paraId="37883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312" w:type="pct"/>
            <w:noWrap w:val="0"/>
            <w:tcMar>
              <w:left w:w="28" w:type="dxa"/>
              <w:right w:w="28" w:type="dxa"/>
            </w:tcMar>
            <w:vAlign w:val="center"/>
          </w:tcPr>
          <w:p w14:paraId="16CBAB4D">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运营</w:t>
            </w:r>
          </w:p>
          <w:p w14:paraId="1C1BA58C">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期环</w:t>
            </w:r>
          </w:p>
          <w:p w14:paraId="33D78A02">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境影</w:t>
            </w:r>
          </w:p>
          <w:p w14:paraId="6AC86E7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响和</w:t>
            </w:r>
          </w:p>
          <w:p w14:paraId="1CA9C506">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保护</w:t>
            </w:r>
          </w:p>
          <w:p w14:paraId="6ECCED74">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措施</w:t>
            </w:r>
          </w:p>
        </w:tc>
        <w:tc>
          <w:tcPr>
            <w:tcW w:w="4687" w:type="pct"/>
            <w:noWrap w:val="0"/>
            <w:vAlign w:val="center"/>
          </w:tcPr>
          <w:p w14:paraId="64876070">
            <w:pPr>
              <w:bidi w:val="0"/>
              <w:rPr>
                <w:rFonts w:hint="default"/>
                <w:lang w:val="en-US" w:eastAsia="zh-CN"/>
              </w:rPr>
            </w:pPr>
            <w:r>
              <w:rPr>
                <w:rFonts w:hint="eastAsia"/>
                <w:lang w:val="en-US" w:eastAsia="zh-CN"/>
              </w:rPr>
              <w:t>项目原登记表内容简单，对维修保养的规模、污染物的排放未分析计算，本次扩建以年维修保养4500台的规模进行污染物分析计算。</w:t>
            </w:r>
          </w:p>
          <w:p w14:paraId="50CDD289">
            <w:pPr>
              <w:ind w:firstLine="482"/>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（一）运营期大气环境影响和保护措施</w:t>
            </w:r>
          </w:p>
          <w:p w14:paraId="15A5DA9A">
            <w:pPr>
              <w:widowControl/>
              <w:autoSpaceDE w:val="0"/>
              <w:autoSpaceDN w:val="0"/>
              <w:adjustRightInd w:val="0"/>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1、废气污染物排放源</w:t>
            </w:r>
          </w:p>
          <w:p w14:paraId="0E4D4022">
            <w:pPr>
              <w:widowControl/>
              <w:ind w:firstLine="480"/>
              <w:jc w:val="left"/>
              <w:rPr>
                <w:rFonts w:hAnsi="宋体"/>
                <w:color w:val="000000" w:themeColor="text1"/>
                <w:u w:val="single"/>
                <w14:textFill>
                  <w14:solidFill>
                    <w14:schemeClr w14:val="tx1"/>
                  </w14:solidFill>
                </w14:textFill>
              </w:rPr>
            </w:pPr>
            <w:r>
              <w:rPr>
                <w:rFonts w:hint="eastAsia" w:hAnsi="宋体"/>
                <w:color w:val="000000" w:themeColor="text1"/>
                <w:u w:val="single"/>
                <w14:textFill>
                  <w14:solidFill>
                    <w14:schemeClr w14:val="tx1"/>
                  </w14:solidFill>
                </w14:textFill>
              </w:rPr>
              <w:t>本项目营运期废气主要为：</w:t>
            </w:r>
            <w:r>
              <w:rPr>
                <w:spacing w:val="9"/>
                <w:u w:val="single"/>
              </w:rPr>
              <w:t>打磨粉尘、焊接烟尘</w:t>
            </w:r>
            <w:r>
              <w:rPr>
                <w:rFonts w:hint="eastAsia"/>
                <w:spacing w:val="9"/>
                <w:u w:val="single"/>
                <w:lang w:eastAsia="zh-CN"/>
              </w:rPr>
              <w:t>、</w:t>
            </w:r>
            <w:r>
              <w:rPr>
                <w:rFonts w:hint="eastAsia" w:hAnsi="宋体"/>
                <w:color w:val="000000" w:themeColor="text1"/>
                <w:u w:val="single"/>
                <w:lang w:val="en-US" w:eastAsia="zh-CN"/>
                <w14:textFill>
                  <w14:solidFill>
                    <w14:schemeClr w14:val="tx1"/>
                  </w14:solidFill>
                </w14:textFill>
              </w:rPr>
              <w:t>喷漆废气</w:t>
            </w:r>
            <w:r>
              <w:rPr>
                <w:rFonts w:hint="eastAsia" w:hAnsi="宋体"/>
                <w:color w:val="000000" w:themeColor="text1"/>
                <w:u w:val="single"/>
                <w14:textFill>
                  <w14:solidFill>
                    <w14:schemeClr w14:val="tx1"/>
                  </w14:solidFill>
                </w14:textFill>
              </w:rPr>
              <w:t>。</w:t>
            </w:r>
          </w:p>
          <w:p w14:paraId="55C625F7">
            <w:pPr>
              <w:pStyle w:val="78"/>
              <w:ind w:firstLine="422"/>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表4-1   废气污染物排放源汇总一览表</w:t>
            </w:r>
          </w:p>
          <w:tbl>
            <w:tblPr>
              <w:tblStyle w:val="26"/>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
              <w:gridCol w:w="585"/>
              <w:gridCol w:w="483"/>
              <w:gridCol w:w="423"/>
              <w:gridCol w:w="409"/>
              <w:gridCol w:w="407"/>
              <w:gridCol w:w="299"/>
              <w:gridCol w:w="299"/>
              <w:gridCol w:w="312"/>
              <w:gridCol w:w="335"/>
              <w:gridCol w:w="419"/>
              <w:gridCol w:w="337"/>
              <w:gridCol w:w="359"/>
              <w:gridCol w:w="240"/>
              <w:gridCol w:w="327"/>
              <w:gridCol w:w="269"/>
              <w:gridCol w:w="240"/>
              <w:gridCol w:w="405"/>
              <w:gridCol w:w="419"/>
              <w:gridCol w:w="494"/>
              <w:gridCol w:w="515"/>
              <w:gridCol w:w="520"/>
            </w:tblGrid>
            <w:tr w14:paraId="10F2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 w:type="pct"/>
                  <w:vMerge w:val="restart"/>
                  <w:noWrap/>
                  <w:vAlign w:val="center"/>
                </w:tcPr>
                <w:p w14:paraId="2C578CDB">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序号</w:t>
                  </w:r>
                </w:p>
              </w:tc>
              <w:tc>
                <w:tcPr>
                  <w:tcW w:w="350" w:type="pct"/>
                  <w:vMerge w:val="restart"/>
                  <w:noWrap/>
                  <w:vAlign w:val="center"/>
                </w:tcPr>
                <w:p w14:paraId="560E756B">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产排污环节</w:t>
                  </w:r>
                </w:p>
              </w:tc>
              <w:tc>
                <w:tcPr>
                  <w:tcW w:w="289" w:type="pct"/>
                  <w:vMerge w:val="restart"/>
                  <w:noWrap/>
                  <w:vAlign w:val="center"/>
                </w:tcPr>
                <w:p w14:paraId="460CAF05">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污染物种类</w:t>
                  </w:r>
                </w:p>
              </w:tc>
              <w:tc>
                <w:tcPr>
                  <w:tcW w:w="498" w:type="pct"/>
                  <w:gridSpan w:val="2"/>
                  <w:noWrap/>
                  <w:vAlign w:val="center"/>
                </w:tcPr>
                <w:p w14:paraId="7E1B0162">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污染物产生情况</w:t>
                  </w:r>
                </w:p>
              </w:tc>
              <w:tc>
                <w:tcPr>
                  <w:tcW w:w="244" w:type="pct"/>
                  <w:vMerge w:val="restart"/>
                  <w:noWrap/>
                  <w:vAlign w:val="center"/>
                </w:tcPr>
                <w:p w14:paraId="33A4CCBE">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排放形式</w:t>
                  </w:r>
                </w:p>
              </w:tc>
              <w:tc>
                <w:tcPr>
                  <w:tcW w:w="997" w:type="pct"/>
                  <w:gridSpan w:val="5"/>
                  <w:noWrap/>
                  <w:vAlign w:val="center"/>
                </w:tcPr>
                <w:p w14:paraId="2F51089E">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治理设施情况</w:t>
                  </w:r>
                </w:p>
              </w:tc>
              <w:tc>
                <w:tcPr>
                  <w:tcW w:w="561" w:type="pct"/>
                  <w:gridSpan w:val="3"/>
                  <w:noWrap/>
                  <w:vAlign w:val="center"/>
                </w:tcPr>
                <w:p w14:paraId="5EBC658F">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污染物排放情况</w:t>
                  </w:r>
                </w:p>
              </w:tc>
              <w:tc>
                <w:tcPr>
                  <w:tcW w:w="1600" w:type="pct"/>
                  <w:gridSpan w:val="7"/>
                  <w:noWrap/>
                  <w:vAlign w:val="center"/>
                </w:tcPr>
                <w:p w14:paraId="1D69660B">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排放口基本情况</w:t>
                  </w:r>
                </w:p>
              </w:tc>
              <w:tc>
                <w:tcPr>
                  <w:tcW w:w="311" w:type="pct"/>
                  <w:noWrap/>
                  <w:vAlign w:val="center"/>
                </w:tcPr>
                <w:p w14:paraId="7DCE8029">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排放标准</w:t>
                  </w:r>
                </w:p>
              </w:tc>
            </w:tr>
            <w:tr w14:paraId="7666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45" w:type="pct"/>
                  <w:vMerge w:val="continue"/>
                  <w:noWrap/>
                  <w:vAlign w:val="center"/>
                </w:tcPr>
                <w:p w14:paraId="1C766FCA">
                  <w:pPr>
                    <w:pStyle w:val="66"/>
                    <w:rPr>
                      <w:color w:val="000000" w:themeColor="text1"/>
                      <w:sz w:val="16"/>
                      <w:szCs w:val="16"/>
                      <w:u w:val="single"/>
                      <w14:textFill>
                        <w14:solidFill>
                          <w14:schemeClr w14:val="tx1"/>
                        </w14:solidFill>
                      </w14:textFill>
                    </w:rPr>
                  </w:pPr>
                </w:p>
              </w:tc>
              <w:tc>
                <w:tcPr>
                  <w:tcW w:w="350" w:type="pct"/>
                  <w:vMerge w:val="continue"/>
                  <w:noWrap/>
                  <w:vAlign w:val="center"/>
                </w:tcPr>
                <w:p w14:paraId="2A784D55">
                  <w:pPr>
                    <w:pStyle w:val="66"/>
                    <w:rPr>
                      <w:color w:val="000000" w:themeColor="text1"/>
                      <w:sz w:val="16"/>
                      <w:szCs w:val="16"/>
                      <w:u w:val="single"/>
                      <w14:textFill>
                        <w14:solidFill>
                          <w14:schemeClr w14:val="tx1"/>
                        </w14:solidFill>
                      </w14:textFill>
                    </w:rPr>
                  </w:pPr>
                </w:p>
              </w:tc>
              <w:tc>
                <w:tcPr>
                  <w:tcW w:w="289" w:type="pct"/>
                  <w:vMerge w:val="continue"/>
                  <w:noWrap/>
                  <w:vAlign w:val="center"/>
                </w:tcPr>
                <w:p w14:paraId="72D132EA">
                  <w:pPr>
                    <w:pStyle w:val="66"/>
                    <w:rPr>
                      <w:color w:val="000000" w:themeColor="text1"/>
                      <w:sz w:val="16"/>
                      <w:szCs w:val="16"/>
                      <w:u w:val="single"/>
                      <w14:textFill>
                        <w14:solidFill>
                          <w14:schemeClr w14:val="tx1"/>
                        </w14:solidFill>
                      </w14:textFill>
                    </w:rPr>
                  </w:pPr>
                </w:p>
              </w:tc>
              <w:tc>
                <w:tcPr>
                  <w:tcW w:w="253" w:type="pct"/>
                  <w:vMerge w:val="restart"/>
                  <w:noWrap/>
                  <w:vAlign w:val="center"/>
                </w:tcPr>
                <w:p w14:paraId="6EDFF960">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产生量t/a</w:t>
                  </w:r>
                </w:p>
              </w:tc>
              <w:tc>
                <w:tcPr>
                  <w:tcW w:w="245" w:type="pct"/>
                  <w:vMerge w:val="restart"/>
                  <w:noWrap/>
                  <w:vAlign w:val="center"/>
                </w:tcPr>
                <w:p w14:paraId="6D85E95D">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产生浓度mg/m</w:t>
                  </w:r>
                  <w:r>
                    <w:rPr>
                      <w:rFonts w:hint="eastAsia"/>
                      <w:color w:val="000000" w:themeColor="text1"/>
                      <w:sz w:val="16"/>
                      <w:szCs w:val="16"/>
                      <w:u w:val="single"/>
                      <w:vertAlign w:val="superscript"/>
                      <w14:textFill>
                        <w14:solidFill>
                          <w14:schemeClr w14:val="tx1"/>
                        </w14:solidFill>
                      </w14:textFill>
                    </w:rPr>
                    <w:t>3</w:t>
                  </w:r>
                </w:p>
              </w:tc>
              <w:tc>
                <w:tcPr>
                  <w:tcW w:w="244" w:type="pct"/>
                  <w:vMerge w:val="continue"/>
                  <w:noWrap w:val="0"/>
                  <w:vAlign w:val="center"/>
                </w:tcPr>
                <w:p w14:paraId="180EBBC0">
                  <w:pPr>
                    <w:pStyle w:val="66"/>
                    <w:rPr>
                      <w:color w:val="000000" w:themeColor="text1"/>
                      <w:sz w:val="16"/>
                      <w:szCs w:val="16"/>
                      <w:u w:val="single"/>
                      <w14:textFill>
                        <w14:solidFill>
                          <w14:schemeClr w14:val="tx1"/>
                        </w14:solidFill>
                      </w14:textFill>
                    </w:rPr>
                  </w:pPr>
                </w:p>
              </w:tc>
              <w:tc>
                <w:tcPr>
                  <w:tcW w:w="179" w:type="pct"/>
                  <w:vMerge w:val="restart"/>
                  <w:noWrap/>
                  <w:vAlign w:val="center"/>
                </w:tcPr>
                <w:p w14:paraId="7AF6810C">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治理设施</w:t>
                  </w:r>
                </w:p>
              </w:tc>
              <w:tc>
                <w:tcPr>
                  <w:tcW w:w="179" w:type="pct"/>
                  <w:vMerge w:val="restart"/>
                  <w:noWrap/>
                  <w:vAlign w:val="center"/>
                </w:tcPr>
                <w:p w14:paraId="1F2C207B">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处理能力</w:t>
                  </w:r>
                  <w:r>
                    <w:rPr>
                      <w:color w:val="000000" w:themeColor="text1"/>
                      <w:sz w:val="16"/>
                      <w:szCs w:val="16"/>
                      <w:u w:val="single"/>
                      <w14:textFill>
                        <w14:solidFill>
                          <w14:schemeClr w14:val="tx1"/>
                        </w14:solidFill>
                      </w14:textFill>
                    </w:rPr>
                    <w:t>m</w:t>
                  </w:r>
                  <w:r>
                    <w:rPr>
                      <w:color w:val="000000" w:themeColor="text1"/>
                      <w:sz w:val="16"/>
                      <w:szCs w:val="16"/>
                      <w:u w:val="single"/>
                      <w:vertAlign w:val="superscript"/>
                      <w14:textFill>
                        <w14:solidFill>
                          <w14:schemeClr w14:val="tx1"/>
                        </w14:solidFill>
                      </w14:textFill>
                    </w:rPr>
                    <w:t>3</w:t>
                  </w:r>
                  <w:r>
                    <w:rPr>
                      <w:color w:val="000000" w:themeColor="text1"/>
                      <w:sz w:val="16"/>
                      <w:szCs w:val="16"/>
                      <w:u w:val="single"/>
                      <w14:textFill>
                        <w14:solidFill>
                          <w14:schemeClr w14:val="tx1"/>
                        </w14:solidFill>
                      </w14:textFill>
                    </w:rPr>
                    <w:t>/h</w:t>
                  </w:r>
                </w:p>
              </w:tc>
              <w:tc>
                <w:tcPr>
                  <w:tcW w:w="187" w:type="pct"/>
                  <w:vMerge w:val="restart"/>
                  <w:noWrap/>
                  <w:vAlign w:val="center"/>
                </w:tcPr>
                <w:p w14:paraId="280BD2B8">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收集效率%</w:t>
                  </w:r>
                </w:p>
              </w:tc>
              <w:tc>
                <w:tcPr>
                  <w:tcW w:w="200" w:type="pct"/>
                  <w:vMerge w:val="restart"/>
                  <w:noWrap/>
                  <w:vAlign w:val="center"/>
                </w:tcPr>
                <w:p w14:paraId="43D37084">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治理工艺去除率%</w:t>
                  </w:r>
                </w:p>
              </w:tc>
              <w:tc>
                <w:tcPr>
                  <w:tcW w:w="251" w:type="pct"/>
                  <w:vMerge w:val="restart"/>
                  <w:noWrap/>
                  <w:vAlign w:val="center"/>
                </w:tcPr>
                <w:p w14:paraId="10D5C0C7">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是否为可行技术</w:t>
                  </w:r>
                </w:p>
              </w:tc>
              <w:tc>
                <w:tcPr>
                  <w:tcW w:w="202" w:type="pct"/>
                  <w:vMerge w:val="restart"/>
                  <w:noWrap/>
                  <w:vAlign w:val="center"/>
                </w:tcPr>
                <w:p w14:paraId="15F1E653">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排放量t/a</w:t>
                  </w:r>
                </w:p>
              </w:tc>
              <w:tc>
                <w:tcPr>
                  <w:tcW w:w="215" w:type="pct"/>
                  <w:vMerge w:val="restart"/>
                  <w:noWrap/>
                  <w:vAlign w:val="center"/>
                </w:tcPr>
                <w:p w14:paraId="027123F9">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排放速率kg/h</w:t>
                  </w:r>
                </w:p>
              </w:tc>
              <w:tc>
                <w:tcPr>
                  <w:tcW w:w="143" w:type="pct"/>
                  <w:vMerge w:val="restart"/>
                  <w:noWrap/>
                  <w:vAlign w:val="center"/>
                </w:tcPr>
                <w:p w14:paraId="02A9BF44">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排放浓度mg/m</w:t>
                  </w:r>
                  <w:r>
                    <w:rPr>
                      <w:rFonts w:hint="eastAsia"/>
                      <w:color w:val="000000" w:themeColor="text1"/>
                      <w:sz w:val="16"/>
                      <w:szCs w:val="16"/>
                      <w:u w:val="single"/>
                      <w:vertAlign w:val="superscript"/>
                      <w14:textFill>
                        <w14:solidFill>
                          <w14:schemeClr w14:val="tx1"/>
                        </w14:solidFill>
                      </w14:textFill>
                    </w:rPr>
                    <w:t>3</w:t>
                  </w:r>
                </w:p>
              </w:tc>
              <w:tc>
                <w:tcPr>
                  <w:tcW w:w="196" w:type="pct"/>
                  <w:vMerge w:val="restart"/>
                  <w:noWrap/>
                  <w:vAlign w:val="center"/>
                </w:tcPr>
                <w:p w14:paraId="3546C2AE">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高度m</w:t>
                  </w:r>
                </w:p>
              </w:tc>
              <w:tc>
                <w:tcPr>
                  <w:tcW w:w="161" w:type="pct"/>
                  <w:vMerge w:val="restart"/>
                  <w:noWrap/>
                  <w:vAlign w:val="center"/>
                </w:tcPr>
                <w:p w14:paraId="331F25CF">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内径m</w:t>
                  </w:r>
                </w:p>
              </w:tc>
              <w:tc>
                <w:tcPr>
                  <w:tcW w:w="143" w:type="pct"/>
                  <w:vMerge w:val="restart"/>
                  <w:noWrap/>
                  <w:vAlign w:val="center"/>
                </w:tcPr>
                <w:p w14:paraId="062A8632">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温度</w:t>
                  </w:r>
                </w:p>
              </w:tc>
              <w:tc>
                <w:tcPr>
                  <w:tcW w:w="242" w:type="pct"/>
                  <w:vMerge w:val="restart"/>
                  <w:noWrap/>
                  <w:vAlign w:val="center"/>
                </w:tcPr>
                <w:p w14:paraId="77BDB7C0">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排放口编号</w:t>
                  </w:r>
                </w:p>
              </w:tc>
              <w:tc>
                <w:tcPr>
                  <w:tcW w:w="251" w:type="pct"/>
                  <w:vMerge w:val="restart"/>
                  <w:noWrap/>
                  <w:vAlign w:val="center"/>
                </w:tcPr>
                <w:p w14:paraId="26B2B188">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类型</w:t>
                  </w:r>
                </w:p>
              </w:tc>
              <w:tc>
                <w:tcPr>
                  <w:tcW w:w="604" w:type="pct"/>
                  <w:gridSpan w:val="2"/>
                  <w:noWrap/>
                  <w:vAlign w:val="center"/>
                </w:tcPr>
                <w:p w14:paraId="779AB7F6">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坐标</w:t>
                  </w:r>
                </w:p>
              </w:tc>
              <w:tc>
                <w:tcPr>
                  <w:tcW w:w="311" w:type="pct"/>
                  <w:vMerge w:val="restart"/>
                  <w:noWrap/>
                  <w:vAlign w:val="center"/>
                </w:tcPr>
                <w:p w14:paraId="35D8195D">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排放浓度mg/m</w:t>
                  </w:r>
                  <w:r>
                    <w:rPr>
                      <w:rFonts w:hint="eastAsia"/>
                      <w:color w:val="000000" w:themeColor="text1"/>
                      <w:sz w:val="16"/>
                      <w:szCs w:val="16"/>
                      <w:u w:val="single"/>
                      <w:vertAlign w:val="superscript"/>
                      <w14:textFill>
                        <w14:solidFill>
                          <w14:schemeClr w14:val="tx1"/>
                        </w14:solidFill>
                      </w14:textFill>
                    </w:rPr>
                    <w:t>3</w:t>
                  </w:r>
                </w:p>
              </w:tc>
            </w:tr>
            <w:tr w14:paraId="6EC5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145" w:type="pct"/>
                  <w:vMerge w:val="continue"/>
                  <w:tcBorders>
                    <w:bottom w:val="single" w:color="000000" w:sz="6" w:space="0"/>
                  </w:tcBorders>
                  <w:noWrap/>
                  <w:vAlign w:val="center"/>
                </w:tcPr>
                <w:p w14:paraId="5004A24B">
                  <w:pPr>
                    <w:pStyle w:val="66"/>
                    <w:jc w:val="both"/>
                    <w:rPr>
                      <w:color w:val="000000" w:themeColor="text1"/>
                      <w:sz w:val="16"/>
                      <w:szCs w:val="16"/>
                      <w:u w:val="single"/>
                      <w14:textFill>
                        <w14:solidFill>
                          <w14:schemeClr w14:val="tx1"/>
                        </w14:solidFill>
                      </w14:textFill>
                    </w:rPr>
                  </w:pPr>
                </w:p>
              </w:tc>
              <w:tc>
                <w:tcPr>
                  <w:tcW w:w="350" w:type="pct"/>
                  <w:vMerge w:val="continue"/>
                  <w:tcBorders>
                    <w:bottom w:val="single" w:color="000000" w:sz="6" w:space="0"/>
                  </w:tcBorders>
                  <w:noWrap/>
                  <w:vAlign w:val="center"/>
                </w:tcPr>
                <w:p w14:paraId="2BCBE1EC">
                  <w:pPr>
                    <w:pStyle w:val="66"/>
                    <w:jc w:val="both"/>
                    <w:rPr>
                      <w:color w:val="000000" w:themeColor="text1"/>
                      <w:sz w:val="16"/>
                      <w:szCs w:val="16"/>
                      <w:u w:val="single"/>
                      <w14:textFill>
                        <w14:solidFill>
                          <w14:schemeClr w14:val="tx1"/>
                        </w14:solidFill>
                      </w14:textFill>
                    </w:rPr>
                  </w:pPr>
                </w:p>
              </w:tc>
              <w:tc>
                <w:tcPr>
                  <w:tcW w:w="289" w:type="pct"/>
                  <w:vMerge w:val="continue"/>
                  <w:tcBorders>
                    <w:bottom w:val="single" w:color="000000" w:sz="6" w:space="0"/>
                  </w:tcBorders>
                  <w:noWrap/>
                  <w:vAlign w:val="center"/>
                </w:tcPr>
                <w:p w14:paraId="02F596CD">
                  <w:pPr>
                    <w:pStyle w:val="66"/>
                    <w:jc w:val="both"/>
                    <w:rPr>
                      <w:color w:val="000000" w:themeColor="text1"/>
                      <w:sz w:val="16"/>
                      <w:szCs w:val="16"/>
                      <w:u w:val="single"/>
                      <w14:textFill>
                        <w14:solidFill>
                          <w14:schemeClr w14:val="tx1"/>
                        </w14:solidFill>
                      </w14:textFill>
                    </w:rPr>
                  </w:pPr>
                </w:p>
              </w:tc>
              <w:tc>
                <w:tcPr>
                  <w:tcW w:w="253" w:type="pct"/>
                  <w:vMerge w:val="continue"/>
                  <w:tcBorders>
                    <w:bottom w:val="single" w:color="000000" w:sz="6" w:space="0"/>
                  </w:tcBorders>
                  <w:noWrap/>
                  <w:vAlign w:val="center"/>
                </w:tcPr>
                <w:p w14:paraId="5A87DF08">
                  <w:pPr>
                    <w:pStyle w:val="66"/>
                    <w:jc w:val="both"/>
                    <w:rPr>
                      <w:color w:val="000000" w:themeColor="text1"/>
                      <w:sz w:val="16"/>
                      <w:szCs w:val="16"/>
                      <w:u w:val="single"/>
                      <w14:textFill>
                        <w14:solidFill>
                          <w14:schemeClr w14:val="tx1"/>
                        </w14:solidFill>
                      </w14:textFill>
                    </w:rPr>
                  </w:pPr>
                </w:p>
              </w:tc>
              <w:tc>
                <w:tcPr>
                  <w:tcW w:w="245" w:type="pct"/>
                  <w:vMerge w:val="continue"/>
                  <w:tcBorders>
                    <w:bottom w:val="single" w:color="000000" w:sz="6" w:space="0"/>
                  </w:tcBorders>
                  <w:noWrap w:val="0"/>
                  <w:vAlign w:val="center"/>
                </w:tcPr>
                <w:p w14:paraId="57B11E2C">
                  <w:pPr>
                    <w:pStyle w:val="66"/>
                    <w:jc w:val="both"/>
                    <w:rPr>
                      <w:color w:val="000000" w:themeColor="text1"/>
                      <w:sz w:val="16"/>
                      <w:szCs w:val="16"/>
                      <w:u w:val="single"/>
                      <w14:textFill>
                        <w14:solidFill>
                          <w14:schemeClr w14:val="tx1"/>
                        </w14:solidFill>
                      </w14:textFill>
                    </w:rPr>
                  </w:pPr>
                </w:p>
              </w:tc>
              <w:tc>
                <w:tcPr>
                  <w:tcW w:w="244" w:type="pct"/>
                  <w:vMerge w:val="continue"/>
                  <w:tcBorders>
                    <w:bottom w:val="single" w:color="000000" w:sz="6" w:space="0"/>
                  </w:tcBorders>
                  <w:noWrap w:val="0"/>
                  <w:vAlign w:val="center"/>
                </w:tcPr>
                <w:p w14:paraId="1B120356">
                  <w:pPr>
                    <w:pStyle w:val="66"/>
                    <w:jc w:val="both"/>
                    <w:rPr>
                      <w:color w:val="000000" w:themeColor="text1"/>
                      <w:sz w:val="16"/>
                      <w:szCs w:val="16"/>
                      <w:u w:val="single"/>
                      <w14:textFill>
                        <w14:solidFill>
                          <w14:schemeClr w14:val="tx1"/>
                        </w14:solidFill>
                      </w14:textFill>
                    </w:rPr>
                  </w:pPr>
                </w:p>
              </w:tc>
              <w:tc>
                <w:tcPr>
                  <w:tcW w:w="179" w:type="pct"/>
                  <w:vMerge w:val="continue"/>
                  <w:tcBorders>
                    <w:bottom w:val="single" w:color="000000" w:sz="6" w:space="0"/>
                  </w:tcBorders>
                  <w:noWrap w:val="0"/>
                  <w:vAlign w:val="center"/>
                </w:tcPr>
                <w:p w14:paraId="16F98331">
                  <w:pPr>
                    <w:pStyle w:val="66"/>
                    <w:jc w:val="both"/>
                    <w:rPr>
                      <w:color w:val="000000" w:themeColor="text1"/>
                      <w:sz w:val="16"/>
                      <w:szCs w:val="16"/>
                      <w:u w:val="single"/>
                      <w14:textFill>
                        <w14:solidFill>
                          <w14:schemeClr w14:val="tx1"/>
                        </w14:solidFill>
                      </w14:textFill>
                    </w:rPr>
                  </w:pPr>
                </w:p>
              </w:tc>
              <w:tc>
                <w:tcPr>
                  <w:tcW w:w="179" w:type="pct"/>
                  <w:vMerge w:val="continue"/>
                  <w:tcBorders>
                    <w:bottom w:val="single" w:color="000000" w:sz="6" w:space="0"/>
                  </w:tcBorders>
                  <w:noWrap w:val="0"/>
                  <w:vAlign w:val="center"/>
                </w:tcPr>
                <w:p w14:paraId="04027035">
                  <w:pPr>
                    <w:pStyle w:val="66"/>
                    <w:jc w:val="both"/>
                    <w:rPr>
                      <w:color w:val="000000" w:themeColor="text1"/>
                      <w:sz w:val="16"/>
                      <w:szCs w:val="16"/>
                      <w:u w:val="single"/>
                      <w14:textFill>
                        <w14:solidFill>
                          <w14:schemeClr w14:val="tx1"/>
                        </w14:solidFill>
                      </w14:textFill>
                    </w:rPr>
                  </w:pPr>
                </w:p>
              </w:tc>
              <w:tc>
                <w:tcPr>
                  <w:tcW w:w="187" w:type="pct"/>
                  <w:vMerge w:val="continue"/>
                  <w:tcBorders>
                    <w:bottom w:val="single" w:color="000000" w:sz="6" w:space="0"/>
                  </w:tcBorders>
                  <w:noWrap w:val="0"/>
                  <w:vAlign w:val="center"/>
                </w:tcPr>
                <w:p w14:paraId="468DC7BB">
                  <w:pPr>
                    <w:pStyle w:val="66"/>
                    <w:jc w:val="both"/>
                    <w:rPr>
                      <w:color w:val="000000" w:themeColor="text1"/>
                      <w:sz w:val="16"/>
                      <w:szCs w:val="16"/>
                      <w:u w:val="single"/>
                      <w14:textFill>
                        <w14:solidFill>
                          <w14:schemeClr w14:val="tx1"/>
                        </w14:solidFill>
                      </w14:textFill>
                    </w:rPr>
                  </w:pPr>
                </w:p>
              </w:tc>
              <w:tc>
                <w:tcPr>
                  <w:tcW w:w="200" w:type="pct"/>
                  <w:vMerge w:val="continue"/>
                  <w:tcBorders>
                    <w:bottom w:val="single" w:color="000000" w:sz="6" w:space="0"/>
                  </w:tcBorders>
                  <w:noWrap w:val="0"/>
                  <w:vAlign w:val="center"/>
                </w:tcPr>
                <w:p w14:paraId="0F3E94EF">
                  <w:pPr>
                    <w:pStyle w:val="66"/>
                    <w:jc w:val="both"/>
                    <w:rPr>
                      <w:color w:val="000000" w:themeColor="text1"/>
                      <w:sz w:val="16"/>
                      <w:szCs w:val="16"/>
                      <w:u w:val="single"/>
                      <w14:textFill>
                        <w14:solidFill>
                          <w14:schemeClr w14:val="tx1"/>
                        </w14:solidFill>
                      </w14:textFill>
                    </w:rPr>
                  </w:pPr>
                </w:p>
              </w:tc>
              <w:tc>
                <w:tcPr>
                  <w:tcW w:w="251" w:type="pct"/>
                  <w:vMerge w:val="continue"/>
                  <w:tcBorders>
                    <w:bottom w:val="single" w:color="000000" w:sz="6" w:space="0"/>
                  </w:tcBorders>
                  <w:noWrap w:val="0"/>
                  <w:vAlign w:val="center"/>
                </w:tcPr>
                <w:p w14:paraId="245281D9">
                  <w:pPr>
                    <w:pStyle w:val="66"/>
                    <w:jc w:val="both"/>
                    <w:rPr>
                      <w:color w:val="000000" w:themeColor="text1"/>
                      <w:sz w:val="16"/>
                      <w:szCs w:val="16"/>
                      <w:u w:val="single"/>
                      <w14:textFill>
                        <w14:solidFill>
                          <w14:schemeClr w14:val="tx1"/>
                        </w14:solidFill>
                      </w14:textFill>
                    </w:rPr>
                  </w:pPr>
                </w:p>
              </w:tc>
              <w:tc>
                <w:tcPr>
                  <w:tcW w:w="202" w:type="pct"/>
                  <w:vMerge w:val="continue"/>
                  <w:tcBorders>
                    <w:bottom w:val="single" w:color="000000" w:sz="6" w:space="0"/>
                  </w:tcBorders>
                  <w:noWrap w:val="0"/>
                  <w:vAlign w:val="center"/>
                </w:tcPr>
                <w:p w14:paraId="4D3F2E97">
                  <w:pPr>
                    <w:pStyle w:val="66"/>
                    <w:jc w:val="both"/>
                    <w:rPr>
                      <w:color w:val="000000" w:themeColor="text1"/>
                      <w:sz w:val="16"/>
                      <w:szCs w:val="16"/>
                      <w:u w:val="single"/>
                      <w14:textFill>
                        <w14:solidFill>
                          <w14:schemeClr w14:val="tx1"/>
                        </w14:solidFill>
                      </w14:textFill>
                    </w:rPr>
                  </w:pPr>
                </w:p>
              </w:tc>
              <w:tc>
                <w:tcPr>
                  <w:tcW w:w="215" w:type="pct"/>
                  <w:vMerge w:val="continue"/>
                  <w:tcBorders>
                    <w:bottom w:val="single" w:color="000000" w:sz="6" w:space="0"/>
                  </w:tcBorders>
                  <w:noWrap w:val="0"/>
                  <w:vAlign w:val="center"/>
                </w:tcPr>
                <w:p w14:paraId="431F8A2E">
                  <w:pPr>
                    <w:pStyle w:val="66"/>
                    <w:jc w:val="both"/>
                    <w:rPr>
                      <w:color w:val="000000" w:themeColor="text1"/>
                      <w:sz w:val="16"/>
                      <w:szCs w:val="16"/>
                      <w:u w:val="single"/>
                      <w14:textFill>
                        <w14:solidFill>
                          <w14:schemeClr w14:val="tx1"/>
                        </w14:solidFill>
                      </w14:textFill>
                    </w:rPr>
                  </w:pPr>
                </w:p>
              </w:tc>
              <w:tc>
                <w:tcPr>
                  <w:tcW w:w="143" w:type="pct"/>
                  <w:vMerge w:val="continue"/>
                  <w:tcBorders>
                    <w:bottom w:val="single" w:color="000000" w:sz="6" w:space="0"/>
                  </w:tcBorders>
                  <w:noWrap w:val="0"/>
                  <w:vAlign w:val="center"/>
                </w:tcPr>
                <w:p w14:paraId="155B5320">
                  <w:pPr>
                    <w:pStyle w:val="66"/>
                    <w:jc w:val="both"/>
                    <w:rPr>
                      <w:color w:val="000000" w:themeColor="text1"/>
                      <w:sz w:val="16"/>
                      <w:szCs w:val="16"/>
                      <w:u w:val="single"/>
                      <w14:textFill>
                        <w14:solidFill>
                          <w14:schemeClr w14:val="tx1"/>
                        </w14:solidFill>
                      </w14:textFill>
                    </w:rPr>
                  </w:pPr>
                </w:p>
              </w:tc>
              <w:tc>
                <w:tcPr>
                  <w:tcW w:w="196" w:type="pct"/>
                  <w:vMerge w:val="continue"/>
                  <w:tcBorders>
                    <w:bottom w:val="single" w:color="000000" w:sz="6" w:space="0"/>
                  </w:tcBorders>
                  <w:noWrap w:val="0"/>
                  <w:vAlign w:val="center"/>
                </w:tcPr>
                <w:p w14:paraId="409F5D10">
                  <w:pPr>
                    <w:pStyle w:val="66"/>
                    <w:jc w:val="both"/>
                    <w:rPr>
                      <w:color w:val="000000" w:themeColor="text1"/>
                      <w:sz w:val="16"/>
                      <w:szCs w:val="16"/>
                      <w:u w:val="single"/>
                      <w14:textFill>
                        <w14:solidFill>
                          <w14:schemeClr w14:val="tx1"/>
                        </w14:solidFill>
                      </w14:textFill>
                    </w:rPr>
                  </w:pPr>
                </w:p>
              </w:tc>
              <w:tc>
                <w:tcPr>
                  <w:tcW w:w="161" w:type="pct"/>
                  <w:vMerge w:val="continue"/>
                  <w:tcBorders>
                    <w:bottom w:val="single" w:color="000000" w:sz="6" w:space="0"/>
                  </w:tcBorders>
                  <w:noWrap w:val="0"/>
                  <w:vAlign w:val="center"/>
                </w:tcPr>
                <w:p w14:paraId="0EBF8156">
                  <w:pPr>
                    <w:pStyle w:val="66"/>
                    <w:jc w:val="both"/>
                    <w:rPr>
                      <w:color w:val="000000" w:themeColor="text1"/>
                      <w:sz w:val="16"/>
                      <w:szCs w:val="16"/>
                      <w:u w:val="single"/>
                      <w14:textFill>
                        <w14:solidFill>
                          <w14:schemeClr w14:val="tx1"/>
                        </w14:solidFill>
                      </w14:textFill>
                    </w:rPr>
                  </w:pPr>
                </w:p>
              </w:tc>
              <w:tc>
                <w:tcPr>
                  <w:tcW w:w="143" w:type="pct"/>
                  <w:vMerge w:val="continue"/>
                  <w:tcBorders>
                    <w:bottom w:val="single" w:color="000000" w:sz="6" w:space="0"/>
                  </w:tcBorders>
                  <w:noWrap w:val="0"/>
                  <w:vAlign w:val="center"/>
                </w:tcPr>
                <w:p w14:paraId="536D6798">
                  <w:pPr>
                    <w:pStyle w:val="66"/>
                    <w:jc w:val="both"/>
                    <w:rPr>
                      <w:color w:val="000000" w:themeColor="text1"/>
                      <w:sz w:val="16"/>
                      <w:szCs w:val="16"/>
                      <w:u w:val="single"/>
                      <w14:textFill>
                        <w14:solidFill>
                          <w14:schemeClr w14:val="tx1"/>
                        </w14:solidFill>
                      </w14:textFill>
                    </w:rPr>
                  </w:pPr>
                </w:p>
              </w:tc>
              <w:tc>
                <w:tcPr>
                  <w:tcW w:w="242" w:type="pct"/>
                  <w:vMerge w:val="continue"/>
                  <w:tcBorders>
                    <w:bottom w:val="single" w:color="000000" w:sz="6" w:space="0"/>
                  </w:tcBorders>
                  <w:noWrap w:val="0"/>
                  <w:vAlign w:val="center"/>
                </w:tcPr>
                <w:p w14:paraId="61E62935">
                  <w:pPr>
                    <w:pStyle w:val="66"/>
                    <w:jc w:val="both"/>
                    <w:rPr>
                      <w:color w:val="000000" w:themeColor="text1"/>
                      <w:sz w:val="16"/>
                      <w:szCs w:val="16"/>
                      <w:u w:val="single"/>
                      <w14:textFill>
                        <w14:solidFill>
                          <w14:schemeClr w14:val="tx1"/>
                        </w14:solidFill>
                      </w14:textFill>
                    </w:rPr>
                  </w:pPr>
                </w:p>
              </w:tc>
              <w:tc>
                <w:tcPr>
                  <w:tcW w:w="251" w:type="pct"/>
                  <w:vMerge w:val="continue"/>
                  <w:tcBorders>
                    <w:bottom w:val="single" w:color="000000" w:sz="6" w:space="0"/>
                  </w:tcBorders>
                  <w:noWrap w:val="0"/>
                  <w:vAlign w:val="center"/>
                </w:tcPr>
                <w:p w14:paraId="19DD6242">
                  <w:pPr>
                    <w:pStyle w:val="66"/>
                    <w:jc w:val="both"/>
                    <w:rPr>
                      <w:color w:val="000000" w:themeColor="text1"/>
                      <w:sz w:val="16"/>
                      <w:szCs w:val="16"/>
                      <w:u w:val="single"/>
                      <w14:textFill>
                        <w14:solidFill>
                          <w14:schemeClr w14:val="tx1"/>
                        </w14:solidFill>
                      </w14:textFill>
                    </w:rPr>
                  </w:pPr>
                </w:p>
              </w:tc>
              <w:tc>
                <w:tcPr>
                  <w:tcW w:w="296" w:type="pct"/>
                  <w:tcBorders>
                    <w:bottom w:val="single" w:color="000000" w:sz="6" w:space="0"/>
                  </w:tcBorders>
                  <w:noWrap/>
                  <w:vAlign w:val="center"/>
                </w:tcPr>
                <w:p w14:paraId="2815E525">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东经</w:t>
                  </w:r>
                </w:p>
              </w:tc>
              <w:tc>
                <w:tcPr>
                  <w:tcW w:w="308" w:type="pct"/>
                  <w:tcBorders>
                    <w:bottom w:val="single" w:color="000000" w:sz="6" w:space="0"/>
                  </w:tcBorders>
                  <w:noWrap/>
                  <w:vAlign w:val="center"/>
                </w:tcPr>
                <w:p w14:paraId="04E10373">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北纬</w:t>
                  </w:r>
                </w:p>
              </w:tc>
              <w:tc>
                <w:tcPr>
                  <w:tcW w:w="311" w:type="pct"/>
                  <w:vMerge w:val="continue"/>
                  <w:tcBorders>
                    <w:bottom w:val="single" w:color="000000" w:sz="6" w:space="0"/>
                  </w:tcBorders>
                  <w:noWrap w:val="0"/>
                  <w:vAlign w:val="center"/>
                </w:tcPr>
                <w:p w14:paraId="3D12F3AD">
                  <w:pPr>
                    <w:pStyle w:val="66"/>
                    <w:jc w:val="both"/>
                    <w:rPr>
                      <w:color w:val="000000" w:themeColor="text1"/>
                      <w:sz w:val="16"/>
                      <w:szCs w:val="16"/>
                      <w:u w:val="single"/>
                      <w14:textFill>
                        <w14:solidFill>
                          <w14:schemeClr w14:val="tx1"/>
                        </w14:solidFill>
                      </w14:textFill>
                    </w:rPr>
                  </w:pPr>
                </w:p>
              </w:tc>
            </w:tr>
            <w:tr w14:paraId="4F0C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145" w:type="pct"/>
                  <w:tcBorders>
                    <w:top w:val="single" w:color="000000" w:sz="6" w:space="0"/>
                    <w:bottom w:val="single" w:color="000000" w:sz="6" w:space="0"/>
                  </w:tcBorders>
                  <w:noWrap/>
                  <w:vAlign w:val="center"/>
                </w:tcPr>
                <w:p w14:paraId="154935E1">
                  <w:pPr>
                    <w:pStyle w:val="66"/>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1</w:t>
                  </w:r>
                </w:p>
              </w:tc>
              <w:tc>
                <w:tcPr>
                  <w:tcW w:w="350" w:type="pct"/>
                  <w:tcBorders>
                    <w:top w:val="single" w:color="000000" w:sz="6" w:space="0"/>
                    <w:bottom w:val="single" w:color="000000" w:sz="6" w:space="0"/>
                  </w:tcBorders>
                  <w:noWrap/>
                  <w:vAlign w:val="center"/>
                </w:tcPr>
                <w:p w14:paraId="486263B8">
                  <w:pPr>
                    <w:pStyle w:val="66"/>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打磨粉尘</w:t>
                  </w:r>
                </w:p>
              </w:tc>
              <w:tc>
                <w:tcPr>
                  <w:tcW w:w="289" w:type="pct"/>
                  <w:tcBorders>
                    <w:top w:val="single" w:color="000000" w:sz="6" w:space="0"/>
                    <w:bottom w:val="single" w:color="000000" w:sz="6" w:space="0"/>
                  </w:tcBorders>
                  <w:noWrap/>
                  <w:vAlign w:val="center"/>
                </w:tcPr>
                <w:p w14:paraId="6811A798">
                  <w:pPr>
                    <w:pStyle w:val="66"/>
                    <w:rPr>
                      <w:rFonts w:hint="default"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颗粒物</w:t>
                  </w:r>
                </w:p>
              </w:tc>
              <w:tc>
                <w:tcPr>
                  <w:tcW w:w="253" w:type="pct"/>
                  <w:tcBorders>
                    <w:top w:val="single" w:color="000000" w:sz="6" w:space="0"/>
                    <w:bottom w:val="single" w:color="000000" w:sz="6" w:space="0"/>
                  </w:tcBorders>
                  <w:noWrap/>
                  <w:vAlign w:val="center"/>
                </w:tcPr>
                <w:p w14:paraId="461693EF">
                  <w:pPr>
                    <w:pStyle w:val="66"/>
                    <w:jc w:val="center"/>
                    <w:rPr>
                      <w:rFonts w:hint="default"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0.</w:t>
                  </w:r>
                  <w:r>
                    <w:rPr>
                      <w:rFonts w:hint="eastAsia" w:cs="Times New Roman"/>
                      <w:color w:val="000000" w:themeColor="text1"/>
                      <w:sz w:val="16"/>
                      <w:szCs w:val="16"/>
                      <w:u w:val="single"/>
                      <w:lang w:val="en-US" w:eastAsia="zh-CN"/>
                      <w14:textFill>
                        <w14:solidFill>
                          <w14:schemeClr w14:val="tx1"/>
                        </w14:solidFill>
                      </w14:textFill>
                    </w:rPr>
                    <w:t>1</w:t>
                  </w: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2</w:t>
                  </w:r>
                </w:p>
              </w:tc>
              <w:tc>
                <w:tcPr>
                  <w:tcW w:w="245" w:type="pct"/>
                  <w:tcBorders>
                    <w:top w:val="single" w:color="000000" w:sz="6" w:space="0"/>
                    <w:bottom w:val="single" w:color="000000" w:sz="6" w:space="0"/>
                  </w:tcBorders>
                  <w:noWrap w:val="0"/>
                  <w:vAlign w:val="center"/>
                </w:tcPr>
                <w:p w14:paraId="32C64CFD">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44" w:type="pct"/>
                  <w:tcBorders>
                    <w:top w:val="single" w:color="000000" w:sz="6" w:space="0"/>
                    <w:bottom w:val="single" w:color="000000" w:sz="6" w:space="0"/>
                  </w:tcBorders>
                  <w:noWrap w:val="0"/>
                  <w:vAlign w:val="center"/>
                </w:tcPr>
                <w:p w14:paraId="753020C8">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无组织</w:t>
                  </w:r>
                </w:p>
              </w:tc>
              <w:tc>
                <w:tcPr>
                  <w:tcW w:w="179" w:type="pct"/>
                  <w:tcBorders>
                    <w:top w:val="single" w:color="000000" w:sz="6" w:space="0"/>
                    <w:bottom w:val="single" w:color="000000" w:sz="6" w:space="0"/>
                  </w:tcBorders>
                  <w:noWrap w:val="0"/>
                  <w:vAlign w:val="center"/>
                </w:tcPr>
                <w:p w14:paraId="09D460BD">
                  <w:pPr>
                    <w:pStyle w:val="66"/>
                    <w:jc w:val="cente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吸尘机</w:t>
                  </w:r>
                </w:p>
              </w:tc>
              <w:tc>
                <w:tcPr>
                  <w:tcW w:w="179" w:type="pct"/>
                  <w:tcBorders>
                    <w:top w:val="single" w:color="000000" w:sz="6" w:space="0"/>
                    <w:bottom w:val="single" w:color="000000" w:sz="6" w:space="0"/>
                  </w:tcBorders>
                  <w:noWrap w:val="0"/>
                  <w:vAlign w:val="center"/>
                </w:tcPr>
                <w:p w14:paraId="1763132B">
                  <w:pPr>
                    <w:pStyle w:val="66"/>
                    <w:jc w:val="center"/>
                    <w:rPr>
                      <w:rFonts w:hint="default"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w:t>
                  </w:r>
                </w:p>
              </w:tc>
              <w:tc>
                <w:tcPr>
                  <w:tcW w:w="187" w:type="pct"/>
                  <w:tcBorders>
                    <w:top w:val="single" w:color="000000" w:sz="6" w:space="0"/>
                    <w:bottom w:val="single" w:color="000000" w:sz="6" w:space="0"/>
                  </w:tcBorders>
                  <w:noWrap w:val="0"/>
                  <w:vAlign w:val="center"/>
                </w:tcPr>
                <w:p w14:paraId="7039AEF4">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80</w:t>
                  </w:r>
                </w:p>
              </w:tc>
              <w:tc>
                <w:tcPr>
                  <w:tcW w:w="200" w:type="pct"/>
                  <w:tcBorders>
                    <w:top w:val="single" w:color="000000" w:sz="6" w:space="0"/>
                    <w:bottom w:val="single" w:color="000000" w:sz="6" w:space="0"/>
                  </w:tcBorders>
                  <w:noWrap w:val="0"/>
                  <w:vAlign w:val="center"/>
                </w:tcPr>
                <w:p w14:paraId="72BC26D1">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99</w:t>
                  </w:r>
                </w:p>
              </w:tc>
              <w:tc>
                <w:tcPr>
                  <w:tcW w:w="251" w:type="pct"/>
                  <w:tcBorders>
                    <w:top w:val="single" w:color="000000" w:sz="6" w:space="0"/>
                    <w:bottom w:val="single" w:color="000000" w:sz="6" w:space="0"/>
                  </w:tcBorders>
                  <w:noWrap w:val="0"/>
                  <w:vAlign w:val="center"/>
                </w:tcPr>
                <w:p w14:paraId="233B5DB2">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是</w:t>
                  </w:r>
                </w:p>
              </w:tc>
              <w:tc>
                <w:tcPr>
                  <w:tcW w:w="202" w:type="pct"/>
                  <w:tcBorders>
                    <w:top w:val="single" w:color="000000" w:sz="6" w:space="0"/>
                    <w:bottom w:val="single" w:color="000000" w:sz="6" w:space="0"/>
                  </w:tcBorders>
                  <w:noWrap w:val="0"/>
                  <w:vAlign w:val="center"/>
                </w:tcPr>
                <w:p w14:paraId="65FBFD56">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0.025</w:t>
                  </w:r>
                </w:p>
              </w:tc>
              <w:tc>
                <w:tcPr>
                  <w:tcW w:w="215" w:type="pct"/>
                  <w:tcBorders>
                    <w:top w:val="single" w:color="000000" w:sz="6" w:space="0"/>
                    <w:bottom w:val="single" w:color="000000" w:sz="6" w:space="0"/>
                  </w:tcBorders>
                  <w:noWrap w:val="0"/>
                  <w:vAlign w:val="center"/>
                </w:tcPr>
                <w:p w14:paraId="45800359">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0.069</w:t>
                  </w:r>
                </w:p>
              </w:tc>
              <w:tc>
                <w:tcPr>
                  <w:tcW w:w="143" w:type="pct"/>
                  <w:tcBorders>
                    <w:top w:val="single" w:color="000000" w:sz="6" w:space="0"/>
                    <w:bottom w:val="single" w:color="000000" w:sz="6" w:space="0"/>
                  </w:tcBorders>
                  <w:noWrap w:val="0"/>
                  <w:vAlign w:val="center"/>
                </w:tcPr>
                <w:p w14:paraId="4A944B90">
                  <w:pPr>
                    <w:pStyle w:val="66"/>
                    <w:jc w:val="center"/>
                    <w:rPr>
                      <w:rFonts w:hint="eastAsia" w:eastAsia="宋体"/>
                      <w:color w:val="000000" w:themeColor="text1"/>
                      <w:sz w:val="16"/>
                      <w:szCs w:val="16"/>
                      <w:u w:val="single"/>
                      <w:lang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196" w:type="pct"/>
                  <w:tcBorders>
                    <w:top w:val="single" w:color="000000" w:sz="6" w:space="0"/>
                    <w:bottom w:val="single" w:color="000000" w:sz="6" w:space="0"/>
                  </w:tcBorders>
                  <w:noWrap w:val="0"/>
                  <w:vAlign w:val="center"/>
                </w:tcPr>
                <w:p w14:paraId="60064FC8">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161" w:type="pct"/>
                  <w:tcBorders>
                    <w:top w:val="single" w:color="000000" w:sz="6" w:space="0"/>
                    <w:bottom w:val="single" w:color="000000" w:sz="6" w:space="0"/>
                  </w:tcBorders>
                  <w:noWrap w:val="0"/>
                  <w:vAlign w:val="center"/>
                </w:tcPr>
                <w:p w14:paraId="2BF885ED">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143" w:type="pct"/>
                  <w:tcBorders>
                    <w:top w:val="single" w:color="000000" w:sz="6" w:space="0"/>
                    <w:bottom w:val="single" w:color="000000" w:sz="6" w:space="0"/>
                  </w:tcBorders>
                  <w:noWrap w:val="0"/>
                  <w:vAlign w:val="center"/>
                </w:tcPr>
                <w:p w14:paraId="098DD320">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42" w:type="pct"/>
                  <w:tcBorders>
                    <w:top w:val="single" w:color="000000" w:sz="6" w:space="0"/>
                    <w:bottom w:val="single" w:color="000000" w:sz="6" w:space="0"/>
                  </w:tcBorders>
                  <w:noWrap w:val="0"/>
                  <w:vAlign w:val="center"/>
                </w:tcPr>
                <w:p w14:paraId="3691F032">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51" w:type="pct"/>
                  <w:tcBorders>
                    <w:top w:val="single" w:color="000000" w:sz="6" w:space="0"/>
                    <w:bottom w:val="single" w:color="000000" w:sz="6" w:space="0"/>
                  </w:tcBorders>
                  <w:noWrap w:val="0"/>
                  <w:vAlign w:val="center"/>
                </w:tcPr>
                <w:p w14:paraId="31709784">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96" w:type="pct"/>
                  <w:tcBorders>
                    <w:top w:val="single" w:color="000000" w:sz="6" w:space="0"/>
                    <w:bottom w:val="single" w:color="000000" w:sz="6" w:space="0"/>
                  </w:tcBorders>
                  <w:noWrap/>
                  <w:vAlign w:val="center"/>
                </w:tcPr>
                <w:p w14:paraId="139C0E82">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308" w:type="pct"/>
                  <w:tcBorders>
                    <w:top w:val="single" w:color="000000" w:sz="6" w:space="0"/>
                    <w:bottom w:val="single" w:color="000000" w:sz="6" w:space="0"/>
                  </w:tcBorders>
                  <w:noWrap/>
                  <w:vAlign w:val="center"/>
                </w:tcPr>
                <w:p w14:paraId="3D21DAE6">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311" w:type="pct"/>
                  <w:tcBorders>
                    <w:top w:val="single" w:color="000000" w:sz="6" w:space="0"/>
                    <w:bottom w:val="single" w:color="000000" w:sz="6" w:space="0"/>
                  </w:tcBorders>
                  <w:noWrap w:val="0"/>
                  <w:vAlign w:val="center"/>
                </w:tcPr>
                <w:p w14:paraId="798627E6">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1.0</w:t>
                  </w:r>
                </w:p>
              </w:tc>
            </w:tr>
            <w:tr w14:paraId="6183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 w:hRule="atLeast"/>
                <w:jc w:val="center"/>
              </w:trPr>
              <w:tc>
                <w:tcPr>
                  <w:tcW w:w="145" w:type="pct"/>
                  <w:tcBorders>
                    <w:top w:val="single" w:color="000000" w:sz="6" w:space="0"/>
                  </w:tcBorders>
                  <w:noWrap/>
                  <w:vAlign w:val="center"/>
                </w:tcPr>
                <w:p w14:paraId="4C78AACF">
                  <w:pPr>
                    <w:pStyle w:val="66"/>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2</w:t>
                  </w:r>
                </w:p>
              </w:tc>
              <w:tc>
                <w:tcPr>
                  <w:tcW w:w="350" w:type="pct"/>
                  <w:tcBorders>
                    <w:top w:val="single" w:color="000000" w:sz="6" w:space="0"/>
                  </w:tcBorders>
                  <w:noWrap/>
                  <w:vAlign w:val="center"/>
                </w:tcPr>
                <w:p w14:paraId="6484B0CE">
                  <w:pPr>
                    <w:pStyle w:val="66"/>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焊接烟尘</w:t>
                  </w:r>
                </w:p>
              </w:tc>
              <w:tc>
                <w:tcPr>
                  <w:tcW w:w="289" w:type="pct"/>
                  <w:tcBorders>
                    <w:top w:val="single" w:color="000000" w:sz="6" w:space="0"/>
                  </w:tcBorders>
                  <w:noWrap/>
                  <w:vAlign w:val="center"/>
                </w:tcPr>
                <w:p w14:paraId="71A13C61">
                  <w:pPr>
                    <w:pStyle w:val="66"/>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颗粒物</w:t>
                  </w:r>
                </w:p>
              </w:tc>
              <w:tc>
                <w:tcPr>
                  <w:tcW w:w="253" w:type="pct"/>
                  <w:tcBorders>
                    <w:top w:val="single" w:color="000000" w:sz="6" w:space="0"/>
                  </w:tcBorders>
                  <w:noWrap/>
                  <w:vAlign w:val="center"/>
                </w:tcPr>
                <w:p w14:paraId="6CD4483A">
                  <w:pPr>
                    <w:pStyle w:val="66"/>
                    <w:jc w:val="cente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0.001838</w:t>
                  </w:r>
                </w:p>
              </w:tc>
              <w:tc>
                <w:tcPr>
                  <w:tcW w:w="245" w:type="pct"/>
                  <w:tcBorders>
                    <w:top w:val="single" w:color="000000" w:sz="6" w:space="0"/>
                  </w:tcBorders>
                  <w:noWrap w:val="0"/>
                  <w:vAlign w:val="center"/>
                </w:tcPr>
                <w:p w14:paraId="3D30F160">
                  <w:pPr>
                    <w:pStyle w:val="66"/>
                    <w:jc w:val="center"/>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44" w:type="pct"/>
                  <w:tcBorders>
                    <w:top w:val="single" w:color="000000" w:sz="6" w:space="0"/>
                  </w:tcBorders>
                  <w:noWrap w:val="0"/>
                  <w:vAlign w:val="center"/>
                </w:tcPr>
                <w:p w14:paraId="4330BE0A">
                  <w:pPr>
                    <w:pStyle w:val="66"/>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无组织</w:t>
                  </w:r>
                </w:p>
              </w:tc>
              <w:tc>
                <w:tcPr>
                  <w:tcW w:w="179" w:type="pct"/>
                  <w:tcBorders>
                    <w:top w:val="single" w:color="000000" w:sz="6" w:space="0"/>
                  </w:tcBorders>
                  <w:noWrap w:val="0"/>
                  <w:vAlign w:val="center"/>
                </w:tcPr>
                <w:p w14:paraId="4D1F307E">
                  <w:pPr>
                    <w:pStyle w:val="66"/>
                    <w:jc w:val="cente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移动式焊烟净化器</w:t>
                  </w:r>
                </w:p>
              </w:tc>
              <w:tc>
                <w:tcPr>
                  <w:tcW w:w="179" w:type="pct"/>
                  <w:tcBorders>
                    <w:top w:val="single" w:color="000000" w:sz="6" w:space="0"/>
                  </w:tcBorders>
                  <w:noWrap w:val="0"/>
                  <w:vAlign w:val="center"/>
                </w:tcPr>
                <w:p w14:paraId="48C04289">
                  <w:pPr>
                    <w:pStyle w:val="66"/>
                    <w:jc w:val="center"/>
                    <w:rPr>
                      <w:rFonts w:hint="default"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w:t>
                  </w:r>
                </w:p>
              </w:tc>
              <w:tc>
                <w:tcPr>
                  <w:tcW w:w="187" w:type="pct"/>
                  <w:tcBorders>
                    <w:top w:val="single" w:color="000000" w:sz="6" w:space="0"/>
                  </w:tcBorders>
                  <w:noWrap w:val="0"/>
                  <w:vAlign w:val="center"/>
                </w:tcPr>
                <w:p w14:paraId="2807CA9D">
                  <w:pPr>
                    <w:pStyle w:val="66"/>
                    <w:jc w:val="center"/>
                    <w:rPr>
                      <w:rFonts w:hint="default" w:ascii="Times New Roman" w:hAnsi="Times New Roman" w:eastAsia="宋体" w:cs="Times New Roman"/>
                      <w:color w:val="000000" w:themeColor="text1"/>
                      <w:sz w:val="16"/>
                      <w:szCs w:val="16"/>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6"/>
                      <w:szCs w:val="16"/>
                      <w:u w:val="single"/>
                      <w:lang w:val="en-US" w:eastAsia="zh-CN"/>
                      <w14:textFill>
                        <w14:solidFill>
                          <w14:schemeClr w14:val="tx1"/>
                        </w14:solidFill>
                      </w14:textFill>
                    </w:rPr>
                    <w:t>80</w:t>
                  </w:r>
                </w:p>
              </w:tc>
              <w:tc>
                <w:tcPr>
                  <w:tcW w:w="200" w:type="pct"/>
                  <w:tcBorders>
                    <w:top w:val="single" w:color="000000" w:sz="6" w:space="0"/>
                  </w:tcBorders>
                  <w:noWrap w:val="0"/>
                  <w:vAlign w:val="center"/>
                </w:tcPr>
                <w:p w14:paraId="53E8455A">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99</w:t>
                  </w:r>
                </w:p>
              </w:tc>
              <w:tc>
                <w:tcPr>
                  <w:tcW w:w="251" w:type="pct"/>
                  <w:tcBorders>
                    <w:top w:val="single" w:color="000000" w:sz="6" w:space="0"/>
                  </w:tcBorders>
                  <w:noWrap w:val="0"/>
                  <w:vAlign w:val="center"/>
                </w:tcPr>
                <w:p w14:paraId="76E1D0C2">
                  <w:pPr>
                    <w:pStyle w:val="66"/>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是</w:t>
                  </w:r>
                </w:p>
              </w:tc>
              <w:tc>
                <w:tcPr>
                  <w:tcW w:w="202" w:type="pct"/>
                  <w:tcBorders>
                    <w:top w:val="single" w:color="000000" w:sz="6" w:space="0"/>
                  </w:tcBorders>
                  <w:noWrap w:val="0"/>
                  <w:vAlign w:val="center"/>
                </w:tcPr>
                <w:p w14:paraId="5FB977B0">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0.0003823</w:t>
                  </w:r>
                </w:p>
              </w:tc>
              <w:tc>
                <w:tcPr>
                  <w:tcW w:w="215" w:type="pct"/>
                  <w:tcBorders>
                    <w:top w:val="single" w:color="000000" w:sz="6" w:space="0"/>
                  </w:tcBorders>
                  <w:noWrap w:val="0"/>
                  <w:vAlign w:val="center"/>
                </w:tcPr>
                <w:p w14:paraId="1EB75219">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0.00212</w:t>
                  </w:r>
                </w:p>
              </w:tc>
              <w:tc>
                <w:tcPr>
                  <w:tcW w:w="143" w:type="pct"/>
                  <w:tcBorders>
                    <w:top w:val="single" w:color="000000" w:sz="6" w:space="0"/>
                  </w:tcBorders>
                  <w:noWrap w:val="0"/>
                  <w:vAlign w:val="center"/>
                </w:tcPr>
                <w:p w14:paraId="5334DA23">
                  <w:pPr>
                    <w:pStyle w:val="66"/>
                    <w:ind w:right="0" w:rightChars="0" w:firstLine="0" w:firstLineChars="0"/>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196" w:type="pct"/>
                  <w:tcBorders>
                    <w:top w:val="single" w:color="000000" w:sz="6" w:space="0"/>
                  </w:tcBorders>
                  <w:noWrap w:val="0"/>
                  <w:vAlign w:val="center"/>
                </w:tcPr>
                <w:p w14:paraId="455381D0">
                  <w:pPr>
                    <w:pStyle w:val="66"/>
                    <w:ind w:right="0" w:rightChars="0" w:firstLine="0" w:firstLineChars="0"/>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161" w:type="pct"/>
                  <w:tcBorders>
                    <w:top w:val="single" w:color="000000" w:sz="6" w:space="0"/>
                  </w:tcBorders>
                  <w:noWrap w:val="0"/>
                  <w:vAlign w:val="center"/>
                </w:tcPr>
                <w:p w14:paraId="58B372FF">
                  <w:pPr>
                    <w:pStyle w:val="66"/>
                    <w:ind w:right="0" w:rightChars="0" w:firstLine="0" w:firstLineChars="0"/>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143" w:type="pct"/>
                  <w:tcBorders>
                    <w:top w:val="single" w:color="000000" w:sz="6" w:space="0"/>
                  </w:tcBorders>
                  <w:noWrap w:val="0"/>
                  <w:vAlign w:val="center"/>
                </w:tcPr>
                <w:p w14:paraId="58DFF221">
                  <w:pPr>
                    <w:pStyle w:val="66"/>
                    <w:ind w:right="0" w:rightChars="0" w:firstLine="0" w:firstLineChars="0"/>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42" w:type="pct"/>
                  <w:tcBorders>
                    <w:top w:val="single" w:color="000000" w:sz="6" w:space="0"/>
                  </w:tcBorders>
                  <w:noWrap w:val="0"/>
                  <w:vAlign w:val="center"/>
                </w:tcPr>
                <w:p w14:paraId="5B231517">
                  <w:pPr>
                    <w:pStyle w:val="66"/>
                    <w:ind w:right="0" w:rightChars="0" w:firstLine="0" w:firstLineChars="0"/>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51" w:type="pct"/>
                  <w:tcBorders>
                    <w:top w:val="single" w:color="000000" w:sz="6" w:space="0"/>
                  </w:tcBorders>
                  <w:noWrap w:val="0"/>
                  <w:vAlign w:val="center"/>
                </w:tcPr>
                <w:p w14:paraId="4D4C9A77">
                  <w:pPr>
                    <w:pStyle w:val="66"/>
                    <w:ind w:right="0" w:rightChars="0" w:firstLine="0" w:firstLineChars="0"/>
                    <w:jc w:val="center"/>
                    <w:rPr>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296" w:type="pct"/>
                  <w:tcBorders>
                    <w:top w:val="single" w:color="000000" w:sz="6" w:space="0"/>
                  </w:tcBorders>
                  <w:noWrap/>
                  <w:vAlign w:val="center"/>
                </w:tcPr>
                <w:p w14:paraId="3F6BF69F">
                  <w:pPr>
                    <w:pStyle w:val="66"/>
                    <w:ind w:right="0" w:rightChars="0" w:firstLine="0" w:firstLineChars="0"/>
                    <w:jc w:val="center"/>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308" w:type="pct"/>
                  <w:tcBorders>
                    <w:top w:val="single" w:color="000000" w:sz="6" w:space="0"/>
                  </w:tcBorders>
                  <w:noWrap/>
                  <w:vAlign w:val="center"/>
                </w:tcPr>
                <w:p w14:paraId="61E256CD">
                  <w:pPr>
                    <w:pStyle w:val="66"/>
                    <w:ind w:right="0" w:rightChars="0" w:firstLine="0" w:firstLineChars="0"/>
                    <w:jc w:val="center"/>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w:t>
                  </w:r>
                </w:p>
              </w:tc>
              <w:tc>
                <w:tcPr>
                  <w:tcW w:w="311" w:type="pct"/>
                  <w:tcBorders>
                    <w:top w:val="single" w:color="000000" w:sz="6" w:space="0"/>
                  </w:tcBorders>
                  <w:noWrap w:val="0"/>
                  <w:vAlign w:val="center"/>
                </w:tcPr>
                <w:p w14:paraId="0A2BE52C">
                  <w:pPr>
                    <w:pStyle w:val="66"/>
                    <w:jc w:val="center"/>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1.0</w:t>
                  </w:r>
                </w:p>
              </w:tc>
            </w:tr>
            <w:tr w14:paraId="3CE2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45" w:type="pct"/>
                  <w:tcBorders>
                    <w:bottom w:val="single" w:color="000000" w:sz="2" w:space="0"/>
                  </w:tcBorders>
                  <w:noWrap/>
                  <w:vAlign w:val="center"/>
                </w:tcPr>
                <w:p w14:paraId="35D03689">
                  <w:pPr>
                    <w:pStyle w:val="66"/>
                    <w:rPr>
                      <w:rFonts w:hint="eastAsia" w:eastAsia="宋体"/>
                      <w:color w:val="000000" w:themeColor="text1"/>
                      <w:sz w:val="16"/>
                      <w:szCs w:val="16"/>
                      <w:u w:val="single"/>
                      <w:lang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3</w:t>
                  </w:r>
                </w:p>
              </w:tc>
              <w:tc>
                <w:tcPr>
                  <w:tcW w:w="350" w:type="pct"/>
                  <w:tcBorders>
                    <w:bottom w:val="single" w:color="000000" w:sz="2" w:space="0"/>
                  </w:tcBorders>
                  <w:noWrap/>
                  <w:vAlign w:val="center"/>
                </w:tcPr>
                <w:p w14:paraId="3E813182">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喷漆</w:t>
                  </w:r>
                  <w:r>
                    <w:rPr>
                      <w:rFonts w:hint="eastAsia"/>
                      <w:color w:val="000000" w:themeColor="text1"/>
                      <w:sz w:val="16"/>
                      <w:szCs w:val="16"/>
                      <w:u w:val="single"/>
                      <w14:textFill>
                        <w14:solidFill>
                          <w14:schemeClr w14:val="tx1"/>
                        </w14:solidFill>
                      </w14:textFill>
                    </w:rPr>
                    <w:t>废气</w:t>
                  </w:r>
                </w:p>
              </w:tc>
              <w:tc>
                <w:tcPr>
                  <w:tcW w:w="289" w:type="pct"/>
                  <w:tcBorders>
                    <w:bottom w:val="single" w:color="000000" w:sz="2" w:space="0"/>
                  </w:tcBorders>
                  <w:noWrap/>
                  <w:vAlign w:val="center"/>
                </w:tcPr>
                <w:p w14:paraId="5E015600">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非甲烷总烃</w:t>
                  </w:r>
                </w:p>
              </w:tc>
              <w:tc>
                <w:tcPr>
                  <w:tcW w:w="253" w:type="pct"/>
                  <w:tcBorders>
                    <w:bottom w:val="single" w:color="000000" w:sz="2" w:space="0"/>
                  </w:tcBorders>
                  <w:noWrap w:val="0"/>
                  <w:vAlign w:val="center"/>
                </w:tcPr>
                <w:p w14:paraId="59696ABF">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0.06625</w:t>
                  </w:r>
                </w:p>
              </w:tc>
              <w:tc>
                <w:tcPr>
                  <w:tcW w:w="245" w:type="pct"/>
                  <w:noWrap w:val="0"/>
                  <w:vAlign w:val="center"/>
                </w:tcPr>
                <w:p w14:paraId="0E5F49A6">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9.02</w:t>
                  </w:r>
                </w:p>
              </w:tc>
              <w:tc>
                <w:tcPr>
                  <w:tcW w:w="244" w:type="pct"/>
                  <w:noWrap/>
                  <w:vAlign w:val="center"/>
                </w:tcPr>
                <w:p w14:paraId="4C8E8F88">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有组织</w:t>
                  </w:r>
                </w:p>
              </w:tc>
              <w:tc>
                <w:tcPr>
                  <w:tcW w:w="179" w:type="pct"/>
                  <w:noWrap/>
                  <w:vAlign w:val="center"/>
                </w:tcPr>
                <w:p w14:paraId="2A852B65">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过滤棉+活性炭吸附</w:t>
                  </w:r>
                </w:p>
              </w:tc>
              <w:tc>
                <w:tcPr>
                  <w:tcW w:w="179" w:type="pct"/>
                  <w:noWrap/>
                  <w:vAlign w:val="center"/>
                </w:tcPr>
                <w:p w14:paraId="002A2AD6">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1</w:t>
                  </w:r>
                  <w:r>
                    <w:rPr>
                      <w:rFonts w:hint="eastAsia"/>
                      <w:color w:val="000000" w:themeColor="text1"/>
                      <w:sz w:val="16"/>
                      <w:szCs w:val="16"/>
                      <w:u w:val="single"/>
                      <w:lang w:val="en-US" w:eastAsia="zh-CN"/>
                      <w14:textFill>
                        <w14:solidFill>
                          <w14:schemeClr w14:val="tx1"/>
                        </w14:solidFill>
                      </w14:textFill>
                    </w:rPr>
                    <w:t>2</w:t>
                  </w:r>
                  <w:r>
                    <w:rPr>
                      <w:rFonts w:hint="eastAsia"/>
                      <w:color w:val="000000" w:themeColor="text1"/>
                      <w:sz w:val="16"/>
                      <w:szCs w:val="16"/>
                      <w:u w:val="single"/>
                      <w14:textFill>
                        <w14:solidFill>
                          <w14:schemeClr w14:val="tx1"/>
                        </w14:solidFill>
                      </w14:textFill>
                    </w:rPr>
                    <w:t>000</w:t>
                  </w:r>
                </w:p>
              </w:tc>
              <w:tc>
                <w:tcPr>
                  <w:tcW w:w="187" w:type="pct"/>
                  <w:noWrap/>
                  <w:vAlign w:val="center"/>
                </w:tcPr>
                <w:p w14:paraId="64C87462">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100</w:t>
                  </w:r>
                </w:p>
              </w:tc>
              <w:tc>
                <w:tcPr>
                  <w:tcW w:w="200" w:type="pct"/>
                  <w:noWrap/>
                  <w:vAlign w:val="center"/>
                </w:tcPr>
                <w:p w14:paraId="26B93642">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60</w:t>
                  </w:r>
                </w:p>
              </w:tc>
              <w:tc>
                <w:tcPr>
                  <w:tcW w:w="251" w:type="pct"/>
                  <w:noWrap/>
                  <w:vAlign w:val="center"/>
                </w:tcPr>
                <w:p w14:paraId="60CD4793">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是</w:t>
                  </w:r>
                </w:p>
              </w:tc>
              <w:tc>
                <w:tcPr>
                  <w:tcW w:w="202" w:type="pct"/>
                  <w:noWrap/>
                  <w:vAlign w:val="center"/>
                </w:tcPr>
                <w:p w14:paraId="49F00247">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0.0265</w:t>
                  </w:r>
                </w:p>
              </w:tc>
              <w:tc>
                <w:tcPr>
                  <w:tcW w:w="215" w:type="pct"/>
                  <w:noWrap/>
                  <w:vAlign w:val="center"/>
                </w:tcPr>
                <w:p w14:paraId="15E2013E">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0.043</w:t>
                  </w:r>
                </w:p>
              </w:tc>
              <w:tc>
                <w:tcPr>
                  <w:tcW w:w="143" w:type="pct"/>
                  <w:noWrap/>
                  <w:vAlign w:val="center"/>
                </w:tcPr>
                <w:p w14:paraId="16E1B752">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3.6</w:t>
                  </w:r>
                </w:p>
              </w:tc>
              <w:tc>
                <w:tcPr>
                  <w:tcW w:w="196" w:type="pct"/>
                  <w:noWrap/>
                  <w:vAlign w:val="center"/>
                </w:tcPr>
                <w:p w14:paraId="2B5929FB">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15</w:t>
                  </w:r>
                </w:p>
              </w:tc>
              <w:tc>
                <w:tcPr>
                  <w:tcW w:w="161" w:type="pct"/>
                  <w:noWrap/>
                  <w:vAlign w:val="center"/>
                </w:tcPr>
                <w:p w14:paraId="40183D76">
                  <w:pPr>
                    <w:pStyle w:val="66"/>
                    <w:rPr>
                      <w:rFonts w:hint="eastAsia"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14:textFill>
                        <w14:solidFill>
                          <w14:schemeClr w14:val="tx1"/>
                        </w14:solidFill>
                      </w14:textFill>
                    </w:rPr>
                    <w:t>0.</w:t>
                  </w:r>
                  <w:r>
                    <w:rPr>
                      <w:rFonts w:hint="eastAsia"/>
                      <w:color w:val="000000" w:themeColor="text1"/>
                      <w:sz w:val="16"/>
                      <w:szCs w:val="16"/>
                      <w:u w:val="single"/>
                      <w:lang w:val="en-US" w:eastAsia="zh-CN"/>
                      <w14:textFill>
                        <w14:solidFill>
                          <w14:schemeClr w14:val="tx1"/>
                        </w14:solidFill>
                      </w14:textFill>
                    </w:rPr>
                    <w:t>5</w:t>
                  </w:r>
                </w:p>
              </w:tc>
              <w:tc>
                <w:tcPr>
                  <w:tcW w:w="143" w:type="pct"/>
                  <w:noWrap/>
                  <w:vAlign w:val="center"/>
                </w:tcPr>
                <w:p w14:paraId="1AB42056">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18</w:t>
                  </w:r>
                </w:p>
              </w:tc>
              <w:tc>
                <w:tcPr>
                  <w:tcW w:w="242" w:type="pct"/>
                  <w:noWrap/>
                  <w:vAlign w:val="center"/>
                </w:tcPr>
                <w:p w14:paraId="694BD402">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DA001</w:t>
                  </w:r>
                </w:p>
              </w:tc>
              <w:tc>
                <w:tcPr>
                  <w:tcW w:w="251" w:type="pct"/>
                  <w:noWrap/>
                  <w:vAlign w:val="center"/>
                </w:tcPr>
                <w:p w14:paraId="7C4F1B43">
                  <w:pPr>
                    <w:pStyle w:val="66"/>
                    <w:rPr>
                      <w:rFonts w:hint="eastAsia"/>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一般排放口</w:t>
                  </w:r>
                </w:p>
              </w:tc>
              <w:tc>
                <w:tcPr>
                  <w:tcW w:w="296" w:type="pct"/>
                  <w:noWrap/>
                  <w:vAlign w:val="center"/>
                </w:tcPr>
                <w:p w14:paraId="4A3D2D0C">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111.627429</w:t>
                  </w:r>
                </w:p>
              </w:tc>
              <w:tc>
                <w:tcPr>
                  <w:tcW w:w="308" w:type="pct"/>
                  <w:noWrap/>
                  <w:vAlign w:val="center"/>
                </w:tcPr>
                <w:p w14:paraId="4D50A956">
                  <w:pPr>
                    <w:pStyle w:val="66"/>
                    <w:rPr>
                      <w:rFonts w:hint="default" w:eastAsia="宋体"/>
                      <w:color w:val="000000" w:themeColor="text1"/>
                      <w:sz w:val="16"/>
                      <w:szCs w:val="16"/>
                      <w:u w:val="single"/>
                      <w:lang w:val="en-US" w:eastAsia="zh-CN"/>
                      <w14:textFill>
                        <w14:solidFill>
                          <w14:schemeClr w14:val="tx1"/>
                        </w14:solidFill>
                      </w14:textFill>
                    </w:rPr>
                  </w:pPr>
                  <w:r>
                    <w:rPr>
                      <w:rFonts w:hint="eastAsia"/>
                      <w:color w:val="000000" w:themeColor="text1"/>
                      <w:sz w:val="16"/>
                      <w:szCs w:val="16"/>
                      <w:u w:val="single"/>
                      <w:lang w:val="en-US" w:eastAsia="zh-CN"/>
                      <w14:textFill>
                        <w14:solidFill>
                          <w14:schemeClr w14:val="tx1"/>
                        </w14:solidFill>
                      </w14:textFill>
                    </w:rPr>
                    <w:t>26.298092</w:t>
                  </w:r>
                </w:p>
              </w:tc>
              <w:tc>
                <w:tcPr>
                  <w:tcW w:w="311" w:type="pct"/>
                  <w:noWrap/>
                  <w:vAlign w:val="center"/>
                </w:tcPr>
                <w:p w14:paraId="12C9D234">
                  <w:pPr>
                    <w:pStyle w:val="66"/>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50</w:t>
                  </w:r>
                </w:p>
              </w:tc>
            </w:tr>
          </w:tbl>
          <w:p w14:paraId="5273CE5F">
            <w:pPr>
              <w:bidi w:val="0"/>
              <w:rPr>
                <w:rFonts w:hint="eastAsia"/>
                <w:u w:val="single"/>
              </w:rPr>
            </w:pPr>
            <w:r>
              <w:rPr>
                <w:rFonts w:hint="eastAsia"/>
                <w:u w:val="single"/>
              </w:rPr>
              <w:t>2、源强核算</w:t>
            </w:r>
          </w:p>
          <w:p w14:paraId="32E6ACAD">
            <w:pPr>
              <w:bidi w:val="0"/>
              <w:rPr>
                <w:u w:val="single"/>
              </w:rPr>
            </w:pPr>
            <w:r>
              <w:rPr>
                <w:u w:val="single"/>
              </w:rPr>
              <w:t>（1）打磨粉尘</w:t>
            </w:r>
          </w:p>
          <w:p w14:paraId="2E419924">
            <w:pPr>
              <w:bidi w:val="0"/>
              <w:rPr>
                <w:u w:val="single"/>
              </w:rPr>
            </w:pPr>
            <w:r>
              <w:rPr>
                <w:u w:val="single"/>
              </w:rPr>
              <w:t>汽车在喷漆前需对汽车表面进行打磨，打磨工序产生的粉尘主要是废漆颗粒物。类比同类型项目，每辆车打磨过程产生粉尘量为0.1kg，根据建设单位提供资料，本项目</w:t>
            </w:r>
            <w:r>
              <w:rPr>
                <w:rFonts w:hint="eastAsia"/>
                <w:u w:val="single"/>
                <w:lang w:val="en-US" w:eastAsia="zh-CN"/>
              </w:rPr>
              <w:t>预计年维修汽车1200辆，维修需</w:t>
            </w:r>
            <w:r>
              <w:rPr>
                <w:u w:val="single"/>
              </w:rPr>
              <w:t>打磨</w:t>
            </w:r>
            <w:r>
              <w:rPr>
                <w:rFonts w:hint="eastAsia"/>
                <w:u w:val="single"/>
                <w:lang w:val="en-US" w:eastAsia="zh-CN"/>
              </w:rPr>
              <w:t>的</w:t>
            </w:r>
            <w:r>
              <w:rPr>
                <w:u w:val="single"/>
              </w:rPr>
              <w:t>车辆按</w:t>
            </w:r>
            <w:r>
              <w:rPr>
                <w:rFonts w:hint="eastAsia"/>
                <w:u w:val="single"/>
                <w:lang w:val="en-US" w:eastAsia="zh-CN"/>
              </w:rPr>
              <w:t>1</w:t>
            </w:r>
            <w:r>
              <w:rPr>
                <w:u w:val="single"/>
              </w:rPr>
              <w:t>200辆计，则打磨粉尘量为0.</w:t>
            </w:r>
            <w:r>
              <w:rPr>
                <w:rFonts w:hint="eastAsia"/>
                <w:u w:val="single"/>
                <w:lang w:val="en-US" w:eastAsia="zh-CN"/>
              </w:rPr>
              <w:t>1</w:t>
            </w:r>
            <w:r>
              <w:rPr>
                <w:u w:val="single"/>
              </w:rPr>
              <w:t>2t/a，根据业主提供的资料项目选</w:t>
            </w:r>
            <w:r>
              <w:rPr>
                <w:color w:val="000000" w:themeColor="text1"/>
                <w:u w:val="single"/>
                <w14:textFill>
                  <w14:solidFill>
                    <w14:schemeClr w14:val="tx1"/>
                  </w14:solidFill>
                </w14:textFill>
              </w:rPr>
              <w:t>用的打磨</w:t>
            </w:r>
            <w:r>
              <w:rPr>
                <w:rFonts w:hint="eastAsia"/>
                <w:color w:val="000000" w:themeColor="text1"/>
                <w:u w:val="single"/>
                <w:lang w:val="en-US" w:eastAsia="zh-CN"/>
                <w14:textFill>
                  <w14:solidFill>
                    <w14:schemeClr w14:val="tx1"/>
                  </w14:solidFill>
                </w14:textFill>
              </w:rPr>
              <w:t>的</w:t>
            </w:r>
            <w:r>
              <w:rPr>
                <w:color w:val="000000" w:themeColor="text1"/>
                <w:u w:val="single"/>
                <w14:textFill>
                  <w14:solidFill>
                    <w14:schemeClr w14:val="tx1"/>
                  </w14:solidFill>
                </w14:textFill>
              </w:rPr>
              <w:t>干磨</w:t>
            </w:r>
            <w:r>
              <w:rPr>
                <w:rFonts w:hint="eastAsia"/>
                <w:color w:val="000000" w:themeColor="text1"/>
                <w:u w:val="single"/>
                <w:lang w:val="en-US" w:eastAsia="zh-CN"/>
                <w14:textFill>
                  <w14:solidFill>
                    <w14:schemeClr w14:val="tx1"/>
                  </w14:solidFill>
                </w14:textFill>
              </w:rPr>
              <w:t>机配有吸尘机</w:t>
            </w:r>
            <w:r>
              <w:rPr>
                <w:color w:val="000000" w:themeColor="text1"/>
                <w:u w:val="single"/>
                <w14:textFill>
                  <w14:solidFill>
                    <w14:schemeClr w14:val="tx1"/>
                  </w14:solidFill>
                </w14:textFill>
              </w:rPr>
              <w:t>粉尘处理，</w:t>
            </w:r>
            <w:r>
              <w:rPr>
                <w:rFonts w:hint="eastAsia"/>
                <w:color w:val="000000" w:themeColor="text1"/>
                <w:u w:val="single"/>
                <w:lang w:val="en-US" w:eastAsia="zh-CN"/>
                <w14:textFill>
                  <w14:solidFill>
                    <w14:schemeClr w14:val="tx1"/>
                  </w14:solidFill>
                </w14:textFill>
              </w:rPr>
              <w:t>吸尘机</w:t>
            </w:r>
            <w:r>
              <w:rPr>
                <w:color w:val="000000" w:themeColor="text1"/>
                <w:u w:val="single"/>
                <w14:textFill>
                  <w14:solidFill>
                    <w14:schemeClr w14:val="tx1"/>
                  </w14:solidFill>
                </w14:textFill>
              </w:rPr>
              <w:t>收集</w:t>
            </w:r>
            <w:r>
              <w:rPr>
                <w:u w:val="single"/>
              </w:rPr>
              <w:t>效率</w:t>
            </w:r>
            <w:r>
              <w:rPr>
                <w:rFonts w:hint="eastAsia"/>
                <w:u w:val="single"/>
                <w:lang w:val="en-US" w:eastAsia="zh-CN"/>
              </w:rPr>
              <w:t>按80%计，</w:t>
            </w:r>
            <w:r>
              <w:rPr>
                <w:u w:val="single"/>
              </w:rPr>
              <w:t>处理效率以</w:t>
            </w:r>
            <w:r>
              <w:rPr>
                <w:rFonts w:hint="eastAsia"/>
                <w:u w:val="single"/>
                <w:lang w:val="en-US" w:eastAsia="zh-CN"/>
              </w:rPr>
              <w:t>99</w:t>
            </w:r>
            <w:r>
              <w:rPr>
                <w:u w:val="single"/>
              </w:rPr>
              <w:t>%计，处理后的尾气无组织排放，则粉尘排放量为</w:t>
            </w:r>
            <w:r>
              <w:rPr>
                <w:rFonts w:hint="eastAsia"/>
                <w:u w:val="single"/>
                <w:lang w:val="en-US" w:eastAsia="zh-CN"/>
              </w:rPr>
              <w:t>0.025</w:t>
            </w:r>
            <w:r>
              <w:rPr>
                <w:u w:val="single"/>
              </w:rPr>
              <w:t>t/a，打磨时间</w:t>
            </w:r>
            <w:r>
              <w:rPr>
                <w:rFonts w:hint="eastAsia"/>
                <w:u w:val="single"/>
                <w:lang w:val="en-US" w:eastAsia="zh-CN"/>
              </w:rPr>
              <w:t>以</w:t>
            </w:r>
            <w:r>
              <w:rPr>
                <w:u w:val="single"/>
              </w:rPr>
              <w:t>360h</w:t>
            </w:r>
            <w:r>
              <w:rPr>
                <w:rFonts w:hint="eastAsia"/>
                <w:u w:val="single"/>
                <w:lang w:val="en-US" w:eastAsia="zh-CN"/>
              </w:rPr>
              <w:t>计</w:t>
            </w:r>
            <w:r>
              <w:rPr>
                <w:u w:val="single"/>
              </w:rPr>
              <w:t>，则排放速率为</w:t>
            </w:r>
            <w:r>
              <w:rPr>
                <w:rFonts w:hint="eastAsia"/>
                <w:u w:val="single"/>
                <w:lang w:val="en-US" w:eastAsia="zh-CN"/>
              </w:rPr>
              <w:t>0.069</w:t>
            </w:r>
            <w:r>
              <w:rPr>
                <w:u w:val="single"/>
              </w:rPr>
              <w:t>kg/h。项目方加强车间通风，厂界颗粒物浓度能够满足《大气污染物综合排放标准》 (GB16297-1996)中无组织排放限值要求。</w:t>
            </w:r>
          </w:p>
          <w:p w14:paraId="0E162F5F">
            <w:pPr>
              <w:bidi w:val="0"/>
              <w:rPr>
                <w:u w:val="single"/>
              </w:rPr>
            </w:pPr>
            <w:r>
              <w:rPr>
                <w:u w:val="single"/>
              </w:rPr>
              <w:t>（2）焊接烟尘</w:t>
            </w:r>
          </w:p>
          <w:p w14:paraId="34C4276F">
            <w:pPr>
              <w:bidi w:val="0"/>
              <w:rPr>
                <w:u w:val="single"/>
              </w:rPr>
            </w:pPr>
            <w:r>
              <w:rPr>
                <w:u w:val="single"/>
              </w:rPr>
              <w:t>本项目生产过程中会对少部分产品进行人工焊接，项目</w:t>
            </w:r>
            <w:r>
              <w:rPr>
                <w:rFonts w:hint="eastAsia"/>
                <w:u w:val="single"/>
                <w:lang w:val="en-US" w:eastAsia="zh-CN"/>
              </w:rPr>
              <w:t>采</w:t>
            </w:r>
            <w:r>
              <w:rPr>
                <w:u w:val="single"/>
              </w:rPr>
              <w:t>用二氧化碳保护焊，此工艺主要污染物为焊接烟尘。根据业主提供资料，项目焊丝用量</w:t>
            </w:r>
            <w:r>
              <w:rPr>
                <w:color w:val="000000" w:themeColor="text1"/>
                <w:u w:val="single"/>
                <w14:textFill>
                  <w14:solidFill>
                    <w14:schemeClr w14:val="tx1"/>
                  </w14:solidFill>
                </w14:textFill>
              </w:rPr>
              <w:t>为0.</w:t>
            </w:r>
            <w:r>
              <w:rPr>
                <w:rFonts w:hint="eastAsia"/>
                <w:color w:val="000000" w:themeColor="text1"/>
                <w:u w:val="single"/>
                <w:lang w:val="en-US" w:eastAsia="zh-CN"/>
                <w14:textFill>
                  <w14:solidFill>
                    <w14:schemeClr w14:val="tx1"/>
                  </w14:solidFill>
                </w14:textFill>
              </w:rPr>
              <w:t>2</w:t>
            </w:r>
            <w:r>
              <w:rPr>
                <w:color w:val="000000" w:themeColor="text1"/>
                <w:u w:val="single"/>
                <w14:textFill>
                  <w14:solidFill>
                    <w14:schemeClr w14:val="tx1"/>
                  </w14:solidFill>
                </w14:textFill>
              </w:rPr>
              <w:t>t/a，根据第二次全国污染源普查工业污染源普查《机械行业系数手册》可知，二氧化碳保护焊，实芯焊丝的发尘量为9.19kg/t，则焊接烟尘的产生量为</w:t>
            </w:r>
            <w:r>
              <w:rPr>
                <w:rFonts w:hint="eastAsia"/>
                <w:color w:val="000000" w:themeColor="text1"/>
                <w:u w:val="single"/>
                <w:lang w:val="en-US" w:eastAsia="zh-CN"/>
                <w14:textFill>
                  <w14:solidFill>
                    <w14:schemeClr w14:val="tx1"/>
                  </w14:solidFill>
                </w14:textFill>
              </w:rPr>
              <w:t>1.838</w:t>
            </w:r>
            <w:r>
              <w:rPr>
                <w:color w:val="000000" w:themeColor="text1"/>
                <w:u w:val="single"/>
                <w14:textFill>
                  <w14:solidFill>
                    <w14:schemeClr w14:val="tx1"/>
                  </w14:solidFill>
                </w14:textFill>
              </w:rPr>
              <w:t>kg/a。</w:t>
            </w:r>
          </w:p>
          <w:p w14:paraId="6FB14A5A">
            <w:pPr>
              <w:bidi w:val="0"/>
              <w:rPr>
                <w:u w:val="single"/>
              </w:rPr>
            </w:pPr>
            <w:r>
              <w:rPr>
                <w:rFonts w:hint="eastAsia"/>
                <w:u w:val="single"/>
                <w:lang w:val="en-US" w:eastAsia="zh-CN"/>
              </w:rPr>
              <w:t>焊接</w:t>
            </w:r>
            <w:r>
              <w:rPr>
                <w:u w:val="single"/>
              </w:rPr>
              <w:t>废气经移动式焊烟净化器净化后无组织排放。在产污工段配置软管集气罩收集废气，配置1000m</w:t>
            </w:r>
            <w:r>
              <w:rPr>
                <w:u w:val="single"/>
                <w:vertAlign w:val="superscript"/>
              </w:rPr>
              <w:t>3</w:t>
            </w:r>
            <w:r>
              <w:rPr>
                <w:u w:val="single"/>
              </w:rPr>
              <w:t>/h的风量。根据移动式焊烟净化器工艺及特点，在额定风量下本项目移动式焊烟净化器收集效率</w:t>
            </w:r>
            <w:r>
              <w:rPr>
                <w:rFonts w:hint="eastAsia"/>
                <w:u w:val="single"/>
                <w:lang w:val="en-US" w:eastAsia="zh-CN"/>
              </w:rPr>
              <w:t>按80%计，</w:t>
            </w:r>
            <w:r>
              <w:rPr>
                <w:u w:val="single"/>
              </w:rPr>
              <w:t>处理效率以</w:t>
            </w:r>
            <w:r>
              <w:rPr>
                <w:rFonts w:hint="eastAsia"/>
                <w:u w:val="single"/>
                <w:lang w:val="en-US" w:eastAsia="zh-CN"/>
              </w:rPr>
              <w:t>99</w:t>
            </w:r>
            <w:r>
              <w:rPr>
                <w:u w:val="single"/>
              </w:rPr>
              <w:t>%计，处理后的尾气无组织排放，则治理后的焊接烟尘排放量为</w:t>
            </w:r>
            <w:r>
              <w:rPr>
                <w:rFonts w:hint="eastAsia"/>
                <w:u w:val="single"/>
                <w:lang w:val="en-US" w:eastAsia="zh-CN"/>
              </w:rPr>
              <w:t>0.3823</w:t>
            </w:r>
            <w:r>
              <w:rPr>
                <w:u w:val="single"/>
              </w:rPr>
              <w:t>kg/a，排放速率为</w:t>
            </w:r>
            <w:r>
              <w:rPr>
                <w:rFonts w:hint="eastAsia"/>
                <w:u w:val="single"/>
                <w:lang w:val="en-US" w:eastAsia="zh-CN"/>
              </w:rPr>
              <w:t>0.00212</w:t>
            </w:r>
            <w:r>
              <w:rPr>
                <w:u w:val="single"/>
              </w:rPr>
              <w:t>kg/h（每天焊接时间约0.5小时，按全年焊接工时360天计，即180h/a）。项目方加强车间通风，厂界颗粒物浓度能够满足《大气污染物综合排放标准》 (GB16297-1996)中无组织排放限值要求。</w:t>
            </w:r>
          </w:p>
          <w:p w14:paraId="1850E912">
            <w:pPr>
              <w:bidi w:val="0"/>
              <w:rPr>
                <w:u w:val="single"/>
              </w:rPr>
            </w:pPr>
            <w:r>
              <w:rPr>
                <w:u w:val="single"/>
              </w:rPr>
              <w:t>（3）喷漆废气</w:t>
            </w:r>
          </w:p>
          <w:p w14:paraId="1BA804B5">
            <w:pPr>
              <w:bidi w:val="0"/>
              <w:rPr>
                <w:u w:val="single"/>
              </w:rPr>
            </w:pPr>
            <w:r>
              <w:rPr>
                <w:rFonts w:hint="eastAsia"/>
                <w:u w:val="single"/>
                <w:lang w:val="en-US" w:eastAsia="zh-CN"/>
              </w:rPr>
              <w:t>本项目预计年维修汽车1200辆，</w:t>
            </w:r>
            <w:r>
              <w:rPr>
                <w:u w:val="single"/>
              </w:rPr>
              <w:t>汽车在维修过程中，部分车辆需要喷漆，</w:t>
            </w:r>
            <w:r>
              <w:rPr>
                <w:rFonts w:hint="eastAsia"/>
                <w:u w:val="single"/>
                <w:lang w:val="en-US" w:eastAsia="zh-CN"/>
              </w:rPr>
              <w:t>本次按1200辆，</w:t>
            </w:r>
            <w:r>
              <w:rPr>
                <w:u w:val="single"/>
              </w:rPr>
              <w:t>在喷漆晾干时产生的废气主要为喷漆漆雾和有机废气。根据建设单位提供资料，项目喷漆晾干使用</w:t>
            </w:r>
            <w:r>
              <w:rPr>
                <w:rFonts w:hint="eastAsia"/>
                <w:u w:val="single"/>
                <w:lang w:val="en-US" w:eastAsia="zh-CN"/>
              </w:rPr>
              <w:t>水性</w:t>
            </w:r>
            <w:r>
              <w:rPr>
                <w:u w:val="single"/>
              </w:rPr>
              <w:t>漆0.</w:t>
            </w:r>
            <w:r>
              <w:rPr>
                <w:rFonts w:hint="eastAsia"/>
                <w:u w:val="single"/>
                <w:lang w:val="en-US" w:eastAsia="zh-CN"/>
              </w:rPr>
              <w:t>15</w:t>
            </w:r>
            <w:r>
              <w:rPr>
                <w:u w:val="single"/>
              </w:rPr>
              <w:t>t/a、稀释剂0.0</w:t>
            </w:r>
            <w:r>
              <w:rPr>
                <w:rFonts w:hint="eastAsia"/>
                <w:u w:val="single"/>
                <w:lang w:val="en-US" w:eastAsia="zh-CN"/>
              </w:rPr>
              <w:t>75</w:t>
            </w:r>
            <w:r>
              <w:rPr>
                <w:u w:val="single"/>
              </w:rPr>
              <w:t>t/a</w:t>
            </w:r>
            <w:r>
              <w:rPr>
                <w:rFonts w:hint="eastAsia"/>
                <w:u w:val="single"/>
                <w:lang w:eastAsia="zh-CN"/>
              </w:rPr>
              <w:t>，</w:t>
            </w:r>
            <w:r>
              <w:rPr>
                <w:rFonts w:hint="eastAsia"/>
                <w:u w:val="single"/>
                <w:lang w:val="en-US" w:eastAsia="zh-CN"/>
              </w:rPr>
              <w:t>油漆0.05</w:t>
            </w:r>
            <w:r>
              <w:rPr>
                <w:u w:val="single"/>
              </w:rPr>
              <w:t>t/a</w:t>
            </w:r>
            <w:r>
              <w:rPr>
                <w:rFonts w:hint="eastAsia"/>
                <w:u w:val="single"/>
                <w:lang w:val="en-US" w:eastAsia="zh-CN"/>
              </w:rPr>
              <w:t>，</w:t>
            </w:r>
            <w:r>
              <w:rPr>
                <w:u w:val="single"/>
              </w:rPr>
              <w:t>项目</w:t>
            </w:r>
            <w:r>
              <w:rPr>
                <w:rFonts w:hint="eastAsia"/>
                <w:u w:val="single"/>
                <w:lang w:val="en-US" w:eastAsia="zh-CN"/>
              </w:rPr>
              <w:t>水性</w:t>
            </w:r>
            <w:r>
              <w:rPr>
                <w:u w:val="single"/>
              </w:rPr>
              <w:t>漆、稀释剂</w:t>
            </w:r>
            <w:r>
              <w:rPr>
                <w:rFonts w:hint="eastAsia"/>
                <w:u w:val="single"/>
                <w:lang w:eastAsia="zh-CN"/>
              </w:rPr>
              <w:t>、</w:t>
            </w:r>
            <w:r>
              <w:rPr>
                <w:rFonts w:hint="eastAsia"/>
                <w:u w:val="single"/>
                <w:lang w:val="en-US" w:eastAsia="zh-CN"/>
              </w:rPr>
              <w:t>油漆</w:t>
            </w:r>
            <w:r>
              <w:rPr>
                <w:u w:val="single"/>
              </w:rPr>
              <w:t>主要组分见表4-1。</w:t>
            </w:r>
          </w:p>
          <w:p w14:paraId="49E756A7">
            <w:pPr>
              <w:pStyle w:val="35"/>
              <w:spacing w:before="65" w:line="229" w:lineRule="auto"/>
              <w:ind w:left="0" w:leftChars="0" w:firstLine="0" w:firstLineChars="0"/>
              <w:jc w:val="center"/>
              <w:outlineLvl w:val="0"/>
              <w:rPr>
                <w:b/>
                <w:bCs/>
                <w:spacing w:val="4"/>
                <w:u w:val="single"/>
              </w:rPr>
            </w:pPr>
            <w:r>
              <w:rPr>
                <w:b/>
                <w:bCs/>
                <w:spacing w:val="4"/>
                <w:u w:val="single"/>
              </w:rPr>
              <w:t>表</w:t>
            </w:r>
            <w:r>
              <w:rPr>
                <w:spacing w:val="-32"/>
                <w:u w:val="single"/>
              </w:rPr>
              <w:t xml:space="preserve"> </w:t>
            </w:r>
            <w:r>
              <w:rPr>
                <w:rFonts w:ascii="Times New Roman" w:hAnsi="Times New Roman" w:eastAsia="Times New Roman" w:cs="Times New Roman"/>
                <w:b/>
                <w:bCs/>
                <w:spacing w:val="4"/>
                <w:u w:val="single"/>
              </w:rPr>
              <w:t>4-</w:t>
            </w:r>
            <w:r>
              <w:rPr>
                <w:rFonts w:hint="eastAsia" w:eastAsia="宋体" w:cs="Times New Roman"/>
                <w:b/>
                <w:bCs/>
                <w:spacing w:val="4"/>
                <w:u w:val="single"/>
                <w:lang w:val="en-US" w:eastAsia="zh-CN"/>
              </w:rPr>
              <w:t>2</w:t>
            </w:r>
            <w:r>
              <w:rPr>
                <w:rFonts w:ascii="Times New Roman" w:hAnsi="Times New Roman" w:eastAsia="Times New Roman" w:cs="Times New Roman"/>
                <w:b/>
                <w:bCs/>
                <w:spacing w:val="1"/>
                <w:u w:val="single"/>
              </w:rPr>
              <w:t xml:space="preserve">  </w:t>
            </w:r>
            <w:r>
              <w:rPr>
                <w:b/>
                <w:bCs/>
                <w:spacing w:val="4"/>
                <w:u w:val="single"/>
              </w:rPr>
              <w:t>漆料主要成分</w:t>
            </w:r>
          </w:p>
          <w:tbl>
            <w:tblPr>
              <w:tblStyle w:val="27"/>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341"/>
              <w:gridCol w:w="1755"/>
              <w:gridCol w:w="3114"/>
            </w:tblGrid>
            <w:tr w14:paraId="3A72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9" w:type="dxa"/>
                  <w:vAlign w:val="center"/>
                </w:tcPr>
                <w:p w14:paraId="6571323C">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材料</w:t>
                  </w:r>
                </w:p>
              </w:tc>
              <w:tc>
                <w:tcPr>
                  <w:tcW w:w="1341" w:type="dxa"/>
                  <w:vAlign w:val="center"/>
                </w:tcPr>
                <w:p w14:paraId="0A20614D">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单位</w:t>
                  </w:r>
                </w:p>
              </w:tc>
              <w:tc>
                <w:tcPr>
                  <w:tcW w:w="1755" w:type="dxa"/>
                  <w:vAlign w:val="center"/>
                </w:tcPr>
                <w:p w14:paraId="3D89BEB6">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用量</w:t>
                  </w:r>
                </w:p>
              </w:tc>
              <w:tc>
                <w:tcPr>
                  <w:tcW w:w="3114" w:type="dxa"/>
                  <w:vAlign w:val="center"/>
                </w:tcPr>
                <w:p w14:paraId="2A7ADAC3">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挥发性有机物含量</w:t>
                  </w:r>
                </w:p>
              </w:tc>
            </w:tr>
            <w:tr w14:paraId="1715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9" w:type="dxa"/>
                  <w:vAlign w:val="center"/>
                </w:tcPr>
                <w:p w14:paraId="053DC0F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水性漆</w:t>
                  </w:r>
                </w:p>
              </w:tc>
              <w:tc>
                <w:tcPr>
                  <w:tcW w:w="1341" w:type="dxa"/>
                  <w:vAlign w:val="center"/>
                </w:tcPr>
                <w:p w14:paraId="3C426087">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t/a</w:t>
                  </w:r>
                </w:p>
              </w:tc>
              <w:tc>
                <w:tcPr>
                  <w:tcW w:w="1755" w:type="dxa"/>
                  <w:vAlign w:val="center"/>
                </w:tcPr>
                <w:p w14:paraId="04CF7C7F">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0.15</w:t>
                  </w:r>
                </w:p>
              </w:tc>
              <w:tc>
                <w:tcPr>
                  <w:tcW w:w="3114" w:type="dxa"/>
                  <w:vAlign w:val="center"/>
                </w:tcPr>
                <w:p w14:paraId="61DDFAD3">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5</w:t>
                  </w:r>
                  <w:r>
                    <w:rPr>
                      <w:rFonts w:hint="eastAsia" w:cs="Times New Roman"/>
                      <w:sz w:val="21"/>
                      <w:szCs w:val="21"/>
                      <w:u w:val="single"/>
                      <w:lang w:val="en-US" w:eastAsia="zh-CN"/>
                    </w:rPr>
                    <w:t>%</w:t>
                  </w:r>
                </w:p>
              </w:tc>
            </w:tr>
            <w:tr w14:paraId="7C37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9" w:type="dxa"/>
                  <w:vAlign w:val="center"/>
                </w:tcPr>
                <w:p w14:paraId="501FBC42">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稀释剂</w:t>
                  </w:r>
                </w:p>
              </w:tc>
              <w:tc>
                <w:tcPr>
                  <w:tcW w:w="1341" w:type="dxa"/>
                  <w:vAlign w:val="center"/>
                </w:tcPr>
                <w:p w14:paraId="40BC89AF">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t/a</w:t>
                  </w:r>
                </w:p>
              </w:tc>
              <w:tc>
                <w:tcPr>
                  <w:tcW w:w="1755" w:type="dxa"/>
                  <w:vAlign w:val="center"/>
                </w:tcPr>
                <w:p w14:paraId="4107CE08">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0.075</w:t>
                  </w:r>
                </w:p>
              </w:tc>
              <w:tc>
                <w:tcPr>
                  <w:tcW w:w="3114" w:type="dxa"/>
                  <w:vAlign w:val="center"/>
                </w:tcPr>
                <w:p w14:paraId="4A0702D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15</w:t>
                  </w:r>
                  <w:r>
                    <w:rPr>
                      <w:rFonts w:hint="eastAsia" w:cs="Times New Roman"/>
                      <w:sz w:val="21"/>
                      <w:szCs w:val="21"/>
                      <w:u w:val="single"/>
                      <w:lang w:val="en-US" w:eastAsia="zh-CN"/>
                    </w:rPr>
                    <w:t>%</w:t>
                  </w:r>
                </w:p>
              </w:tc>
            </w:tr>
            <w:tr w14:paraId="0DED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9" w:type="dxa"/>
                  <w:vAlign w:val="center"/>
                </w:tcPr>
                <w:p w14:paraId="6A2854A9">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油漆</w:t>
                  </w:r>
                </w:p>
              </w:tc>
              <w:tc>
                <w:tcPr>
                  <w:tcW w:w="1341" w:type="dxa"/>
                  <w:vAlign w:val="center"/>
                </w:tcPr>
                <w:p w14:paraId="7C45871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t/a</w:t>
                  </w:r>
                </w:p>
              </w:tc>
              <w:tc>
                <w:tcPr>
                  <w:tcW w:w="1755" w:type="dxa"/>
                  <w:vAlign w:val="center"/>
                </w:tcPr>
                <w:p w14:paraId="0A525E92">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0.05</w:t>
                  </w:r>
                </w:p>
              </w:tc>
              <w:tc>
                <w:tcPr>
                  <w:tcW w:w="3114" w:type="dxa"/>
                  <w:vAlign w:val="center"/>
                </w:tcPr>
                <w:p w14:paraId="658AC1D4">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40%</w:t>
                  </w:r>
                </w:p>
              </w:tc>
            </w:tr>
          </w:tbl>
          <w:p w14:paraId="7A27CA77">
            <w:pPr>
              <w:pStyle w:val="35"/>
              <w:spacing w:before="65" w:line="229" w:lineRule="auto"/>
              <w:ind w:left="0" w:leftChars="0" w:firstLine="0" w:firstLineChars="0"/>
              <w:jc w:val="center"/>
              <w:outlineLvl w:val="0"/>
              <w:rPr>
                <w:rFonts w:ascii="Times New Roman" w:hAnsi="Times New Roman" w:eastAsia="宋体" w:cs="Times New Roman"/>
                <w:b/>
                <w:bCs/>
                <w:spacing w:val="4"/>
                <w:u w:val="single"/>
              </w:rPr>
            </w:pPr>
            <w:r>
              <w:rPr>
                <w:rFonts w:ascii="Times New Roman" w:hAnsi="Times New Roman" w:eastAsia="宋体" w:cs="Times New Roman"/>
                <w:b/>
                <w:bCs/>
                <w:spacing w:val="4"/>
                <w:u w:val="single"/>
              </w:rPr>
              <w:t>表 4-</w:t>
            </w:r>
            <w:r>
              <w:rPr>
                <w:rFonts w:hint="eastAsia" w:ascii="Times New Roman" w:hAnsi="Times New Roman" w:eastAsia="宋体" w:cs="Times New Roman"/>
                <w:b/>
                <w:bCs/>
                <w:spacing w:val="4"/>
                <w:u w:val="single"/>
                <w:lang w:val="en-US" w:eastAsia="zh-CN"/>
              </w:rPr>
              <w:t>3</w:t>
            </w:r>
            <w:r>
              <w:rPr>
                <w:rFonts w:ascii="Times New Roman" w:hAnsi="Times New Roman" w:eastAsia="宋体" w:cs="Times New Roman"/>
                <w:b/>
                <w:bCs/>
                <w:spacing w:val="4"/>
                <w:u w:val="single"/>
              </w:rPr>
              <w:t xml:space="preserve">  油漆平衡表</w:t>
            </w:r>
          </w:p>
          <w:tbl>
            <w:tblPr>
              <w:tblStyle w:val="9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1"/>
              <w:gridCol w:w="1547"/>
              <w:gridCol w:w="2479"/>
              <w:gridCol w:w="2127"/>
            </w:tblGrid>
            <w:tr w14:paraId="6A75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16" w:type="pct"/>
                  <w:gridSpan w:val="2"/>
                  <w:tcBorders>
                    <w:top w:val="single" w:color="000000" w:sz="10" w:space="0"/>
                  </w:tcBorders>
                  <w:noWrap w:val="0"/>
                  <w:vAlign w:val="center"/>
                </w:tcPr>
                <w:p w14:paraId="1D844D9E">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入方</w:t>
                  </w:r>
                </w:p>
              </w:tc>
              <w:tc>
                <w:tcPr>
                  <w:tcW w:w="2783" w:type="pct"/>
                  <w:gridSpan w:val="2"/>
                  <w:tcBorders>
                    <w:top w:val="single" w:color="000000" w:sz="10" w:space="0"/>
                    <w:right w:val="single" w:color="000000" w:sz="6" w:space="0"/>
                  </w:tcBorders>
                  <w:noWrap w:val="0"/>
                  <w:vAlign w:val="center"/>
                </w:tcPr>
                <w:p w14:paraId="124EA46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出方</w:t>
                  </w:r>
                </w:p>
              </w:tc>
            </w:tr>
            <w:tr w14:paraId="22DF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81" w:type="pct"/>
                  <w:noWrap w:val="0"/>
                  <w:vAlign w:val="center"/>
                </w:tcPr>
                <w:p w14:paraId="7347845E">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名称</w:t>
                  </w:r>
                </w:p>
              </w:tc>
              <w:tc>
                <w:tcPr>
                  <w:tcW w:w="934" w:type="pct"/>
                  <w:noWrap w:val="0"/>
                  <w:vAlign w:val="center"/>
                </w:tcPr>
                <w:p w14:paraId="5782E91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数量（t/a）</w:t>
                  </w:r>
                </w:p>
              </w:tc>
              <w:tc>
                <w:tcPr>
                  <w:tcW w:w="1498" w:type="pct"/>
                  <w:tcBorders>
                    <w:right w:val="single" w:color="auto" w:sz="4" w:space="0"/>
                  </w:tcBorders>
                  <w:noWrap w:val="0"/>
                  <w:vAlign w:val="center"/>
                </w:tcPr>
                <w:p w14:paraId="6671F6F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名称</w:t>
                  </w:r>
                </w:p>
              </w:tc>
              <w:tc>
                <w:tcPr>
                  <w:tcW w:w="1285" w:type="pct"/>
                  <w:tcBorders>
                    <w:left w:val="single" w:color="auto" w:sz="4" w:space="0"/>
                    <w:right w:val="single" w:color="000000" w:sz="6" w:space="0"/>
                  </w:tcBorders>
                  <w:noWrap w:val="0"/>
                  <w:vAlign w:val="center"/>
                </w:tcPr>
                <w:p w14:paraId="51B9A2E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数量（t/a）</w:t>
                  </w:r>
                </w:p>
              </w:tc>
            </w:tr>
            <w:tr w14:paraId="6F86F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81" w:type="pct"/>
                  <w:tcBorders>
                    <w:bottom w:val="single" w:color="auto" w:sz="4" w:space="0"/>
                  </w:tcBorders>
                  <w:noWrap w:val="0"/>
                  <w:vAlign w:val="center"/>
                </w:tcPr>
                <w:p w14:paraId="15CE3809">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水性漆</w:t>
                  </w:r>
                </w:p>
              </w:tc>
              <w:tc>
                <w:tcPr>
                  <w:tcW w:w="934" w:type="pct"/>
                  <w:tcBorders>
                    <w:bottom w:val="single" w:color="auto" w:sz="4" w:space="0"/>
                  </w:tcBorders>
                  <w:noWrap w:val="0"/>
                  <w:vAlign w:val="center"/>
                </w:tcPr>
                <w:p w14:paraId="05803FB9">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0.15</w:t>
                  </w:r>
                </w:p>
              </w:tc>
              <w:tc>
                <w:tcPr>
                  <w:tcW w:w="1498" w:type="pct"/>
                  <w:tcBorders>
                    <w:bottom w:val="single" w:color="auto" w:sz="4" w:space="0"/>
                    <w:right w:val="single" w:color="auto" w:sz="4" w:space="0"/>
                  </w:tcBorders>
                  <w:noWrap w:val="0"/>
                  <w:vAlign w:val="center"/>
                </w:tcPr>
                <w:p w14:paraId="521DFFA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固体份（附着在车辆上）</w:t>
                  </w:r>
                </w:p>
              </w:tc>
              <w:tc>
                <w:tcPr>
                  <w:tcW w:w="1285" w:type="pct"/>
                  <w:tcBorders>
                    <w:left w:val="single" w:color="auto" w:sz="4" w:space="0"/>
                    <w:bottom w:val="single" w:color="auto" w:sz="4" w:space="0"/>
                    <w:right w:val="single" w:color="000000" w:sz="6" w:space="0"/>
                  </w:tcBorders>
                  <w:noWrap w:val="0"/>
                  <w:vAlign w:val="center"/>
                </w:tcPr>
                <w:p w14:paraId="5C1FCE33">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w:t>
                  </w:r>
                  <w:r>
                    <w:rPr>
                      <w:rFonts w:hint="eastAsia" w:cs="Times New Roman"/>
                      <w:sz w:val="21"/>
                      <w:szCs w:val="21"/>
                      <w:u w:val="single"/>
                      <w:lang w:val="en-US" w:eastAsia="zh-CN"/>
                    </w:rPr>
                    <w:t>775</w:t>
                  </w:r>
                </w:p>
              </w:tc>
            </w:tr>
            <w:tr w14:paraId="2C91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81" w:type="pct"/>
                  <w:tcBorders>
                    <w:top w:val="single" w:color="auto" w:sz="4" w:space="0"/>
                    <w:bottom w:val="single" w:color="auto" w:sz="4" w:space="0"/>
                  </w:tcBorders>
                  <w:noWrap w:val="0"/>
                  <w:vAlign w:val="center"/>
                </w:tcPr>
                <w:p w14:paraId="0538082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稀释剂</w:t>
                  </w:r>
                </w:p>
              </w:tc>
              <w:tc>
                <w:tcPr>
                  <w:tcW w:w="934" w:type="pct"/>
                  <w:tcBorders>
                    <w:top w:val="single" w:color="auto" w:sz="4" w:space="0"/>
                    <w:bottom w:val="single" w:color="auto" w:sz="4" w:space="0"/>
                  </w:tcBorders>
                  <w:noWrap w:val="0"/>
                  <w:vAlign w:val="center"/>
                </w:tcPr>
                <w:p w14:paraId="40B48A3D">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0.075</w:t>
                  </w:r>
                </w:p>
              </w:tc>
              <w:tc>
                <w:tcPr>
                  <w:tcW w:w="1498" w:type="pct"/>
                  <w:tcBorders>
                    <w:top w:val="single" w:color="auto" w:sz="4" w:space="0"/>
                    <w:bottom w:val="single" w:color="auto" w:sz="4" w:space="0"/>
                    <w:right w:val="single" w:color="auto" w:sz="4" w:space="0"/>
                  </w:tcBorders>
                  <w:noWrap w:val="0"/>
                  <w:vAlign w:val="center"/>
                </w:tcPr>
                <w:p w14:paraId="4ECCFA0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进入废气</w:t>
                  </w:r>
                </w:p>
              </w:tc>
              <w:tc>
                <w:tcPr>
                  <w:tcW w:w="1285" w:type="pct"/>
                  <w:tcBorders>
                    <w:top w:val="single" w:color="auto" w:sz="4" w:space="0"/>
                    <w:left w:val="single" w:color="auto" w:sz="4" w:space="0"/>
                    <w:bottom w:val="single" w:color="auto" w:sz="4" w:space="0"/>
                    <w:right w:val="single" w:color="000000" w:sz="6" w:space="0"/>
                  </w:tcBorders>
                  <w:noWrap w:val="0"/>
                  <w:vAlign w:val="center"/>
                </w:tcPr>
                <w:p w14:paraId="6DB476CA">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w:t>
                  </w:r>
                  <w:r>
                    <w:rPr>
                      <w:rFonts w:hint="eastAsia" w:cs="Times New Roman"/>
                      <w:sz w:val="21"/>
                      <w:szCs w:val="21"/>
                      <w:u w:val="single"/>
                      <w:lang w:val="en-US" w:eastAsia="zh-CN"/>
                    </w:rPr>
                    <w:t>66</w:t>
                  </w:r>
                  <w:r>
                    <w:rPr>
                      <w:rFonts w:hint="eastAsia" w:ascii="Times New Roman" w:hAnsi="Times New Roman" w:eastAsia="宋体" w:cs="Times New Roman"/>
                      <w:sz w:val="21"/>
                      <w:szCs w:val="21"/>
                      <w:u w:val="single"/>
                      <w:lang w:val="en-US" w:eastAsia="zh-CN"/>
                    </w:rPr>
                    <w:t>25</w:t>
                  </w:r>
                </w:p>
              </w:tc>
            </w:tr>
            <w:tr w14:paraId="1513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81" w:type="pct"/>
                  <w:tcBorders>
                    <w:top w:val="single" w:color="auto" w:sz="4" w:space="0"/>
                    <w:bottom w:val="single" w:color="auto" w:sz="4" w:space="0"/>
                  </w:tcBorders>
                  <w:noWrap w:val="0"/>
                  <w:vAlign w:val="center"/>
                </w:tcPr>
                <w:p w14:paraId="413FBED6">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油漆</w:t>
                  </w:r>
                </w:p>
              </w:tc>
              <w:tc>
                <w:tcPr>
                  <w:tcW w:w="934" w:type="pct"/>
                  <w:tcBorders>
                    <w:top w:val="single" w:color="auto" w:sz="4" w:space="0"/>
                    <w:bottom w:val="single" w:color="auto" w:sz="4" w:space="0"/>
                  </w:tcBorders>
                  <w:noWrap w:val="0"/>
                  <w:vAlign w:val="center"/>
                </w:tcPr>
                <w:p w14:paraId="1928633D">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cs="Times New Roman"/>
                      <w:sz w:val="21"/>
                      <w:szCs w:val="21"/>
                      <w:u w:val="single"/>
                      <w:lang w:val="en-US" w:eastAsia="zh-CN"/>
                    </w:rPr>
                    <w:t>0.05</w:t>
                  </w:r>
                </w:p>
              </w:tc>
              <w:tc>
                <w:tcPr>
                  <w:tcW w:w="1498" w:type="pct"/>
                  <w:tcBorders>
                    <w:top w:val="single" w:color="auto" w:sz="4" w:space="0"/>
                    <w:bottom w:val="single" w:color="auto" w:sz="4" w:space="0"/>
                    <w:right w:val="single" w:color="auto" w:sz="4" w:space="0"/>
                  </w:tcBorders>
                  <w:noWrap w:val="0"/>
                  <w:vAlign w:val="center"/>
                </w:tcPr>
                <w:p w14:paraId="782D1448">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 xml:space="preserve">水分蒸发 </w:t>
                  </w:r>
                </w:p>
              </w:tc>
              <w:tc>
                <w:tcPr>
                  <w:tcW w:w="1285" w:type="pct"/>
                  <w:tcBorders>
                    <w:top w:val="single" w:color="auto" w:sz="4" w:space="0"/>
                    <w:left w:val="single" w:color="auto" w:sz="4" w:space="0"/>
                    <w:bottom w:val="single" w:color="auto" w:sz="4" w:space="0"/>
                    <w:right w:val="single" w:color="000000" w:sz="6" w:space="0"/>
                  </w:tcBorders>
                  <w:noWrap w:val="0"/>
                  <w:vAlign w:val="center"/>
                </w:tcPr>
                <w:p w14:paraId="0D985D27">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0.13125</w:t>
                  </w:r>
                </w:p>
              </w:tc>
            </w:tr>
            <w:tr w14:paraId="2143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81" w:type="pct"/>
                  <w:tcBorders>
                    <w:bottom w:val="single" w:color="000000" w:sz="10" w:space="0"/>
                  </w:tcBorders>
                  <w:noWrap w:val="0"/>
                  <w:vAlign w:val="center"/>
                </w:tcPr>
                <w:p w14:paraId="7E6365E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合计</w:t>
                  </w:r>
                </w:p>
              </w:tc>
              <w:tc>
                <w:tcPr>
                  <w:tcW w:w="934" w:type="pct"/>
                  <w:tcBorders>
                    <w:bottom w:val="single" w:color="000000" w:sz="10" w:space="0"/>
                  </w:tcBorders>
                  <w:noWrap w:val="0"/>
                  <w:vAlign w:val="center"/>
                </w:tcPr>
                <w:p w14:paraId="1E388E75">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0.2</w:t>
                  </w:r>
                  <w:r>
                    <w:rPr>
                      <w:rFonts w:hint="eastAsia" w:cs="Times New Roman"/>
                      <w:sz w:val="21"/>
                      <w:szCs w:val="21"/>
                      <w:u w:val="single"/>
                      <w:lang w:val="en-US" w:eastAsia="zh-CN"/>
                    </w:rPr>
                    <w:t>7</w:t>
                  </w:r>
                  <w:r>
                    <w:rPr>
                      <w:rFonts w:hint="eastAsia" w:ascii="Times New Roman" w:hAnsi="Times New Roman" w:eastAsia="宋体" w:cs="Times New Roman"/>
                      <w:sz w:val="21"/>
                      <w:szCs w:val="21"/>
                      <w:u w:val="single"/>
                      <w:lang w:val="en-US" w:eastAsia="zh-CN"/>
                    </w:rPr>
                    <w:t>5</w:t>
                  </w:r>
                </w:p>
              </w:tc>
              <w:tc>
                <w:tcPr>
                  <w:tcW w:w="2783" w:type="pct"/>
                  <w:gridSpan w:val="2"/>
                  <w:tcBorders>
                    <w:bottom w:val="single" w:color="000000" w:sz="10" w:space="0"/>
                    <w:right w:val="single" w:color="000000" w:sz="6" w:space="0"/>
                  </w:tcBorders>
                  <w:noWrap w:val="0"/>
                  <w:vAlign w:val="center"/>
                </w:tcPr>
                <w:p w14:paraId="22E838BF">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0.2</w:t>
                  </w:r>
                  <w:r>
                    <w:rPr>
                      <w:rFonts w:hint="eastAsia" w:cs="Times New Roman"/>
                      <w:sz w:val="21"/>
                      <w:szCs w:val="21"/>
                      <w:u w:val="single"/>
                      <w:lang w:val="en-US" w:eastAsia="zh-CN"/>
                    </w:rPr>
                    <w:t>7</w:t>
                  </w:r>
                  <w:r>
                    <w:rPr>
                      <w:rFonts w:hint="eastAsia" w:ascii="Times New Roman" w:hAnsi="Times New Roman" w:eastAsia="宋体" w:cs="Times New Roman"/>
                      <w:sz w:val="21"/>
                      <w:szCs w:val="21"/>
                      <w:u w:val="single"/>
                      <w:lang w:val="en-US" w:eastAsia="zh-CN"/>
                    </w:rPr>
                    <w:t>5</w:t>
                  </w:r>
                </w:p>
              </w:tc>
            </w:tr>
          </w:tbl>
          <w:p w14:paraId="1BBD89A7">
            <w:pPr>
              <w:bidi w:val="0"/>
              <w:rPr>
                <w:rFonts w:hint="eastAsia"/>
                <w:u w:val="single"/>
                <w:lang w:val="en-US" w:eastAsia="zh-CN"/>
              </w:rPr>
            </w:pPr>
            <w:r>
              <w:rPr>
                <w:u w:val="single"/>
              </w:rPr>
              <w:t>在喷漆过程中，油漆在高压下由喷枪喷出而雾化，其中大约70%（上漆率）可以附着在产品表面构成漆膜，其余30%则散逸在空气中，以漆雾形式排放，其中稀释剂全部挥发。</w:t>
            </w:r>
            <w:r>
              <w:rPr>
                <w:rFonts w:hint="eastAsia"/>
                <w:u w:val="single"/>
                <w:lang w:val="en-US" w:eastAsia="zh-CN"/>
              </w:rPr>
              <w:t>根据油漆平衡分析，</w:t>
            </w:r>
            <w:r>
              <w:rPr>
                <w:u w:val="single"/>
              </w:rPr>
              <w:t>喷漆、</w:t>
            </w:r>
            <w:r>
              <w:rPr>
                <w:rFonts w:hint="eastAsia"/>
                <w:u w:val="single"/>
                <w:lang w:val="en-US" w:eastAsia="zh-CN"/>
              </w:rPr>
              <w:t>烤</w:t>
            </w:r>
            <w:r>
              <w:rPr>
                <w:u w:val="single"/>
              </w:rPr>
              <w:t>过程中</w:t>
            </w:r>
            <w:r>
              <w:rPr>
                <w:rFonts w:hint="eastAsia"/>
                <w:u w:val="single"/>
                <w:lang w:val="en-US" w:eastAsia="zh-CN"/>
              </w:rPr>
              <w:t>项目废气产生量约0.06625t/a，年生产306天，平均每天喷漆预计约2小时。</w:t>
            </w:r>
          </w:p>
          <w:p w14:paraId="2C21BC7C">
            <w:pPr>
              <w:bidi w:val="0"/>
              <w:rPr>
                <w:u w:val="single"/>
              </w:rPr>
            </w:pPr>
            <w:r>
              <w:rPr>
                <w:rFonts w:hint="eastAsia"/>
                <w:u w:val="single"/>
                <w:lang w:val="en-US" w:eastAsia="zh-CN"/>
              </w:rPr>
              <w:t>根据现状检测结果，</w:t>
            </w:r>
            <w:r>
              <w:rPr>
                <w:u w:val="single"/>
              </w:rPr>
              <w:t>项目喷漆</w:t>
            </w:r>
            <w:r>
              <w:rPr>
                <w:rFonts w:hint="eastAsia"/>
                <w:u w:val="single"/>
                <w:lang w:val="en-US" w:eastAsia="zh-CN"/>
              </w:rPr>
              <w:t>烘干</w:t>
            </w:r>
            <w:r>
              <w:rPr>
                <w:u w:val="single"/>
              </w:rPr>
              <w:t>废气污染物</w:t>
            </w:r>
            <w:r>
              <w:rPr>
                <w:rFonts w:hint="eastAsia"/>
                <w:u w:val="single"/>
                <w:lang w:val="en-US" w:eastAsia="zh-CN"/>
              </w:rPr>
              <w:t>排气筒出口满足</w:t>
            </w:r>
            <w:r>
              <w:rPr>
                <w:u w:val="single"/>
              </w:rPr>
              <w:t>《表面涂装（汽车制造及维修）挥发性有机物、镍排放标准》（DB43/1356-2017）表1中汽车维修浓度限值</w:t>
            </w:r>
            <w:r>
              <w:rPr>
                <w:rFonts w:hint="eastAsia"/>
                <w:u w:val="single"/>
              </w:rPr>
              <w:t>要求</w:t>
            </w:r>
            <w:r>
              <w:rPr>
                <w:rFonts w:hint="eastAsia"/>
                <w:u w:val="single"/>
                <w:lang w:eastAsia="zh-CN"/>
              </w:rPr>
              <w:t>，</w:t>
            </w:r>
            <w:r>
              <w:rPr>
                <w:u w:val="single"/>
              </w:rPr>
              <w:t xml:space="preserve">产生情况详见表 </w:t>
            </w:r>
            <w:r>
              <w:rPr>
                <w:rFonts w:hint="eastAsia"/>
                <w:u w:val="single"/>
                <w:lang w:val="en-US" w:eastAsia="zh-CN"/>
              </w:rPr>
              <w:t>2-4</w:t>
            </w:r>
            <w:r>
              <w:rPr>
                <w:u w:val="single"/>
              </w:rPr>
              <w:t>。</w:t>
            </w:r>
          </w:p>
          <w:p w14:paraId="32BB5F20">
            <w:pPr>
              <w:bidi w:val="0"/>
              <w:rPr>
                <w:rFonts w:hint="eastAsia"/>
                <w:u w:val="single"/>
              </w:rPr>
            </w:pPr>
            <w:r>
              <w:rPr>
                <w:rFonts w:hint="eastAsia"/>
                <w:u w:val="single"/>
              </w:rPr>
              <w:t>3、废气排放环境影响分析</w:t>
            </w:r>
          </w:p>
          <w:p w14:paraId="2D5E0264">
            <w:pPr>
              <w:bidi w:val="0"/>
              <w:rPr>
                <w:rFonts w:hint="eastAsia"/>
                <w:u w:val="single"/>
              </w:rPr>
            </w:pPr>
            <w:r>
              <w:rPr>
                <w:rFonts w:hint="eastAsia"/>
                <w:u w:val="single"/>
              </w:rPr>
              <w:t>根据大气环境现状调查，项目周边环境保护目标较少，项目生产废气经处理达标后排放，满足</w:t>
            </w:r>
            <w:r>
              <w:rPr>
                <w:u w:val="single"/>
              </w:rPr>
              <w:t>《表面涂装（汽车制造及维修）挥发性有机物、镍排放标准》（DB43/1356-2017）表1中汽车维修浓度限值</w:t>
            </w:r>
            <w:r>
              <w:rPr>
                <w:rFonts w:hint="eastAsia"/>
                <w:u w:val="single"/>
              </w:rPr>
              <w:t>要求</w:t>
            </w:r>
            <w:r>
              <w:rPr>
                <w:rFonts w:hint="eastAsia"/>
                <w:u w:val="single"/>
                <w:lang w:eastAsia="zh-CN"/>
              </w:rPr>
              <w:t>，</w:t>
            </w:r>
            <w:r>
              <w:rPr>
                <w:rFonts w:hint="eastAsia"/>
                <w:u w:val="single"/>
              </w:rPr>
              <w:t>总体来看，废气排放对环境的影响可接受。</w:t>
            </w:r>
          </w:p>
          <w:p w14:paraId="11559E6F">
            <w:pPr>
              <w:bidi w:val="0"/>
              <w:rPr>
                <w:rFonts w:hint="default" w:eastAsia="宋体"/>
                <w:u w:val="single"/>
                <w:lang w:val="en-US" w:eastAsia="zh-CN"/>
              </w:rPr>
            </w:pPr>
            <w:r>
              <w:rPr>
                <w:rFonts w:hint="eastAsia"/>
                <w:u w:val="single"/>
              </w:rPr>
              <w:t>环保措施可行性分析：本项目</w:t>
            </w:r>
            <w:r>
              <w:rPr>
                <w:rFonts w:hint="eastAsia"/>
                <w:u w:val="single"/>
                <w:lang w:val="en-US" w:eastAsia="zh-CN"/>
              </w:rPr>
              <w:t>喷漆</w:t>
            </w:r>
            <w:r>
              <w:rPr>
                <w:rFonts w:hint="eastAsia"/>
                <w:u w:val="single"/>
              </w:rPr>
              <w:t>非甲烷总烃有气经</w:t>
            </w:r>
            <w:r>
              <w:rPr>
                <w:rFonts w:hint="eastAsia"/>
                <w:u w:val="single"/>
                <w:lang w:val="en-US" w:eastAsia="zh-CN"/>
              </w:rPr>
              <w:t>过滤棉+活性炭吸附</w:t>
            </w:r>
            <w:r>
              <w:rPr>
                <w:rFonts w:hint="eastAsia"/>
                <w:u w:val="single"/>
              </w:rPr>
              <w:t>处理后经</w:t>
            </w:r>
            <w:r>
              <w:rPr>
                <w:rFonts w:hint="eastAsia"/>
                <w:u w:val="single"/>
                <w:lang w:val="en-US" w:eastAsia="zh-CN"/>
              </w:rPr>
              <w:t>不低于15</w:t>
            </w:r>
            <w:r>
              <w:rPr>
                <w:rFonts w:hint="eastAsia"/>
                <w:u w:val="single"/>
              </w:rPr>
              <w:t>m高排气筒有组织排放，防治措施为可行技术。</w:t>
            </w:r>
            <w:r>
              <w:rPr>
                <w:rFonts w:hint="eastAsia"/>
                <w:u w:val="single"/>
                <w:lang w:val="en-US" w:eastAsia="zh-CN"/>
              </w:rPr>
              <w:t>项目现状汽车维修保养约2200辆每年，扩建后年维修保养预计达4500台，因现状喷漆房大部分时间处在闲置状态，项目配套的喷漆废气处理设施可满足扩建后维修保养规模的需要。</w:t>
            </w:r>
          </w:p>
          <w:p w14:paraId="7A970B54">
            <w:pPr>
              <w:bidi w:val="0"/>
              <w:rPr>
                <w:rFonts w:hint="eastAsia"/>
                <w:u w:val="single"/>
                <w:lang w:eastAsia="zh-CN"/>
              </w:rPr>
            </w:pPr>
            <w:r>
              <w:rPr>
                <w:rFonts w:hint="eastAsia"/>
                <w:u w:val="single"/>
                <w:lang w:eastAsia="zh-CN"/>
              </w:rPr>
              <w:t>排气筒高度合理性分析：根据</w:t>
            </w:r>
            <w:r>
              <w:rPr>
                <w:u w:val="single"/>
              </w:rPr>
              <w:t>《表面涂装（汽车制造及维修）挥发性有机物、镍排放标准》（DB43/1356-2017）</w:t>
            </w:r>
            <w:r>
              <w:rPr>
                <w:rFonts w:hint="eastAsia"/>
                <w:u w:val="single"/>
                <w:lang w:eastAsia="zh-CN"/>
              </w:rPr>
              <w:t>“</w:t>
            </w:r>
            <w:r>
              <w:rPr>
                <w:rFonts w:hint="eastAsia"/>
                <w:u w:val="single"/>
                <w:lang w:val="en-US" w:eastAsia="zh-CN"/>
              </w:rPr>
              <w:t>4.5排气筒高度要求-涉及表面涂装工序产生挥发性有机物的生产工艺和装置必须设立局部或整体气体收集系统和集中净化处理装置，并经排气筒排放。排气筒高度不应低于15m，具体高度及距周围建筑物的距离按批复的环境影响评价文件确定。</w:t>
            </w:r>
            <w:r>
              <w:rPr>
                <w:rFonts w:hint="eastAsia"/>
                <w:u w:val="single"/>
                <w:lang w:eastAsia="zh-CN"/>
              </w:rPr>
              <w:t>”本项目</w:t>
            </w:r>
            <w:r>
              <w:rPr>
                <w:rFonts w:hint="eastAsia"/>
                <w:u w:val="single"/>
                <w:lang w:val="en-US" w:eastAsia="zh-CN"/>
              </w:rPr>
              <w:t>喷漆设置在密闭喷漆房并设置了过滤棉+活性炭吸附装置处置有机废气，</w:t>
            </w:r>
            <w:r>
              <w:rPr>
                <w:rFonts w:hint="eastAsia"/>
                <w:u w:val="single"/>
                <w:lang w:eastAsia="zh-CN"/>
              </w:rPr>
              <w:t>排气筒高度设置为</w:t>
            </w:r>
            <w:r>
              <w:rPr>
                <w:rFonts w:hint="eastAsia"/>
                <w:u w:val="single"/>
                <w:lang w:val="en-US" w:eastAsia="zh-CN"/>
              </w:rPr>
              <w:t>不低于15m，满足</w:t>
            </w:r>
            <w:r>
              <w:rPr>
                <w:u w:val="single"/>
              </w:rPr>
              <w:t>《表面涂装（汽车制造及维修）挥发性有机物、镍排放标准》（DB43/1356-2017）</w:t>
            </w:r>
            <w:r>
              <w:rPr>
                <w:rFonts w:hint="eastAsia"/>
                <w:u w:val="single"/>
                <w:lang w:eastAsia="zh-CN"/>
              </w:rPr>
              <w:t>中排气筒高度要求，排气筒高度合理。</w:t>
            </w:r>
          </w:p>
          <w:p w14:paraId="62876F08">
            <w:pPr>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4、自行监测要求</w:t>
            </w:r>
          </w:p>
          <w:p w14:paraId="5A0CC427">
            <w:pPr>
              <w:bidi w:val="0"/>
              <w:rPr>
                <w:rFonts w:hint="eastAsia"/>
                <w:u w:val="single"/>
              </w:rPr>
            </w:pPr>
            <w:r>
              <w:rPr>
                <w:rFonts w:hint="eastAsia"/>
                <w:u w:val="single"/>
                <w:lang w:val="en-US" w:eastAsia="zh-CN"/>
              </w:rPr>
              <w:t>4S店项目主要产排污来源于车辆保养维修服务，</w:t>
            </w:r>
            <w:r>
              <w:rPr>
                <w:rFonts w:hint="eastAsia"/>
                <w:u w:val="single"/>
              </w:rPr>
              <w:t>废气主要污染物为非甲烷总烃</w:t>
            </w:r>
            <w:r>
              <w:rPr>
                <w:rFonts w:hint="eastAsia"/>
                <w:u w:val="single"/>
                <w:lang w:val="en-US" w:eastAsia="zh-CN"/>
              </w:rPr>
              <w:t>等有机废气及颗粒物</w:t>
            </w:r>
            <w:r>
              <w:rPr>
                <w:rFonts w:hint="eastAsia"/>
                <w:u w:val="single"/>
              </w:rPr>
              <w:t>，</w:t>
            </w:r>
            <w:r>
              <w:rPr>
                <w:rFonts w:hint="eastAsia"/>
                <w:u w:val="single"/>
                <w:lang w:val="en-US" w:eastAsia="zh-CN"/>
              </w:rPr>
              <w:t>根据《排污单</w:t>
            </w:r>
            <w:r>
              <w:rPr>
                <w:rFonts w:hint="eastAsia"/>
                <w:u w:val="single"/>
              </w:rPr>
              <w:t>位自行监测技术指南-总则》（HJ819-2017）要求，自行监测要求如下：</w:t>
            </w:r>
          </w:p>
          <w:p w14:paraId="24780AC9">
            <w:pPr>
              <w:spacing w:line="240" w:lineRule="auto"/>
              <w:ind w:firstLine="422"/>
              <w:jc w:val="center"/>
              <w:rPr>
                <w:rFonts w:hint="eastAsia"/>
                <w:b/>
                <w:color w:val="000000" w:themeColor="text1"/>
                <w:kern w:val="21"/>
                <w:sz w:val="21"/>
                <w:szCs w:val="21"/>
                <w:u w:val="single"/>
                <w14:textFill>
                  <w14:solidFill>
                    <w14:schemeClr w14:val="tx1"/>
                  </w14:solidFill>
                </w14:textFill>
              </w:rPr>
            </w:pPr>
            <w:r>
              <w:rPr>
                <w:rFonts w:hint="eastAsia"/>
                <w:b/>
                <w:color w:val="000000" w:themeColor="text1"/>
                <w:kern w:val="21"/>
                <w:sz w:val="21"/>
                <w:szCs w:val="21"/>
                <w:u w:val="single"/>
                <w14:textFill>
                  <w14:solidFill>
                    <w14:schemeClr w14:val="tx1"/>
                  </w14:solidFill>
                </w14:textFill>
              </w:rPr>
              <w:t>表4-3   废气监测要求一览表</w:t>
            </w:r>
          </w:p>
          <w:tbl>
            <w:tblPr>
              <w:tblStyle w:val="2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40"/>
              <w:gridCol w:w="1440"/>
              <w:gridCol w:w="1732"/>
              <w:gridCol w:w="818"/>
              <w:gridCol w:w="2716"/>
            </w:tblGrid>
            <w:tr w14:paraId="00D5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center"/>
                </w:tcPr>
                <w:p w14:paraId="4B3231C9">
                  <w:pPr>
                    <w:pStyle w:val="2"/>
                    <w:rPr>
                      <w:b/>
                      <w:color w:val="000000" w:themeColor="text1"/>
                      <w:kern w:val="2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监测项目</w:t>
                  </w:r>
                </w:p>
              </w:tc>
              <w:tc>
                <w:tcPr>
                  <w:tcW w:w="840" w:type="dxa"/>
                  <w:noWrap w:val="0"/>
                  <w:vAlign w:val="center"/>
                </w:tcPr>
                <w:p w14:paraId="16FAB5A3">
                  <w:pPr>
                    <w:pStyle w:val="2"/>
                    <w:rPr>
                      <w:b/>
                      <w:color w:val="000000" w:themeColor="text1"/>
                      <w:kern w:val="2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监测内容</w:t>
                  </w:r>
                </w:p>
              </w:tc>
              <w:tc>
                <w:tcPr>
                  <w:tcW w:w="1440" w:type="dxa"/>
                  <w:noWrap w:val="0"/>
                  <w:vAlign w:val="center"/>
                </w:tcPr>
                <w:p w14:paraId="32186375">
                  <w:pPr>
                    <w:pStyle w:val="2"/>
                    <w:rPr>
                      <w:b/>
                      <w:color w:val="000000" w:themeColor="text1"/>
                      <w:kern w:val="2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监测点位</w:t>
                  </w:r>
                </w:p>
              </w:tc>
              <w:tc>
                <w:tcPr>
                  <w:tcW w:w="1732" w:type="dxa"/>
                  <w:noWrap w:val="0"/>
                  <w:vAlign w:val="center"/>
                </w:tcPr>
                <w:p w14:paraId="12AA2F38">
                  <w:pPr>
                    <w:pStyle w:val="2"/>
                    <w:rPr>
                      <w:b/>
                      <w:color w:val="000000" w:themeColor="text1"/>
                      <w:kern w:val="2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监测项目</w:t>
                  </w:r>
                </w:p>
              </w:tc>
              <w:tc>
                <w:tcPr>
                  <w:tcW w:w="818" w:type="dxa"/>
                  <w:noWrap w:val="0"/>
                  <w:vAlign w:val="center"/>
                </w:tcPr>
                <w:p w14:paraId="1EA84AF0">
                  <w:pPr>
                    <w:pStyle w:val="2"/>
                    <w:rPr>
                      <w:b/>
                      <w:color w:val="000000" w:themeColor="text1"/>
                      <w:kern w:val="2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监测频次</w:t>
                  </w:r>
                </w:p>
              </w:tc>
              <w:tc>
                <w:tcPr>
                  <w:tcW w:w="2716" w:type="dxa"/>
                  <w:noWrap w:val="0"/>
                  <w:vAlign w:val="center"/>
                </w:tcPr>
                <w:p w14:paraId="36F109F6">
                  <w:pPr>
                    <w:pStyle w:val="2"/>
                    <w:rPr>
                      <w:b/>
                      <w:color w:val="000000" w:themeColor="text1"/>
                      <w:kern w:val="2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执行标准</w:t>
                  </w:r>
                </w:p>
              </w:tc>
            </w:tr>
            <w:tr w14:paraId="2FBE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733" w:type="dxa"/>
                  <w:vMerge w:val="restart"/>
                  <w:noWrap w:val="0"/>
                  <w:vAlign w:val="center"/>
                </w:tcPr>
                <w:p w14:paraId="64FAC41A">
                  <w:pPr>
                    <w:pStyle w:val="2"/>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污染源监测</w:t>
                  </w:r>
                </w:p>
              </w:tc>
              <w:tc>
                <w:tcPr>
                  <w:tcW w:w="840" w:type="dxa"/>
                  <w:vMerge w:val="restart"/>
                  <w:noWrap w:val="0"/>
                  <w:vAlign w:val="center"/>
                </w:tcPr>
                <w:p w14:paraId="404B4AF5">
                  <w:pPr>
                    <w:pStyle w:val="2"/>
                    <w:rPr>
                      <w:b/>
                      <w:color w:val="000000" w:themeColor="text1"/>
                      <w:kern w:val="2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废气</w:t>
                  </w:r>
                </w:p>
              </w:tc>
              <w:tc>
                <w:tcPr>
                  <w:tcW w:w="1440" w:type="dxa"/>
                  <w:noWrap w:val="0"/>
                  <w:vAlign w:val="center"/>
                </w:tcPr>
                <w:p w14:paraId="0393035D">
                  <w:pPr>
                    <w:spacing w:line="240" w:lineRule="auto"/>
                    <w:ind w:firstLine="0" w:firstLineChars="0"/>
                    <w:jc w:val="center"/>
                    <w:rPr>
                      <w:rFonts w:ascii="Times New Roman" w:hAnsi="Times New Roman" w:eastAsia="宋体" w:cs="Times New Roman"/>
                      <w:color w:val="000000" w:themeColor="text1"/>
                      <w:kern w:val="0"/>
                      <w:sz w:val="21"/>
                      <w:szCs w:val="21"/>
                      <w:u w:val="single"/>
                      <w14:textFill>
                        <w14:solidFill>
                          <w14:schemeClr w14:val="tx1"/>
                        </w14:solidFill>
                      </w14:textFill>
                    </w:rPr>
                  </w:pPr>
                  <w:r>
                    <w:rPr>
                      <w:rFonts w:hint="eastAsia" w:ascii="Times New Roman" w:hAnsi="Times New Roman" w:eastAsia="宋体" w:cs="Times New Roman"/>
                      <w:color w:val="000000" w:themeColor="text1"/>
                      <w:kern w:val="0"/>
                      <w:sz w:val="21"/>
                      <w:szCs w:val="21"/>
                      <w:u w:val="single"/>
                      <w:lang w:val="en-US" w:eastAsia="zh-CN"/>
                      <w14:textFill>
                        <w14:solidFill>
                          <w14:schemeClr w14:val="tx1"/>
                        </w14:solidFill>
                      </w14:textFill>
                    </w:rPr>
                    <w:t>喷漆废气</w:t>
                  </w:r>
                  <w:r>
                    <w:rPr>
                      <w:rFonts w:ascii="Times New Roman" w:hAnsi="Times New Roman" w:eastAsia="宋体" w:cs="Times New Roman"/>
                      <w:color w:val="000000" w:themeColor="text1"/>
                      <w:kern w:val="0"/>
                      <w:sz w:val="21"/>
                      <w:szCs w:val="21"/>
                      <w:u w:val="single"/>
                      <w14:textFill>
                        <w14:solidFill>
                          <w14:schemeClr w14:val="tx1"/>
                        </w14:solidFill>
                      </w14:textFill>
                    </w:rPr>
                    <w:t>排气筒（</w:t>
                  </w:r>
                  <w:r>
                    <w:rPr>
                      <w:rFonts w:hint="eastAsia" w:ascii="Times New Roman" w:hAnsi="Times New Roman" w:eastAsia="宋体" w:cs="Times New Roman"/>
                      <w:color w:val="000000" w:themeColor="text1"/>
                      <w:kern w:val="0"/>
                      <w:sz w:val="21"/>
                      <w:szCs w:val="21"/>
                      <w:u w:val="single"/>
                      <w:lang w:val="en-US" w:eastAsia="zh-CN"/>
                      <w14:textFill>
                        <w14:solidFill>
                          <w14:schemeClr w14:val="tx1"/>
                        </w14:solidFill>
                      </w14:textFill>
                    </w:rPr>
                    <w:t>DA00</w:t>
                  </w:r>
                  <w:r>
                    <w:rPr>
                      <w:rFonts w:ascii="Times New Roman" w:hAnsi="Times New Roman" w:eastAsia="宋体" w:cs="Times New Roman"/>
                      <w:color w:val="000000" w:themeColor="text1"/>
                      <w:kern w:val="0"/>
                      <w:sz w:val="21"/>
                      <w:szCs w:val="21"/>
                      <w:u w:val="single"/>
                      <w14:textFill>
                        <w14:solidFill>
                          <w14:schemeClr w14:val="tx1"/>
                        </w14:solidFill>
                      </w14:textFill>
                    </w:rPr>
                    <w:t>1）</w:t>
                  </w:r>
                </w:p>
              </w:tc>
              <w:tc>
                <w:tcPr>
                  <w:tcW w:w="1732" w:type="dxa"/>
                  <w:noWrap w:val="0"/>
                  <w:vAlign w:val="center"/>
                </w:tcPr>
                <w:p w14:paraId="23CED819">
                  <w:pPr>
                    <w:spacing w:line="240" w:lineRule="auto"/>
                    <w:ind w:firstLine="0" w:firstLineChars="0"/>
                    <w:jc w:val="center"/>
                    <w:rPr>
                      <w:rFonts w:ascii="Times New Roman" w:hAnsi="Times New Roman" w:eastAsia="宋体" w:cs="Times New Roman"/>
                      <w:color w:val="000000" w:themeColor="text1"/>
                      <w:kern w:val="0"/>
                      <w:sz w:val="21"/>
                      <w:szCs w:val="21"/>
                      <w:u w:val="single"/>
                      <w14:textFill>
                        <w14:solidFill>
                          <w14:schemeClr w14:val="tx1"/>
                        </w14:solidFill>
                      </w14:textFill>
                    </w:rPr>
                  </w:pPr>
                  <w:r>
                    <w:rPr>
                      <w:rFonts w:ascii="Times New Roman" w:hAnsi="Times New Roman" w:eastAsia="宋体" w:cs="Times New Roman"/>
                      <w:color w:val="000000" w:themeColor="text1"/>
                      <w:kern w:val="0"/>
                      <w:sz w:val="21"/>
                      <w:szCs w:val="21"/>
                      <w:u w:val="single"/>
                      <w14:textFill>
                        <w14:solidFill>
                          <w14:schemeClr w14:val="tx1"/>
                        </w14:solidFill>
                      </w14:textFill>
                    </w:rPr>
                    <w:t>非甲烷总烃、</w:t>
                  </w:r>
                  <w:r>
                    <w:rPr>
                      <w:rFonts w:hint="eastAsia" w:ascii="Times New Roman" w:hAnsi="Times New Roman" w:eastAsia="宋体" w:cs="Times New Roman"/>
                      <w:color w:val="000000" w:themeColor="text1"/>
                      <w:kern w:val="0"/>
                      <w:sz w:val="21"/>
                      <w:szCs w:val="21"/>
                      <w:u w:val="single"/>
                      <w14:textFill>
                        <w14:solidFill>
                          <w14:schemeClr w14:val="tx1"/>
                        </w14:solidFill>
                      </w14:textFill>
                    </w:rPr>
                    <w:t>苯、甲苯、二甲苯</w:t>
                  </w:r>
                </w:p>
              </w:tc>
              <w:tc>
                <w:tcPr>
                  <w:tcW w:w="818" w:type="dxa"/>
                  <w:tcBorders>
                    <w:bottom w:val="single" w:color="000000" w:sz="4" w:space="0"/>
                  </w:tcBorders>
                  <w:noWrap w:val="0"/>
                  <w:vAlign w:val="center"/>
                </w:tcPr>
                <w:p w14:paraId="4BA47E90">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kern w:val="0"/>
                      <w:sz w:val="21"/>
                      <w:szCs w:val="21"/>
                      <w:u w:val="single"/>
                      <w14:textFill>
                        <w14:solidFill>
                          <w14:schemeClr w14:val="tx1"/>
                        </w14:solidFill>
                      </w14:textFill>
                    </w:rPr>
                    <w:t>1次/年</w:t>
                  </w:r>
                </w:p>
              </w:tc>
              <w:tc>
                <w:tcPr>
                  <w:tcW w:w="2716" w:type="dxa"/>
                  <w:noWrap w:val="0"/>
                  <w:vAlign w:val="center"/>
                </w:tcPr>
                <w:p w14:paraId="4D094313">
                  <w:pPr>
                    <w:spacing w:line="240" w:lineRule="auto"/>
                    <w:ind w:firstLine="0" w:firstLineChars="0"/>
                    <w:jc w:val="center"/>
                    <w:rPr>
                      <w:rFonts w:ascii="Times New Roman" w:hAnsi="Times New Roman" w:eastAsia="宋体" w:cs="Times New Roman"/>
                      <w:color w:val="000000" w:themeColor="text1"/>
                      <w:kern w:val="0"/>
                      <w:sz w:val="21"/>
                      <w:szCs w:val="21"/>
                      <w:u w:val="single"/>
                      <w:lang w:val="en-US" w:eastAsia="zh-CN"/>
                      <w14:textFill>
                        <w14:solidFill>
                          <w14:schemeClr w14:val="tx1"/>
                        </w14:solidFill>
                      </w14:textFill>
                    </w:rPr>
                  </w:pPr>
                  <w:r>
                    <w:rPr>
                      <w:rFonts w:ascii="Times New Roman" w:hAnsi="Times New Roman" w:eastAsia="宋体" w:cs="Times New Roman"/>
                      <w:color w:val="000000" w:themeColor="text1"/>
                      <w:kern w:val="0"/>
                      <w:sz w:val="21"/>
                      <w:szCs w:val="21"/>
                      <w:u w:val="single"/>
                      <w:lang w:val="en-US" w:eastAsia="zh-CN"/>
                      <w14:textFill>
                        <w14:solidFill>
                          <w14:schemeClr w14:val="tx1"/>
                        </w14:solidFill>
                      </w14:textFill>
                    </w:rPr>
                    <w:t>《表面涂装（汽车制造及维修）挥发性有机物、镍排放标准》（DB43/1356-2017）表1中汽车维修浓度限值</w:t>
                  </w:r>
                </w:p>
              </w:tc>
            </w:tr>
            <w:tr w14:paraId="0B6F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33" w:type="dxa"/>
                  <w:vMerge w:val="continue"/>
                  <w:noWrap w:val="0"/>
                  <w:vAlign w:val="center"/>
                </w:tcPr>
                <w:p w14:paraId="732F83C5">
                  <w:pPr>
                    <w:pStyle w:val="2"/>
                    <w:rPr>
                      <w:color w:val="000000" w:themeColor="text1"/>
                      <w:sz w:val="21"/>
                      <w:szCs w:val="21"/>
                      <w:u w:val="single"/>
                      <w14:textFill>
                        <w14:solidFill>
                          <w14:schemeClr w14:val="tx1"/>
                        </w14:solidFill>
                      </w14:textFill>
                    </w:rPr>
                  </w:pPr>
                </w:p>
              </w:tc>
              <w:tc>
                <w:tcPr>
                  <w:tcW w:w="840" w:type="dxa"/>
                  <w:vMerge w:val="continue"/>
                  <w:noWrap w:val="0"/>
                  <w:vAlign w:val="center"/>
                </w:tcPr>
                <w:p w14:paraId="151C2695">
                  <w:pPr>
                    <w:pStyle w:val="2"/>
                    <w:rPr>
                      <w:color w:val="000000" w:themeColor="text1"/>
                      <w:sz w:val="21"/>
                      <w:szCs w:val="21"/>
                      <w:u w:val="single"/>
                      <w14:textFill>
                        <w14:solidFill>
                          <w14:schemeClr w14:val="tx1"/>
                        </w14:solidFill>
                      </w14:textFill>
                    </w:rPr>
                  </w:pPr>
                </w:p>
              </w:tc>
              <w:tc>
                <w:tcPr>
                  <w:tcW w:w="1440" w:type="dxa"/>
                  <w:noWrap w:val="0"/>
                  <w:vAlign w:val="center"/>
                </w:tcPr>
                <w:p w14:paraId="72FBF6EF">
                  <w:pPr>
                    <w:spacing w:line="240" w:lineRule="auto"/>
                    <w:ind w:firstLine="0" w:firstLineChars="0"/>
                    <w:jc w:val="center"/>
                    <w:rPr>
                      <w:rFonts w:ascii="Times New Roman" w:hAnsi="Times New Roman" w:eastAsia="宋体" w:cs="Times New Roman"/>
                      <w:color w:val="000000" w:themeColor="text1"/>
                      <w:kern w:val="0"/>
                      <w:sz w:val="21"/>
                      <w:szCs w:val="21"/>
                      <w:u w:val="single"/>
                      <w14:textFill>
                        <w14:solidFill>
                          <w14:schemeClr w14:val="tx1"/>
                        </w14:solidFill>
                      </w14:textFill>
                    </w:rPr>
                  </w:pPr>
                  <w:r>
                    <w:rPr>
                      <w:rFonts w:ascii="Times New Roman" w:hAnsi="Times New Roman" w:eastAsia="宋体" w:cs="Times New Roman"/>
                      <w:color w:val="000000" w:themeColor="text1"/>
                      <w:kern w:val="0"/>
                      <w:sz w:val="21"/>
                      <w:szCs w:val="21"/>
                      <w:u w:val="single"/>
                      <w14:textFill>
                        <w14:solidFill>
                          <w14:schemeClr w14:val="tx1"/>
                        </w14:solidFill>
                      </w14:textFill>
                    </w:rPr>
                    <w:t>厂界</w:t>
                  </w:r>
                  <w:r>
                    <w:rPr>
                      <w:rFonts w:hint="eastAsia" w:ascii="Times New Roman" w:hAnsi="Times New Roman" w:eastAsia="宋体" w:cs="Times New Roman"/>
                      <w:color w:val="000000" w:themeColor="text1"/>
                      <w:kern w:val="0"/>
                      <w:sz w:val="21"/>
                      <w:szCs w:val="21"/>
                      <w:u w:val="single"/>
                      <w:lang w:val="en-US" w:eastAsia="zh-CN"/>
                      <w14:textFill>
                        <w14:solidFill>
                          <w14:schemeClr w14:val="tx1"/>
                        </w14:solidFill>
                      </w14:textFill>
                    </w:rPr>
                    <w:t>下风向</w:t>
                  </w:r>
                  <w:r>
                    <w:rPr>
                      <w:rFonts w:ascii="Times New Roman" w:hAnsi="Times New Roman" w:eastAsia="宋体" w:cs="Times New Roman"/>
                      <w:color w:val="000000" w:themeColor="text1"/>
                      <w:kern w:val="0"/>
                      <w:sz w:val="21"/>
                      <w:szCs w:val="21"/>
                      <w:u w:val="single"/>
                      <w14:textFill>
                        <w14:solidFill>
                          <w14:schemeClr w14:val="tx1"/>
                        </w14:solidFill>
                      </w14:textFill>
                    </w:rPr>
                    <w:t>无组织废气</w:t>
                  </w:r>
                </w:p>
              </w:tc>
              <w:tc>
                <w:tcPr>
                  <w:tcW w:w="1732" w:type="dxa"/>
                  <w:noWrap w:val="0"/>
                  <w:vAlign w:val="center"/>
                </w:tcPr>
                <w:p w14:paraId="008FB83A">
                  <w:pPr>
                    <w:spacing w:line="240" w:lineRule="auto"/>
                    <w:ind w:firstLine="0" w:firstLineChars="0"/>
                    <w:jc w:val="center"/>
                    <w:rPr>
                      <w:rFonts w:ascii="Times New Roman" w:hAnsi="Times New Roman" w:eastAsia="宋体" w:cs="Times New Roman"/>
                      <w:color w:val="000000" w:themeColor="text1"/>
                      <w:kern w:val="0"/>
                      <w:sz w:val="21"/>
                      <w:szCs w:val="21"/>
                      <w:u w:val="single"/>
                      <w14:textFill>
                        <w14:solidFill>
                          <w14:schemeClr w14:val="tx1"/>
                        </w14:solidFill>
                      </w14:textFill>
                    </w:rPr>
                  </w:pPr>
                  <w:r>
                    <w:rPr>
                      <w:rFonts w:ascii="Times New Roman" w:hAnsi="Times New Roman" w:eastAsia="宋体" w:cs="Times New Roman"/>
                      <w:color w:val="000000" w:themeColor="text1"/>
                      <w:kern w:val="0"/>
                      <w:sz w:val="21"/>
                      <w:szCs w:val="21"/>
                      <w:u w:val="single"/>
                      <w14:textFill>
                        <w14:solidFill>
                          <w14:schemeClr w14:val="tx1"/>
                        </w14:solidFill>
                      </w14:textFill>
                    </w:rPr>
                    <w:t>颗粒物、非甲烷总烃、</w:t>
                  </w:r>
                  <w:r>
                    <w:rPr>
                      <w:rFonts w:hint="eastAsia" w:ascii="Times New Roman" w:hAnsi="Times New Roman" w:eastAsia="宋体" w:cs="Times New Roman"/>
                      <w:color w:val="000000" w:themeColor="text1"/>
                      <w:kern w:val="0"/>
                      <w:sz w:val="21"/>
                      <w:szCs w:val="21"/>
                      <w:u w:val="single"/>
                      <w14:textFill>
                        <w14:solidFill>
                          <w14:schemeClr w14:val="tx1"/>
                        </w14:solidFill>
                      </w14:textFill>
                    </w:rPr>
                    <w:t>苯、甲苯、二甲苯</w:t>
                  </w:r>
                </w:p>
              </w:tc>
              <w:tc>
                <w:tcPr>
                  <w:tcW w:w="818" w:type="dxa"/>
                  <w:tcBorders>
                    <w:top w:val="single" w:color="000000" w:sz="4" w:space="0"/>
                  </w:tcBorders>
                  <w:noWrap w:val="0"/>
                  <w:vAlign w:val="center"/>
                </w:tcPr>
                <w:p w14:paraId="2B623374">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kern w:val="0"/>
                      <w:sz w:val="21"/>
                      <w:szCs w:val="21"/>
                      <w:u w:val="single"/>
                      <w14:textFill>
                        <w14:solidFill>
                          <w14:schemeClr w14:val="tx1"/>
                        </w14:solidFill>
                      </w14:textFill>
                    </w:rPr>
                    <w:t>1次/年</w:t>
                  </w:r>
                </w:p>
              </w:tc>
              <w:tc>
                <w:tcPr>
                  <w:tcW w:w="2716" w:type="dxa"/>
                  <w:tcBorders>
                    <w:top w:val="single" w:color="000000" w:sz="4" w:space="0"/>
                  </w:tcBorders>
                  <w:noWrap w:val="0"/>
                  <w:vAlign w:val="center"/>
                </w:tcPr>
                <w:p w14:paraId="2F4175F4">
                  <w:pPr>
                    <w:spacing w:line="240" w:lineRule="auto"/>
                    <w:ind w:firstLine="0" w:firstLineChars="0"/>
                    <w:jc w:val="center"/>
                    <w:rPr>
                      <w:rFonts w:ascii="Times New Roman" w:hAnsi="Times New Roman" w:eastAsia="宋体" w:cs="Times New Roman"/>
                      <w:color w:val="000000" w:themeColor="text1"/>
                      <w:kern w:val="0"/>
                      <w:sz w:val="21"/>
                      <w:szCs w:val="21"/>
                      <w:u w:val="single"/>
                      <w:lang w:val="en-US" w:eastAsia="zh-CN"/>
                      <w14:textFill>
                        <w14:solidFill>
                          <w14:schemeClr w14:val="tx1"/>
                        </w14:solidFill>
                      </w14:textFill>
                    </w:rPr>
                  </w:pPr>
                  <w:r>
                    <w:rPr>
                      <w:rFonts w:ascii="Times New Roman" w:hAnsi="Times New Roman" w:eastAsia="宋体" w:cs="Times New Roman"/>
                      <w:color w:val="000000" w:themeColor="text1"/>
                      <w:kern w:val="0"/>
                      <w:sz w:val="21"/>
                      <w:szCs w:val="21"/>
                      <w:u w:val="singl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u w:val="single"/>
                      <w:lang w:val="en-US" w:eastAsia="zh-CN"/>
                      <w14:textFill>
                        <w14:solidFill>
                          <w14:schemeClr w14:val="tx1"/>
                        </w14:solidFill>
                      </w14:textFill>
                    </w:rPr>
                    <w:t>大气</w:t>
                  </w:r>
                  <w:r>
                    <w:rPr>
                      <w:rFonts w:ascii="Times New Roman" w:hAnsi="Times New Roman" w:eastAsia="宋体" w:cs="Times New Roman"/>
                      <w:color w:val="000000" w:themeColor="text1"/>
                      <w:kern w:val="0"/>
                      <w:sz w:val="21"/>
                      <w:szCs w:val="21"/>
                      <w:u w:val="single"/>
                      <w:lang w:val="en-US" w:eastAsia="zh-CN"/>
                      <w14:textFill>
                        <w14:solidFill>
                          <w14:schemeClr w14:val="tx1"/>
                        </w14:solidFill>
                      </w14:textFill>
                    </w:rPr>
                    <w:t>污染物排放标准》</w:t>
                  </w:r>
                  <w:r>
                    <w:rPr>
                      <w:rFonts w:ascii="Times New Roman" w:hAnsi="Times New Roman" w:eastAsia="宋体" w:cs="Times New Roman"/>
                      <w:color w:val="000000" w:themeColor="text1"/>
                      <w:kern w:val="0"/>
                      <w:sz w:val="21"/>
                      <w:szCs w:val="21"/>
                      <w:u w:val="single"/>
                      <w14:textFill>
                        <w14:solidFill>
                          <w14:schemeClr w14:val="tx1"/>
                        </w14:solidFill>
                      </w14:textFill>
                    </w:rPr>
                    <w:t>（GB16297-1996）中无组织排放监控浓度限值</w:t>
                  </w:r>
                </w:p>
              </w:tc>
            </w:tr>
          </w:tbl>
          <w:p w14:paraId="14B3D78C">
            <w:pPr>
              <w:ind w:firstLine="482"/>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（二）运营期水环境影响和保护措施</w:t>
            </w:r>
          </w:p>
          <w:p w14:paraId="12397B58">
            <w:pPr>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本项目废水主要为</w:t>
            </w:r>
            <w:r>
              <w:rPr>
                <w:rFonts w:hint="eastAsia"/>
                <w:color w:val="000000" w:themeColor="text1"/>
                <w:u w:val="single"/>
                <w:lang w:val="en-US" w:eastAsia="zh-CN"/>
                <w14:textFill>
                  <w14:solidFill>
                    <w14:schemeClr w14:val="tx1"/>
                  </w14:solidFill>
                </w14:textFill>
              </w:rPr>
              <w:t>洗车废水</w:t>
            </w:r>
            <w:r>
              <w:rPr>
                <w:rFonts w:hint="eastAsia"/>
                <w:color w:val="000000" w:themeColor="text1"/>
                <w:u w:val="single"/>
                <w14:textFill>
                  <w14:solidFill>
                    <w14:schemeClr w14:val="tx1"/>
                  </w14:solidFill>
                </w14:textFill>
              </w:rPr>
              <w:t>和生活污水。</w:t>
            </w:r>
          </w:p>
          <w:p w14:paraId="0EB7483A">
            <w:pPr>
              <w:bidi w:val="0"/>
              <w:rPr>
                <w:rFonts w:hint="eastAsia"/>
                <w:u w:val="single"/>
              </w:rPr>
            </w:pPr>
            <w:r>
              <w:rPr>
                <w:rFonts w:hint="eastAsia"/>
                <w:u w:val="single"/>
              </w:rPr>
              <w:t>1、废水源强分析</w:t>
            </w:r>
          </w:p>
          <w:p w14:paraId="00E41C7F">
            <w:pPr>
              <w:bidi w:val="0"/>
              <w:rPr>
                <w:rFonts w:hint="eastAsia"/>
                <w:u w:val="single"/>
              </w:rPr>
            </w:pPr>
            <w:r>
              <w:rPr>
                <w:rFonts w:hint="eastAsia"/>
                <w:u w:val="single"/>
              </w:rPr>
              <w:t>（1）生活用水</w:t>
            </w:r>
          </w:p>
          <w:p w14:paraId="1F83DCC6">
            <w:pPr>
              <w:ind w:firstLine="480"/>
              <w:rPr>
                <w:rFonts w:hint="eastAsia"/>
                <w:color w:val="000000" w:themeColor="text1"/>
                <w:u w:val="single"/>
                <w14:textFill>
                  <w14:solidFill>
                    <w14:schemeClr w14:val="tx1"/>
                  </w14:solidFill>
                </w14:textFill>
              </w:rPr>
            </w:pPr>
            <w:r>
              <w:rPr>
                <w:rFonts w:hint="eastAsia"/>
                <w:u w:val="single"/>
              </w:rPr>
              <w:t>本项目厂区员工人数为</w:t>
            </w:r>
            <w:r>
              <w:rPr>
                <w:rFonts w:hint="eastAsia"/>
                <w:u w:val="single"/>
                <w:lang w:val="en-US" w:eastAsia="zh-CN"/>
              </w:rPr>
              <w:t>4</w:t>
            </w:r>
            <w:r>
              <w:rPr>
                <w:rFonts w:hint="eastAsia"/>
                <w:u w:val="single"/>
              </w:rPr>
              <w:t>0人，年工作30</w:t>
            </w:r>
            <w:r>
              <w:rPr>
                <w:rFonts w:hint="eastAsia"/>
                <w:u w:val="single"/>
                <w:lang w:val="en-US" w:eastAsia="zh-CN"/>
              </w:rPr>
              <w:t>6</w:t>
            </w:r>
            <w:r>
              <w:rPr>
                <w:rFonts w:hint="eastAsia"/>
                <w:u w:val="single"/>
              </w:rPr>
              <w:t>天，</w:t>
            </w:r>
            <w:r>
              <w:rPr>
                <w:rFonts w:hint="eastAsia"/>
                <w:u w:val="single"/>
                <w:lang w:val="en-US" w:eastAsia="zh-CN"/>
              </w:rPr>
              <w:t>每天接待客人约30人次，</w:t>
            </w:r>
            <w:r>
              <w:rPr>
                <w:rFonts w:hint="eastAsia" w:ascii="宋体" w:hAnsi="宋体" w:eastAsia="宋体" w:cs="宋体"/>
                <w:bCs/>
                <w:color w:val="auto"/>
                <w:sz w:val="24"/>
                <w:highlight w:val="none"/>
                <w:u w:val="single"/>
                <w:lang w:val="en-US" w:eastAsia="zh-CN"/>
              </w:rPr>
              <w:t>生活用水</w:t>
            </w:r>
            <w:r>
              <w:rPr>
                <w:rFonts w:hint="eastAsia"/>
                <w:color w:val="000000" w:themeColor="text1"/>
                <w:u w:val="single"/>
                <w14:textFill>
                  <w14:solidFill>
                    <w14:schemeClr w14:val="tx1"/>
                  </w14:solidFill>
                </w14:textFill>
              </w:rPr>
              <w:t>以45L/d•人计，则生活用水量为</w:t>
            </w:r>
            <w:r>
              <w:rPr>
                <w:rFonts w:hint="eastAsia"/>
                <w:color w:val="000000" w:themeColor="text1"/>
                <w:u w:val="single"/>
                <w:lang w:val="en-US" w:eastAsia="zh-CN"/>
                <w14:textFill>
                  <w14:solidFill>
                    <w14:schemeClr w14:val="tx1"/>
                  </w14:solidFill>
                </w14:textFill>
              </w:rPr>
              <w:t>963.9</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/a（</w:t>
            </w:r>
            <w:r>
              <w:rPr>
                <w:rFonts w:hint="eastAsia"/>
                <w:color w:val="000000" w:themeColor="text1"/>
                <w:u w:val="single"/>
                <w:lang w:val="en-US" w:eastAsia="zh-CN"/>
                <w14:textFill>
                  <w14:solidFill>
                    <w14:schemeClr w14:val="tx1"/>
                  </w14:solidFill>
                </w14:textFill>
              </w:rPr>
              <w:t>3.15</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/d），排水量按用水量的85%计，则本项目排水量为</w:t>
            </w:r>
            <w:r>
              <w:rPr>
                <w:rFonts w:hint="eastAsia"/>
                <w:color w:val="000000" w:themeColor="text1"/>
                <w:u w:val="single"/>
                <w:lang w:val="en-US" w:eastAsia="zh-CN"/>
                <w14:textFill>
                  <w14:solidFill>
                    <w14:schemeClr w14:val="tx1"/>
                  </w14:solidFill>
                </w14:textFill>
              </w:rPr>
              <w:t>819.3</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/a（</w:t>
            </w:r>
            <w:r>
              <w:rPr>
                <w:rFonts w:hint="eastAsia"/>
                <w:color w:val="000000" w:themeColor="text1"/>
                <w:u w:val="single"/>
                <w:lang w:val="en-US" w:eastAsia="zh-CN"/>
                <w14:textFill>
                  <w14:solidFill>
                    <w14:schemeClr w14:val="tx1"/>
                  </w14:solidFill>
                </w14:textFill>
              </w:rPr>
              <w:t>2.68</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/d），主要污染物为CODcr、BOD</w:t>
            </w:r>
            <w:r>
              <w:rPr>
                <w:rFonts w:hint="eastAsia"/>
                <w:color w:val="000000" w:themeColor="text1"/>
                <w:u w:val="single"/>
                <w:vertAlign w:val="subscript"/>
                <w14:textFill>
                  <w14:solidFill>
                    <w14:schemeClr w14:val="tx1"/>
                  </w14:solidFill>
                </w14:textFill>
              </w:rPr>
              <w:t>5</w:t>
            </w:r>
            <w:r>
              <w:rPr>
                <w:rFonts w:hint="eastAsia"/>
                <w:color w:val="000000" w:themeColor="text1"/>
                <w:u w:val="single"/>
                <w14:textFill>
                  <w14:solidFill>
                    <w14:schemeClr w14:val="tx1"/>
                  </w14:solidFill>
                </w14:textFill>
              </w:rPr>
              <w:t>、SS、氨氮等。</w:t>
            </w:r>
          </w:p>
          <w:p w14:paraId="5FE55A16">
            <w:pPr>
              <w:ind w:firstLine="480"/>
              <w:rPr>
                <w:rFonts w:hint="default"/>
                <w:color w:val="000000" w:themeColor="text1"/>
                <w:u w:val="single"/>
                <w:lang w:val="en-US" w:eastAsia="zh-CN"/>
                <w14:textFill>
                  <w14:solidFill>
                    <w14:schemeClr w14:val="tx1"/>
                  </w14:solidFill>
                </w14:textFill>
              </w:rPr>
            </w:pP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2</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洗车废水</w:t>
            </w:r>
          </w:p>
          <w:p w14:paraId="398E726B">
            <w:pPr>
              <w:bidi w:val="0"/>
              <w:rPr>
                <w:rFonts w:hint="eastAsia"/>
                <w:u w:val="single"/>
                <w:lang w:eastAsia="zh-CN"/>
              </w:rPr>
            </w:pPr>
            <w:r>
              <w:rPr>
                <w:rFonts w:hint="eastAsia"/>
                <w:u w:val="single"/>
                <w:lang w:val="en-US" w:eastAsia="zh-CN"/>
              </w:rPr>
              <w:t>项目预计年销售新车500辆，维修保养车辆3500辆</w:t>
            </w:r>
            <w:r>
              <w:rPr>
                <w:rFonts w:hint="eastAsia"/>
                <w:u w:val="single"/>
                <w:lang w:eastAsia="zh-CN"/>
              </w:rPr>
              <w:t>，</w:t>
            </w:r>
            <w:r>
              <w:rPr>
                <w:rFonts w:hint="eastAsia"/>
                <w:u w:val="single"/>
                <w:lang w:val="en-US" w:eastAsia="zh-CN"/>
              </w:rPr>
              <w:t>新车销售和维修保养车辆均进行一次洗车，根据《湖南省地方标准用水定额》（DB43/T388-2020），洗车用水定额为0.04m</w:t>
            </w:r>
            <w:r>
              <w:rPr>
                <w:rFonts w:hint="eastAsia"/>
                <w:u w:val="single"/>
                <w:vertAlign w:val="superscript"/>
                <w:lang w:val="en-US" w:eastAsia="zh-CN"/>
              </w:rPr>
              <w:t>3</w:t>
            </w:r>
            <w:r>
              <w:rPr>
                <w:rFonts w:hint="eastAsia"/>
                <w:u w:val="single"/>
                <w:lang w:val="en-US" w:eastAsia="zh-CN"/>
              </w:rPr>
              <w:t>/车·次</w:t>
            </w:r>
            <w:r>
              <w:rPr>
                <w:rFonts w:hint="eastAsia"/>
                <w:u w:val="single"/>
                <w:lang w:eastAsia="zh-CN"/>
              </w:rPr>
              <w:t>，</w:t>
            </w:r>
            <w:r>
              <w:rPr>
                <w:rFonts w:hint="eastAsia"/>
                <w:u w:val="single"/>
                <w:lang w:val="en-US" w:eastAsia="zh-CN"/>
              </w:rPr>
              <w:t>则</w:t>
            </w:r>
            <w:r>
              <w:rPr>
                <w:rFonts w:hint="eastAsia"/>
                <w:u w:val="single"/>
                <w:lang w:eastAsia="zh-CN"/>
              </w:rPr>
              <w:t>年用水约</w:t>
            </w:r>
            <w:r>
              <w:rPr>
                <w:rFonts w:hint="eastAsia"/>
                <w:u w:val="single"/>
                <w:lang w:val="en-US" w:eastAsia="zh-CN"/>
              </w:rPr>
              <w:t>160m</w:t>
            </w:r>
            <w:r>
              <w:rPr>
                <w:rFonts w:hint="eastAsia"/>
                <w:u w:val="single"/>
                <w:vertAlign w:val="superscript"/>
                <w:lang w:val="en-US" w:eastAsia="zh-CN"/>
              </w:rPr>
              <w:t>3</w:t>
            </w:r>
            <w:r>
              <w:rPr>
                <w:rFonts w:hint="eastAsia"/>
                <w:u w:val="single"/>
                <w:lang w:val="en-US" w:eastAsia="zh-CN"/>
              </w:rPr>
              <w:t>，</w:t>
            </w:r>
            <w:r>
              <w:rPr>
                <w:rFonts w:hint="eastAsia"/>
                <w:u w:val="single"/>
                <w:lang w:eastAsia="zh-CN"/>
              </w:rPr>
              <w:t>排水约</w:t>
            </w:r>
            <w:r>
              <w:rPr>
                <w:rFonts w:hint="eastAsia"/>
                <w:u w:val="single"/>
                <w:lang w:val="en-US" w:eastAsia="zh-CN"/>
              </w:rPr>
              <w:t>85%，即136m</w:t>
            </w:r>
            <w:r>
              <w:rPr>
                <w:rFonts w:hint="eastAsia"/>
                <w:u w:val="single"/>
                <w:vertAlign w:val="superscript"/>
                <w:lang w:val="en-US" w:eastAsia="zh-CN"/>
              </w:rPr>
              <w:t>3</w:t>
            </w:r>
            <w:r>
              <w:rPr>
                <w:rFonts w:hint="eastAsia"/>
                <w:u w:val="single"/>
                <w:lang w:val="en-US" w:eastAsia="zh-CN"/>
              </w:rPr>
              <w:t>/a，</w:t>
            </w:r>
            <w:r>
              <w:rPr>
                <w:rFonts w:hint="eastAsia"/>
                <w:u w:val="single"/>
              </w:rPr>
              <w:t>清洗</w:t>
            </w:r>
            <w:r>
              <w:rPr>
                <w:rFonts w:hint="eastAsia"/>
                <w:u w:val="single"/>
                <w:lang w:eastAsia="zh-CN"/>
              </w:rPr>
              <w:t>排水</w:t>
            </w:r>
            <w:r>
              <w:rPr>
                <w:rFonts w:hint="eastAsia"/>
                <w:u w:val="single"/>
              </w:rPr>
              <w:t>主要含</w:t>
            </w:r>
            <w:r>
              <w:rPr>
                <w:rFonts w:hint="eastAsia"/>
                <w:u w:val="single"/>
                <w:lang w:val="en-US" w:eastAsia="zh-CN"/>
              </w:rPr>
              <w:t>SS</w:t>
            </w:r>
            <w:r>
              <w:rPr>
                <w:rFonts w:hint="eastAsia"/>
                <w:u w:val="single"/>
                <w:lang w:eastAsia="zh-CN"/>
              </w:rPr>
              <w:t>、</w:t>
            </w:r>
            <w:r>
              <w:rPr>
                <w:rFonts w:hint="eastAsia"/>
                <w:u w:val="single"/>
                <w:lang w:val="en-US" w:eastAsia="zh-CN"/>
              </w:rPr>
              <w:t>石油类等</w:t>
            </w:r>
            <w:r>
              <w:rPr>
                <w:rFonts w:hint="eastAsia"/>
                <w:u w:val="single"/>
                <w:lang w:eastAsia="zh-CN"/>
              </w:rPr>
              <w:t>。</w:t>
            </w:r>
          </w:p>
          <w:p w14:paraId="03DF143E">
            <w:pPr>
              <w:bidi w:val="0"/>
              <w:rPr>
                <w:rFonts w:hint="default"/>
                <w:u w:val="single"/>
                <w:lang w:val="en-US" w:eastAsia="zh-CN"/>
              </w:rPr>
            </w:pPr>
            <w:r>
              <w:rPr>
                <w:rFonts w:hint="eastAsia"/>
                <w:u w:val="single"/>
                <w:lang w:val="en-US" w:eastAsia="zh-CN"/>
              </w:rPr>
              <w:t>项目生活污水经化粪池处理，洗车废水经沉淀处理，两股废水处理汇合后经一个排污口排入市政污水管网。处理后的出水满足《汽车维修业水污染物排放标准》（GB26877-2011）表2中间接排放浓度限值，具体检测至详见表表2-4。</w:t>
            </w:r>
          </w:p>
          <w:p w14:paraId="0E7A746F">
            <w:pPr>
              <w:spacing w:line="240" w:lineRule="auto"/>
              <w:ind w:firstLine="422"/>
              <w:jc w:val="center"/>
              <w:rPr>
                <w:rFonts w:hint="eastAsia"/>
                <w:b/>
                <w:color w:val="000000" w:themeColor="text1"/>
                <w:kern w:val="21"/>
                <w:sz w:val="21"/>
                <w:szCs w:val="21"/>
                <w:u w:val="single"/>
                <w14:textFill>
                  <w14:solidFill>
                    <w14:schemeClr w14:val="tx1"/>
                  </w14:solidFill>
                </w14:textFill>
              </w:rPr>
            </w:pPr>
            <w:r>
              <w:rPr>
                <w:rFonts w:hint="eastAsia"/>
                <w:b/>
                <w:color w:val="000000" w:themeColor="text1"/>
                <w:kern w:val="21"/>
                <w:sz w:val="21"/>
                <w:szCs w:val="21"/>
                <w:u w:val="single"/>
                <w14:textFill>
                  <w14:solidFill>
                    <w14:schemeClr w14:val="tx1"/>
                  </w14:solidFill>
                </w14:textFill>
              </w:rPr>
              <w:t>表4-</w:t>
            </w:r>
            <w:r>
              <w:rPr>
                <w:rFonts w:hint="eastAsia"/>
                <w:b/>
                <w:color w:val="000000" w:themeColor="text1"/>
                <w:kern w:val="21"/>
                <w:sz w:val="21"/>
                <w:szCs w:val="21"/>
                <w:u w:val="single"/>
                <w:lang w:val="en-US" w:eastAsia="zh-CN"/>
                <w14:textFill>
                  <w14:solidFill>
                    <w14:schemeClr w14:val="tx1"/>
                  </w14:solidFill>
                </w14:textFill>
              </w:rPr>
              <w:t>4</w:t>
            </w:r>
            <w:r>
              <w:rPr>
                <w:rFonts w:hint="eastAsia"/>
                <w:b/>
                <w:color w:val="000000" w:themeColor="text1"/>
                <w:kern w:val="21"/>
                <w:sz w:val="21"/>
                <w:szCs w:val="21"/>
                <w:u w:val="single"/>
                <w14:textFill>
                  <w14:solidFill>
                    <w14:schemeClr w14:val="tx1"/>
                  </w14:solidFill>
                </w14:textFill>
              </w:rPr>
              <w:t xml:space="preserve">  废水间接排放口基本情况表</w:t>
            </w:r>
          </w:p>
          <w:tbl>
            <w:tblPr>
              <w:tblStyle w:val="2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901"/>
              <w:gridCol w:w="990"/>
              <w:gridCol w:w="704"/>
              <w:gridCol w:w="779"/>
              <w:gridCol w:w="1067"/>
              <w:gridCol w:w="803"/>
              <w:gridCol w:w="2145"/>
            </w:tblGrid>
            <w:tr w14:paraId="2684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48" w:type="pct"/>
                  <w:noWrap w:val="0"/>
                  <w:vAlign w:val="center"/>
                </w:tcPr>
                <w:p w14:paraId="35C2E8A8">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排放口编号</w:t>
                  </w:r>
                </w:p>
              </w:tc>
              <w:tc>
                <w:tcPr>
                  <w:tcW w:w="542" w:type="pct"/>
                  <w:noWrap w:val="0"/>
                  <w:vAlign w:val="center"/>
                </w:tcPr>
                <w:p w14:paraId="00B7EC33">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排放口名称</w:t>
                  </w:r>
                </w:p>
              </w:tc>
              <w:tc>
                <w:tcPr>
                  <w:tcW w:w="596" w:type="pct"/>
                  <w:noWrap w:val="0"/>
                  <w:vAlign w:val="center"/>
                </w:tcPr>
                <w:p w14:paraId="7DF9A07E">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地理坐标</w:t>
                  </w:r>
                </w:p>
              </w:tc>
              <w:tc>
                <w:tcPr>
                  <w:tcW w:w="424" w:type="pct"/>
                  <w:noWrap w:val="0"/>
                  <w:vAlign w:val="center"/>
                </w:tcPr>
                <w:p w14:paraId="06476707">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排放方式</w:t>
                  </w:r>
                </w:p>
              </w:tc>
              <w:tc>
                <w:tcPr>
                  <w:tcW w:w="469" w:type="pct"/>
                  <w:noWrap w:val="0"/>
                  <w:vAlign w:val="center"/>
                </w:tcPr>
                <w:p w14:paraId="615DAA8C">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排放规律</w:t>
                  </w:r>
                </w:p>
              </w:tc>
              <w:tc>
                <w:tcPr>
                  <w:tcW w:w="642" w:type="pct"/>
                  <w:noWrap w:val="0"/>
                  <w:vAlign w:val="center"/>
                </w:tcPr>
                <w:p w14:paraId="1DB36EB5">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排放去向</w:t>
                  </w:r>
                </w:p>
              </w:tc>
              <w:tc>
                <w:tcPr>
                  <w:tcW w:w="484" w:type="pct"/>
                  <w:noWrap w:val="0"/>
                  <w:vAlign w:val="center"/>
                </w:tcPr>
                <w:p w14:paraId="19B7E3F0">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排放口类型</w:t>
                  </w:r>
                </w:p>
              </w:tc>
              <w:tc>
                <w:tcPr>
                  <w:tcW w:w="1291" w:type="pct"/>
                  <w:noWrap w:val="0"/>
                  <w:vAlign w:val="center"/>
                </w:tcPr>
                <w:p w14:paraId="6B2A9F49">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排放标准</w:t>
                  </w:r>
                </w:p>
              </w:tc>
            </w:tr>
            <w:tr w14:paraId="198B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548" w:type="pct"/>
                  <w:noWrap w:val="0"/>
                  <w:vAlign w:val="center"/>
                </w:tcPr>
                <w:p w14:paraId="087485AB">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DW001</w:t>
                  </w:r>
                </w:p>
              </w:tc>
              <w:tc>
                <w:tcPr>
                  <w:tcW w:w="542" w:type="pct"/>
                  <w:noWrap w:val="0"/>
                  <w:vAlign w:val="center"/>
                </w:tcPr>
                <w:p w14:paraId="5CBBC7D5">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厂区总排口</w:t>
                  </w:r>
                </w:p>
              </w:tc>
              <w:tc>
                <w:tcPr>
                  <w:tcW w:w="596" w:type="pct"/>
                  <w:noWrap w:val="0"/>
                  <w:vAlign w:val="center"/>
                </w:tcPr>
                <w:p w14:paraId="6E8814B9">
                  <w:pPr>
                    <w:spacing w:line="240" w:lineRule="auto"/>
                    <w:ind w:firstLine="0" w:firstLineChars="0"/>
                    <w:jc w:val="center"/>
                    <w:rPr>
                      <w:rFonts w:hint="default" w:eastAsia="宋体"/>
                      <w:color w:val="000000" w:themeColor="text1"/>
                      <w:kern w:val="0"/>
                      <w:sz w:val="21"/>
                      <w:szCs w:val="21"/>
                      <w:u w:val="single"/>
                      <w:lang w:val="en-US" w:eastAsia="zh-CN"/>
                      <w14:textFill>
                        <w14:solidFill>
                          <w14:schemeClr w14:val="tx1"/>
                        </w14:solidFill>
                      </w14:textFill>
                    </w:rPr>
                  </w:pPr>
                  <w:r>
                    <w:rPr>
                      <w:rFonts w:hint="eastAsia"/>
                      <w:color w:val="000000" w:themeColor="text1"/>
                      <w:kern w:val="0"/>
                      <w:sz w:val="21"/>
                      <w:szCs w:val="21"/>
                      <w:u w:val="single"/>
                      <w14:textFill>
                        <w14:solidFill>
                          <w14:schemeClr w14:val="tx1"/>
                        </w14:solidFill>
                      </w14:textFill>
                    </w:rPr>
                    <w:t>E111.</w:t>
                  </w:r>
                  <w:r>
                    <w:rPr>
                      <w:rFonts w:hint="eastAsia"/>
                      <w:color w:val="000000" w:themeColor="text1"/>
                      <w:kern w:val="0"/>
                      <w:sz w:val="21"/>
                      <w:szCs w:val="21"/>
                      <w:u w:val="single"/>
                      <w:lang w:val="en-US" w:eastAsia="zh-CN"/>
                      <w14:textFill>
                        <w14:solidFill>
                          <w14:schemeClr w14:val="tx1"/>
                        </w14:solidFill>
                      </w14:textFill>
                    </w:rPr>
                    <w:t>528159</w:t>
                  </w:r>
                  <w:r>
                    <w:rPr>
                      <w:rFonts w:hint="eastAsia"/>
                      <w:color w:val="000000" w:themeColor="text1"/>
                      <w:kern w:val="0"/>
                      <w:sz w:val="21"/>
                      <w:szCs w:val="21"/>
                      <w:u w:val="single"/>
                      <w14:textFill>
                        <w14:solidFill>
                          <w14:schemeClr w14:val="tx1"/>
                        </w14:solidFill>
                      </w14:textFill>
                    </w:rPr>
                    <w:t>，N26.</w:t>
                  </w:r>
                  <w:r>
                    <w:rPr>
                      <w:rFonts w:hint="eastAsia"/>
                      <w:color w:val="000000" w:themeColor="text1"/>
                      <w:kern w:val="0"/>
                      <w:sz w:val="21"/>
                      <w:szCs w:val="21"/>
                      <w:u w:val="single"/>
                      <w:lang w:val="en-US" w:eastAsia="zh-CN"/>
                      <w14:textFill>
                        <w14:solidFill>
                          <w14:schemeClr w14:val="tx1"/>
                        </w14:solidFill>
                      </w14:textFill>
                    </w:rPr>
                    <w:t>298460</w:t>
                  </w:r>
                </w:p>
              </w:tc>
              <w:tc>
                <w:tcPr>
                  <w:tcW w:w="424" w:type="pct"/>
                  <w:noWrap w:val="0"/>
                  <w:vAlign w:val="center"/>
                </w:tcPr>
                <w:p w14:paraId="0817397F">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间接排放</w:t>
                  </w:r>
                </w:p>
              </w:tc>
              <w:tc>
                <w:tcPr>
                  <w:tcW w:w="469" w:type="pct"/>
                  <w:noWrap w:val="0"/>
                  <w:vAlign w:val="center"/>
                </w:tcPr>
                <w:p w14:paraId="19000318">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连续排放，流量稳定</w:t>
                  </w:r>
                </w:p>
              </w:tc>
              <w:tc>
                <w:tcPr>
                  <w:tcW w:w="642" w:type="pct"/>
                  <w:noWrap w:val="0"/>
                  <w:vAlign w:val="center"/>
                </w:tcPr>
                <w:p w14:paraId="6FDE42BA">
                  <w:pPr>
                    <w:spacing w:line="240" w:lineRule="auto"/>
                    <w:ind w:firstLine="0" w:firstLineChars="0"/>
                    <w:jc w:val="center"/>
                    <w:rPr>
                      <w:rFonts w:hint="default" w:eastAsia="宋体"/>
                      <w:color w:val="000000" w:themeColor="text1"/>
                      <w:kern w:val="0"/>
                      <w:sz w:val="21"/>
                      <w:szCs w:val="21"/>
                      <w:u w:val="single"/>
                      <w:lang w:val="en-US" w:eastAsia="zh-CN"/>
                      <w14:textFill>
                        <w14:solidFill>
                          <w14:schemeClr w14:val="tx1"/>
                        </w14:solidFill>
                      </w14:textFill>
                    </w:rPr>
                  </w:pPr>
                  <w:r>
                    <w:rPr>
                      <w:rFonts w:hint="eastAsia"/>
                      <w:color w:val="000000" w:themeColor="text1"/>
                      <w:kern w:val="0"/>
                      <w:sz w:val="21"/>
                      <w:szCs w:val="21"/>
                      <w:u w:val="single"/>
                      <w:lang w:val="en-US" w:eastAsia="zh-CN"/>
                      <w14:textFill>
                        <w14:solidFill>
                          <w14:schemeClr w14:val="tx1"/>
                        </w14:solidFill>
                      </w14:textFill>
                    </w:rPr>
                    <w:t>市政污水管网</w:t>
                  </w:r>
                </w:p>
              </w:tc>
              <w:tc>
                <w:tcPr>
                  <w:tcW w:w="484" w:type="pct"/>
                  <w:noWrap w:val="0"/>
                  <w:vAlign w:val="center"/>
                </w:tcPr>
                <w:p w14:paraId="165BDB74">
                  <w:pPr>
                    <w:spacing w:line="240" w:lineRule="auto"/>
                    <w:ind w:firstLine="0" w:firstLineChars="0"/>
                    <w:jc w:val="center"/>
                    <w:rPr>
                      <w:rFonts w:hint="eastAsia"/>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一般排放口</w:t>
                  </w:r>
                </w:p>
              </w:tc>
              <w:tc>
                <w:tcPr>
                  <w:tcW w:w="1291" w:type="pct"/>
                  <w:noWrap w:val="0"/>
                  <w:vAlign w:val="center"/>
                </w:tcPr>
                <w:p w14:paraId="697A68E8">
                  <w:pPr>
                    <w:spacing w:line="240" w:lineRule="auto"/>
                    <w:ind w:firstLine="0" w:firstLineChars="0"/>
                    <w:jc w:val="center"/>
                    <w:rPr>
                      <w:rFonts w:hint="default" w:eastAsia="宋体"/>
                      <w:color w:val="000000" w:themeColor="text1"/>
                      <w:kern w:val="0"/>
                      <w:sz w:val="21"/>
                      <w:szCs w:val="21"/>
                      <w:u w:val="single"/>
                      <w:lang w:val="en-US" w:eastAsia="zh-CN"/>
                      <w14:textFill>
                        <w14:solidFill>
                          <w14:schemeClr w14:val="tx1"/>
                        </w14:solidFill>
                      </w14:textFill>
                    </w:rPr>
                  </w:pPr>
                  <w:r>
                    <w:rPr>
                      <w:rFonts w:hint="eastAsia"/>
                      <w:color w:val="000000" w:themeColor="text1"/>
                      <w:kern w:val="0"/>
                      <w:sz w:val="21"/>
                      <w:szCs w:val="21"/>
                      <w:u w:val="single"/>
                      <w:lang w:val="en-US" w:eastAsia="zh-CN"/>
                      <w14:textFill>
                        <w14:solidFill>
                          <w14:schemeClr w14:val="tx1"/>
                        </w14:solidFill>
                      </w14:textFill>
                    </w:rPr>
                    <w:t>汽车维修业水污染物排放标准（GB26877-2011）表2中间接排放标准</w:t>
                  </w:r>
                </w:p>
              </w:tc>
            </w:tr>
          </w:tbl>
          <w:p w14:paraId="15ABC892">
            <w:pPr>
              <w:bidi w:val="0"/>
              <w:rPr>
                <w:rFonts w:hint="eastAsia"/>
                <w:u w:val="single"/>
              </w:rPr>
            </w:pPr>
            <w:r>
              <w:rPr>
                <w:rFonts w:hint="eastAsia"/>
                <w:u w:val="single"/>
              </w:rPr>
              <w:t>3、本项目污水进入污水处理厂可行性</w:t>
            </w:r>
          </w:p>
          <w:p w14:paraId="09279769">
            <w:pPr>
              <w:bidi w:val="0"/>
              <w:rPr>
                <w:rFonts w:hint="eastAsia"/>
                <w:u w:val="single"/>
              </w:rPr>
            </w:pPr>
            <w:r>
              <w:rPr>
                <w:rFonts w:hint="default"/>
                <w:u w:val="single"/>
              </w:rPr>
              <w:t>滨江新城水资源再生利用保护中心项目</w:t>
            </w:r>
            <w:r>
              <w:rPr>
                <w:rFonts w:hint="eastAsia"/>
                <w:u w:val="single"/>
              </w:rPr>
              <w:t>位于</w:t>
            </w:r>
            <w:r>
              <w:rPr>
                <w:rFonts w:hint="default"/>
                <w:u w:val="single"/>
              </w:rPr>
              <w:t>永州市湘江东路与李达大道交叉口东北角</w:t>
            </w:r>
            <w:r>
              <w:rPr>
                <w:rFonts w:hint="eastAsia"/>
                <w:u w:val="single"/>
              </w:rPr>
              <w:t>。</w:t>
            </w:r>
            <w:r>
              <w:rPr>
                <w:rFonts w:hint="default"/>
                <w:u w:val="single"/>
              </w:rPr>
              <w:t>纳污区面积约32.26k</w:t>
            </w:r>
            <w:r>
              <w:rPr>
                <w:rFonts w:hint="eastAsia"/>
                <w:u w:val="single"/>
                <w:lang w:eastAsia="zh-CN"/>
              </w:rPr>
              <w:t>m</w:t>
            </w:r>
            <w:r>
              <w:rPr>
                <w:rFonts w:hint="eastAsia"/>
                <w:u w:val="single"/>
                <w:vertAlign w:val="superscript"/>
                <w:lang w:eastAsia="zh-CN"/>
              </w:rPr>
              <w:t>2</w:t>
            </w:r>
            <w:r>
              <w:rPr>
                <w:rFonts w:hint="default"/>
                <w:u w:val="single"/>
              </w:rPr>
              <w:t>，西至湘江，北至城南大道，南至泉南高速，东至</w:t>
            </w:r>
            <w:r>
              <w:rPr>
                <w:rFonts w:hint="default"/>
                <w:color w:val="auto"/>
                <w:u w:val="single"/>
              </w:rPr>
              <w:t>阳明大道。</w:t>
            </w:r>
            <w:r>
              <w:rPr>
                <w:rFonts w:hint="eastAsia"/>
                <w:color w:val="auto"/>
                <w:u w:val="single"/>
                <w:lang w:val="en-US" w:eastAsia="zh-CN"/>
              </w:rPr>
              <w:t>据咨询建设单位，</w:t>
            </w:r>
            <w:r>
              <w:rPr>
                <w:rFonts w:hint="default"/>
                <w:color w:val="auto"/>
                <w:u w:val="single"/>
              </w:rPr>
              <w:t>滨江新城水资源再生利用保护中心项目</w:t>
            </w:r>
            <w:r>
              <w:rPr>
                <w:rFonts w:hint="eastAsia"/>
                <w:color w:val="auto"/>
                <w:u w:val="single"/>
              </w:rPr>
              <w:t>于20</w:t>
            </w:r>
            <w:r>
              <w:rPr>
                <w:rFonts w:hint="eastAsia"/>
                <w:color w:val="auto"/>
                <w:u w:val="single"/>
                <w:lang w:val="en-US" w:eastAsia="zh-CN"/>
              </w:rPr>
              <w:t>24</w:t>
            </w:r>
            <w:r>
              <w:rPr>
                <w:rFonts w:hint="eastAsia"/>
                <w:color w:val="auto"/>
                <w:u w:val="single"/>
              </w:rPr>
              <w:t>年</w:t>
            </w:r>
            <w:r>
              <w:rPr>
                <w:rFonts w:hint="eastAsia"/>
                <w:color w:val="auto"/>
                <w:u w:val="single"/>
                <w:lang w:val="en-US" w:eastAsia="zh-CN"/>
              </w:rPr>
              <w:t>底</w:t>
            </w:r>
            <w:r>
              <w:rPr>
                <w:rFonts w:hint="eastAsia"/>
                <w:color w:val="auto"/>
                <w:u w:val="single"/>
              </w:rPr>
              <w:t>正式投入运行，</w:t>
            </w:r>
            <w:r>
              <w:rPr>
                <w:u w:val="single"/>
              </w:rPr>
              <w:t>占地面积42000m</w:t>
            </w:r>
            <w:r>
              <w:rPr>
                <w:rFonts w:hint="eastAsia"/>
                <w:u w:val="single"/>
                <w:vertAlign w:val="superscript"/>
              </w:rPr>
              <w:t>2</w:t>
            </w:r>
            <w:r>
              <w:rPr>
                <w:rFonts w:hint="eastAsia"/>
                <w:u w:val="single"/>
              </w:rPr>
              <w:t>，采用MBR污水处理工艺，近期处理规模为5万m</w:t>
            </w:r>
            <w:r>
              <w:rPr>
                <w:rFonts w:hint="eastAsia"/>
                <w:u w:val="single"/>
                <w:vertAlign w:val="superscript"/>
              </w:rPr>
              <w:t>3</w:t>
            </w:r>
            <w:r>
              <w:rPr>
                <w:rFonts w:hint="eastAsia"/>
                <w:u w:val="single"/>
              </w:rPr>
              <w:t>/d，设备分两期安装，每期安装规模为2.5万m</w:t>
            </w:r>
            <w:r>
              <w:rPr>
                <w:rFonts w:hint="eastAsia"/>
                <w:u w:val="single"/>
                <w:vertAlign w:val="superscript"/>
              </w:rPr>
              <w:t>3</w:t>
            </w:r>
            <w:r>
              <w:rPr>
                <w:rFonts w:hint="eastAsia"/>
                <w:u w:val="single"/>
              </w:rPr>
              <w:t>/d；人工湿地公园位于新田前路与复兴岭西路交叉口西南侧，占地面积39981.9m</w:t>
            </w:r>
            <w:r>
              <w:rPr>
                <w:rFonts w:hint="eastAsia"/>
                <w:u w:val="single"/>
                <w:vertAlign w:val="superscript"/>
              </w:rPr>
              <w:t>2</w:t>
            </w:r>
            <w:r>
              <w:rPr>
                <w:rFonts w:hint="eastAsia"/>
                <w:u w:val="single"/>
              </w:rPr>
              <w:t>，近期处理规模为2.5万m</w:t>
            </w:r>
            <w:r>
              <w:rPr>
                <w:rFonts w:hint="eastAsia"/>
                <w:u w:val="single"/>
                <w:vertAlign w:val="superscript"/>
              </w:rPr>
              <w:t>3</w:t>
            </w:r>
            <w:r>
              <w:rPr>
                <w:rFonts w:hint="eastAsia"/>
                <w:u w:val="single"/>
              </w:rPr>
              <w:t>/d，远期为5万m</w:t>
            </w:r>
            <w:r>
              <w:rPr>
                <w:rFonts w:hint="eastAsia"/>
                <w:u w:val="single"/>
                <w:vertAlign w:val="superscript"/>
              </w:rPr>
              <w:t>3</w:t>
            </w:r>
            <w:r>
              <w:rPr>
                <w:rFonts w:hint="eastAsia"/>
                <w:u w:val="single"/>
              </w:rPr>
              <w:t>/d。再生水厂尾水出水水质标准为《湖南省城镇污水处理厂主要水污染物排放放标准》（DB43T 1546-2018）一级标准和《城镇污水处理厂污染物排放标准》（GB18918-2002）一级A标准。尾水达标后经过人工湿地再次净化后，排入楚江（福耳河），作为楚江（福耳河）的补水水源，楚江（福耳河）流经6000m后进入湘江</w:t>
            </w:r>
          </w:p>
          <w:p w14:paraId="7FE1BAE2">
            <w:pPr>
              <w:bidi w:val="0"/>
            </w:pPr>
            <w:r>
              <w:rPr>
                <w:u w:val="single"/>
              </w:rPr>
              <w:t>本项目</w:t>
            </w:r>
            <w:r>
              <w:rPr>
                <w:rFonts w:hint="eastAsia"/>
                <w:u w:val="single"/>
                <w:lang w:val="en-US" w:eastAsia="zh-CN"/>
              </w:rPr>
              <w:t>所在的潇湘汽车城属于滨江新城范围</w:t>
            </w:r>
            <w:r>
              <w:rPr>
                <w:u w:val="single"/>
              </w:rPr>
              <w:t>，属于</w:t>
            </w:r>
            <w:r>
              <w:rPr>
                <w:rFonts w:hint="default"/>
                <w:u w:val="single"/>
              </w:rPr>
              <w:t>滨江新城水资源再生利用保护中心项目</w:t>
            </w:r>
            <w:r>
              <w:rPr>
                <w:u w:val="single"/>
              </w:rPr>
              <w:t>纳污范围内，且项目排放的废水主要为生活污水</w:t>
            </w:r>
            <w:r>
              <w:rPr>
                <w:rFonts w:hint="eastAsia"/>
                <w:u w:val="single"/>
              </w:rPr>
              <w:t>和</w:t>
            </w:r>
            <w:r>
              <w:rPr>
                <w:rFonts w:hint="eastAsia"/>
                <w:u w:val="single"/>
                <w:lang w:val="en-US" w:eastAsia="zh-CN"/>
              </w:rPr>
              <w:t>洗车废水</w:t>
            </w:r>
            <w:r>
              <w:rPr>
                <w:rFonts w:hint="eastAsia"/>
                <w:u w:val="single"/>
              </w:rPr>
              <w:t>，</w:t>
            </w:r>
            <w:r>
              <w:rPr>
                <w:u w:val="single"/>
              </w:rPr>
              <w:t>废水水质简单，</w:t>
            </w:r>
            <w:r>
              <w:rPr>
                <w:rFonts w:hint="eastAsia"/>
                <w:u w:val="single"/>
                <w:lang w:val="en-US" w:eastAsia="zh-CN"/>
              </w:rPr>
              <w:t>废</w:t>
            </w:r>
            <w:r>
              <w:rPr>
                <w:rFonts w:hint="eastAsia"/>
                <w:u w:val="single"/>
              </w:rPr>
              <w:t>水</w:t>
            </w:r>
            <w:r>
              <w:rPr>
                <w:u w:val="single"/>
              </w:rPr>
              <w:t>量</w:t>
            </w:r>
            <w:r>
              <w:rPr>
                <w:rFonts w:hint="eastAsia"/>
                <w:u w:val="single"/>
                <w:lang w:val="en-US" w:eastAsia="zh-CN"/>
              </w:rPr>
              <w:t>预计约</w:t>
            </w:r>
            <w:r>
              <w:rPr>
                <w:u w:val="single"/>
              </w:rPr>
              <w:t>为</w:t>
            </w:r>
            <w:r>
              <w:rPr>
                <w:rFonts w:hint="eastAsia"/>
                <w:u w:val="single"/>
                <w:lang w:val="en-US" w:eastAsia="zh-CN"/>
              </w:rPr>
              <w:t>911.1</w:t>
            </w:r>
            <w:r>
              <w:rPr>
                <w:u w:val="single"/>
              </w:rPr>
              <w:t>m</w:t>
            </w:r>
            <w:r>
              <w:rPr>
                <w:u w:val="single"/>
                <w:vertAlign w:val="superscript"/>
              </w:rPr>
              <w:t>3</w:t>
            </w:r>
            <w:r>
              <w:rPr>
                <w:u w:val="single"/>
              </w:rPr>
              <w:t>/a，所占比例较小，生活废水经</w:t>
            </w:r>
            <w:r>
              <w:rPr>
                <w:rFonts w:hint="eastAsia"/>
                <w:u w:val="single"/>
              </w:rPr>
              <w:t>化粪池</w:t>
            </w:r>
            <w:r>
              <w:rPr>
                <w:u w:val="single"/>
              </w:rPr>
              <w:t>处理设施处理</w:t>
            </w:r>
            <w:r>
              <w:rPr>
                <w:rFonts w:hint="eastAsia"/>
                <w:u w:val="single"/>
                <w:lang w:eastAsia="zh-CN"/>
              </w:rPr>
              <w:t>，</w:t>
            </w:r>
            <w:r>
              <w:rPr>
                <w:rFonts w:hint="eastAsia"/>
                <w:u w:val="single"/>
                <w:lang w:val="en-US" w:eastAsia="zh-CN"/>
              </w:rPr>
              <w:t>洗车废水经沉淀池处理</w:t>
            </w:r>
            <w:r>
              <w:rPr>
                <w:u w:val="single"/>
              </w:rPr>
              <w:t>，</w:t>
            </w:r>
            <w:r>
              <w:rPr>
                <w:rFonts w:hint="eastAsia"/>
                <w:u w:val="single"/>
                <w:lang w:val="en-US" w:eastAsia="zh-CN"/>
              </w:rPr>
              <w:t>两股废水处理汇合后</w:t>
            </w:r>
            <w:r>
              <w:rPr>
                <w:u w:val="single"/>
              </w:rPr>
              <w:t>就近排市政污水管网，进入</w:t>
            </w:r>
            <w:r>
              <w:rPr>
                <w:rFonts w:hint="default"/>
                <w:u w:val="single"/>
              </w:rPr>
              <w:t>滨江新城水资源再生利用保护中心项目</w:t>
            </w:r>
            <w:r>
              <w:rPr>
                <w:u w:val="single"/>
              </w:rPr>
              <w:t>，因此本项目外排废水进入</w:t>
            </w:r>
            <w:r>
              <w:rPr>
                <w:rFonts w:hint="default"/>
                <w:u w:val="single"/>
              </w:rPr>
              <w:t>滨江新城水资源再生利用保护中心项目</w:t>
            </w:r>
            <w:r>
              <w:rPr>
                <w:u w:val="single"/>
              </w:rPr>
              <w:t>处理可行，且对</w:t>
            </w:r>
            <w:r>
              <w:rPr>
                <w:rFonts w:hint="default"/>
                <w:u w:val="single"/>
              </w:rPr>
              <w:t>滨江新城水资源再生利用保护中心项目</w:t>
            </w:r>
            <w:r>
              <w:rPr>
                <w:u w:val="single"/>
              </w:rPr>
              <w:t>的水质和水量不会产生冲击影响。</w:t>
            </w:r>
            <w:r>
              <w:rPr>
                <w:rFonts w:hint="default"/>
                <w:u w:val="single"/>
              </w:rPr>
              <w:t>滨江新城水资源再生利用保护中心项目</w:t>
            </w:r>
            <w:r>
              <w:rPr>
                <w:u w:val="single"/>
              </w:rPr>
              <w:t>是用于处理</w:t>
            </w:r>
            <w:r>
              <w:rPr>
                <w:rFonts w:hint="default"/>
                <w:u w:val="single"/>
              </w:rPr>
              <w:t>滨江新城</w:t>
            </w:r>
            <w:r>
              <w:rPr>
                <w:u w:val="single"/>
              </w:rPr>
              <w:t>，其处理工艺能有效处理本项目产生的废水。</w:t>
            </w:r>
          </w:p>
          <w:p w14:paraId="19D27DCD">
            <w:pPr>
              <w:ind w:firstLine="482"/>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（三）运营期声环境影响和保护措施</w:t>
            </w:r>
          </w:p>
          <w:p w14:paraId="256BD073">
            <w:pPr>
              <w:bidi w:val="0"/>
              <w:rPr>
                <w:rFonts w:hint="eastAsia"/>
              </w:rPr>
            </w:pPr>
            <w:r>
              <w:rPr>
                <w:rFonts w:hint="eastAsia"/>
              </w:rPr>
              <w:t>1、噪声源强分析</w:t>
            </w:r>
          </w:p>
          <w:p w14:paraId="5563EF11">
            <w:pPr>
              <w:bidi w:val="0"/>
              <w:rPr>
                <w:rFonts w:hint="eastAsia"/>
              </w:rPr>
            </w:pPr>
            <w:r>
              <w:rPr>
                <w:rFonts w:hint="eastAsia"/>
              </w:rPr>
              <w:t>本工程噪声源主要是各类机泵产生的噪声，噪声污染源源强核算结果及相关参数一览表见表4-</w:t>
            </w:r>
            <w:r>
              <w:rPr>
                <w:rFonts w:hint="eastAsia"/>
                <w:lang w:val="en-US" w:eastAsia="zh-CN"/>
              </w:rPr>
              <w:t>5</w:t>
            </w:r>
            <w:r>
              <w:rPr>
                <w:rFonts w:hint="eastAsia"/>
              </w:rPr>
              <w:t>。</w:t>
            </w:r>
          </w:p>
          <w:p w14:paraId="156379B8">
            <w:pPr>
              <w:spacing w:line="240" w:lineRule="auto"/>
              <w:ind w:firstLine="422"/>
              <w:jc w:val="center"/>
              <w:rPr>
                <w:rFonts w:hint="eastAsia" w:ascii="Times New Roman" w:hAnsi="Times New Roman" w:eastAsia="宋体" w:cs="Times New Roman"/>
                <w:b/>
                <w:color w:val="000000" w:themeColor="text1"/>
                <w:kern w:val="21"/>
                <w:sz w:val="21"/>
                <w:szCs w:val="21"/>
                <w14:textFill>
                  <w14:solidFill>
                    <w14:schemeClr w14:val="tx1"/>
                  </w14:solidFill>
                </w14:textFill>
              </w:rPr>
            </w:pPr>
            <w:r>
              <w:rPr>
                <w:rFonts w:hint="eastAsia" w:ascii="Times New Roman" w:hAnsi="Times New Roman" w:eastAsia="宋体" w:cs="Times New Roman"/>
                <w:b/>
                <w:color w:val="000000" w:themeColor="text1"/>
                <w:kern w:val="21"/>
                <w:sz w:val="21"/>
                <w:szCs w:val="21"/>
                <w14:textFill>
                  <w14:solidFill>
                    <w14:schemeClr w14:val="tx1"/>
                  </w14:solidFill>
                </w14:textFill>
              </w:rPr>
              <w:t>表4-</w:t>
            </w:r>
            <w:r>
              <w:rPr>
                <w:rFonts w:hint="eastAsia" w:ascii="Times New Roman" w:hAnsi="Times New Roman" w:eastAsia="宋体" w:cs="Times New Roman"/>
                <w:b/>
                <w:color w:val="000000" w:themeColor="text1"/>
                <w:kern w:val="21"/>
                <w:sz w:val="21"/>
                <w:szCs w:val="21"/>
                <w:lang w:val="en-US" w:eastAsia="zh-CN"/>
                <w14:textFill>
                  <w14:solidFill>
                    <w14:schemeClr w14:val="tx1"/>
                  </w14:solidFill>
                </w14:textFill>
              </w:rPr>
              <w:t>5</w:t>
            </w:r>
            <w:r>
              <w:rPr>
                <w:rFonts w:hint="eastAsia" w:ascii="Times New Roman" w:hAnsi="Times New Roman" w:eastAsia="宋体" w:cs="Times New Roman"/>
                <w:b/>
                <w:color w:val="000000" w:themeColor="text1"/>
                <w:kern w:val="21"/>
                <w:sz w:val="21"/>
                <w:szCs w:val="21"/>
                <w14:textFill>
                  <w14:solidFill>
                    <w14:schemeClr w14:val="tx1"/>
                  </w14:solidFill>
                </w14:textFill>
              </w:rPr>
              <w:t xml:space="preserve">        噪声污染源源强核算及相关要求一览表</w:t>
            </w:r>
          </w:p>
          <w:tbl>
            <w:tblPr>
              <w:tblStyle w:val="26"/>
              <w:tblW w:w="8305" w:type="dxa"/>
              <w:tblInd w:w="-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585"/>
              <w:gridCol w:w="1585"/>
              <w:gridCol w:w="1585"/>
              <w:gridCol w:w="1966"/>
            </w:tblGrid>
            <w:tr w14:paraId="661DDA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4" w:type="dxa"/>
                  <w:tcBorders>
                    <w:tl2br w:val="nil"/>
                    <w:tr2bl w:val="nil"/>
                  </w:tcBorders>
                  <w:noWrap w:val="0"/>
                  <w:vAlign w:val="center"/>
                </w:tcPr>
                <w:p w14:paraId="568EA7D6">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噪声源</w:t>
                  </w:r>
                </w:p>
              </w:tc>
              <w:tc>
                <w:tcPr>
                  <w:tcW w:w="1585" w:type="dxa"/>
                  <w:tcBorders>
                    <w:tl2br w:val="nil"/>
                    <w:tr2bl w:val="nil"/>
                  </w:tcBorders>
                  <w:noWrap w:val="0"/>
                  <w:vAlign w:val="center"/>
                </w:tcPr>
                <w:p w14:paraId="0ECFFBED">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产生强度</w:t>
                  </w:r>
                </w:p>
                <w:p w14:paraId="4630F563">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dB（A）</w:t>
                  </w:r>
                </w:p>
              </w:tc>
              <w:tc>
                <w:tcPr>
                  <w:tcW w:w="1585" w:type="dxa"/>
                  <w:tcBorders>
                    <w:tl2br w:val="nil"/>
                    <w:tr2bl w:val="nil"/>
                  </w:tcBorders>
                  <w:noWrap w:val="0"/>
                  <w:vAlign w:val="center"/>
                </w:tcPr>
                <w:p w14:paraId="34CA02BA">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降噪措施</w:t>
                  </w:r>
                </w:p>
              </w:tc>
              <w:tc>
                <w:tcPr>
                  <w:tcW w:w="1585" w:type="dxa"/>
                  <w:tcBorders>
                    <w:tl2br w:val="nil"/>
                    <w:tr2bl w:val="nil"/>
                  </w:tcBorders>
                  <w:noWrap w:val="0"/>
                  <w:vAlign w:val="center"/>
                </w:tcPr>
                <w:p w14:paraId="14D58E5D">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排放强度</w:t>
                  </w:r>
                </w:p>
                <w:p w14:paraId="58D1099F">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dB（A）</w:t>
                  </w:r>
                </w:p>
              </w:tc>
              <w:tc>
                <w:tcPr>
                  <w:tcW w:w="1966" w:type="dxa"/>
                  <w:tcBorders>
                    <w:tl2br w:val="nil"/>
                    <w:tr2bl w:val="nil"/>
                  </w:tcBorders>
                  <w:noWrap w:val="0"/>
                  <w:vAlign w:val="center"/>
                </w:tcPr>
                <w:p w14:paraId="5A92ACD2">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排放时间h</w:t>
                  </w:r>
                </w:p>
              </w:tc>
            </w:tr>
            <w:tr w14:paraId="0E497C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84" w:type="dxa"/>
                  <w:tcBorders>
                    <w:tl2br w:val="nil"/>
                    <w:tr2bl w:val="nil"/>
                  </w:tcBorders>
                  <w:noWrap w:val="0"/>
                  <w:vAlign w:val="center"/>
                </w:tcPr>
                <w:p w14:paraId="142F2555">
                  <w:pPr>
                    <w:pStyle w:val="2"/>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喷漆设备</w:t>
                  </w:r>
                </w:p>
              </w:tc>
              <w:tc>
                <w:tcPr>
                  <w:tcW w:w="1585" w:type="dxa"/>
                  <w:tcBorders>
                    <w:tl2br w:val="nil"/>
                    <w:tr2bl w:val="nil"/>
                  </w:tcBorders>
                  <w:noWrap w:val="0"/>
                  <w:vAlign w:val="center"/>
                </w:tcPr>
                <w:p w14:paraId="0BB69617">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70-85</w:t>
                  </w:r>
                </w:p>
              </w:tc>
              <w:tc>
                <w:tcPr>
                  <w:tcW w:w="1585" w:type="dxa"/>
                  <w:vMerge w:val="restart"/>
                  <w:tcBorders>
                    <w:tl2br w:val="nil"/>
                    <w:tr2bl w:val="nil"/>
                  </w:tcBorders>
                  <w:noWrap w:val="0"/>
                  <w:vAlign w:val="center"/>
                </w:tcPr>
                <w:p w14:paraId="4BB7A93D">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基础减振、泵房墙体隔声</w:t>
                  </w:r>
                </w:p>
              </w:tc>
              <w:tc>
                <w:tcPr>
                  <w:tcW w:w="1585" w:type="dxa"/>
                  <w:tcBorders>
                    <w:tl2br w:val="nil"/>
                    <w:tr2bl w:val="nil"/>
                  </w:tcBorders>
                  <w:noWrap w:val="0"/>
                  <w:vAlign w:val="center"/>
                </w:tcPr>
                <w:p w14:paraId="31C1F46D">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50-60</w:t>
                  </w:r>
                </w:p>
              </w:tc>
              <w:tc>
                <w:tcPr>
                  <w:tcW w:w="1966" w:type="dxa"/>
                  <w:tcBorders>
                    <w:tl2br w:val="nil"/>
                    <w:tr2bl w:val="nil"/>
                  </w:tcBorders>
                  <w:noWrap w:val="0"/>
                  <w:vAlign w:val="center"/>
                </w:tcPr>
                <w:p w14:paraId="235BF14D">
                  <w:pPr>
                    <w:pStyle w:val="2"/>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730</w:t>
                  </w:r>
                </w:p>
              </w:tc>
            </w:tr>
            <w:tr w14:paraId="43ECCD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0" w:type="auto"/>
                  <w:tcBorders>
                    <w:tl2br w:val="nil"/>
                    <w:tr2bl w:val="nil"/>
                  </w:tcBorders>
                  <w:noWrap w:val="0"/>
                  <w:vAlign w:val="center"/>
                </w:tcPr>
                <w:p w14:paraId="03F2965B">
                  <w:pPr>
                    <w:pStyle w:val="2"/>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尾气处理环保设施</w:t>
                  </w:r>
                </w:p>
              </w:tc>
              <w:tc>
                <w:tcPr>
                  <w:tcW w:w="0" w:type="auto"/>
                  <w:tcBorders>
                    <w:tl2br w:val="nil"/>
                    <w:tr2bl w:val="nil"/>
                  </w:tcBorders>
                  <w:noWrap w:val="0"/>
                  <w:vAlign w:val="center"/>
                </w:tcPr>
                <w:p w14:paraId="11A73D05">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70-85</w:t>
                  </w:r>
                </w:p>
              </w:tc>
              <w:tc>
                <w:tcPr>
                  <w:tcW w:w="1585" w:type="dxa"/>
                  <w:vMerge w:val="continue"/>
                  <w:tcBorders>
                    <w:tl2br w:val="nil"/>
                    <w:tr2bl w:val="nil"/>
                  </w:tcBorders>
                  <w:noWrap w:val="0"/>
                  <w:vAlign w:val="center"/>
                </w:tcPr>
                <w:p w14:paraId="7336BCEF">
                  <w:pPr>
                    <w:pStyle w:val="2"/>
                    <w:rPr>
                      <w:rFonts w:hint="eastAsia" w:ascii="Times New Roman" w:hAnsi="Times New Roman" w:eastAsia="宋体" w:cs="Times New Roman"/>
                      <w:color w:val="000000" w:themeColor="text1"/>
                      <w:sz w:val="21"/>
                      <w:szCs w:val="21"/>
                      <w14:textFill>
                        <w14:solidFill>
                          <w14:schemeClr w14:val="tx1"/>
                        </w14:solidFill>
                      </w14:textFill>
                    </w:rPr>
                  </w:pPr>
                </w:p>
              </w:tc>
              <w:tc>
                <w:tcPr>
                  <w:tcW w:w="0" w:type="auto"/>
                  <w:tcBorders>
                    <w:tl2br w:val="nil"/>
                    <w:tr2bl w:val="nil"/>
                  </w:tcBorders>
                  <w:noWrap w:val="0"/>
                  <w:vAlign w:val="center"/>
                </w:tcPr>
                <w:p w14:paraId="738269DC">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50-60</w:t>
                  </w:r>
                </w:p>
              </w:tc>
              <w:tc>
                <w:tcPr>
                  <w:tcW w:w="1966" w:type="dxa"/>
                  <w:tcBorders>
                    <w:tl2br w:val="nil"/>
                    <w:tr2bl w:val="nil"/>
                  </w:tcBorders>
                  <w:noWrap w:val="0"/>
                  <w:vAlign w:val="center"/>
                </w:tcPr>
                <w:p w14:paraId="3C303B75">
                  <w:pPr>
                    <w:pStyle w:val="2"/>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730</w:t>
                  </w:r>
                </w:p>
              </w:tc>
            </w:tr>
          </w:tbl>
          <w:p w14:paraId="2CB2555C">
            <w:pPr>
              <w:bidi w:val="0"/>
              <w:rPr>
                <w:rFonts w:hint="eastAsia"/>
              </w:rPr>
            </w:pPr>
            <w:r>
              <w:rPr>
                <w:rFonts w:hint="eastAsia"/>
                <w:lang w:val="en-US" w:eastAsia="zh-CN"/>
              </w:rPr>
              <w:t>本次首先选用低噪声设备，并加设了减振基础，现有厂房设有隔声门窗等措施。喷漆房</w:t>
            </w:r>
            <w:r>
              <w:rPr>
                <w:rFonts w:hint="eastAsia"/>
                <w:lang w:eastAsia="zh-CN"/>
              </w:rPr>
              <w:t>内设备连接采用柔性连接，采用隔振处理，建设振动的传递。</w:t>
            </w:r>
          </w:p>
          <w:p w14:paraId="0ED10768">
            <w:pPr>
              <w:bidi w:val="0"/>
            </w:pPr>
            <w:r>
              <w:rPr>
                <w:rFonts w:hint="eastAsia"/>
              </w:rPr>
              <w:t>2、</w:t>
            </w:r>
            <w:r>
              <w:t>噪声预测</w:t>
            </w:r>
          </w:p>
          <w:p w14:paraId="3EAD6872">
            <w:pPr>
              <w:bidi w:val="0"/>
              <w:rPr>
                <w:rFonts w:hint="default"/>
                <w:lang w:val="en-US" w:eastAsia="zh-CN"/>
              </w:rPr>
            </w:pPr>
            <w:r>
              <w:rPr>
                <w:rFonts w:hint="eastAsia"/>
                <w:lang w:val="en-US" w:eastAsia="zh-CN"/>
              </w:rPr>
              <w:t>本次以厂界现状噪声检测值进行评价，不再进行噪声预测。</w:t>
            </w:r>
          </w:p>
          <w:p w14:paraId="22B8CB07">
            <w:pPr>
              <w:bidi w:val="0"/>
              <w:rPr>
                <w:lang w:val="en-GB"/>
              </w:rPr>
            </w:pPr>
            <w:r>
              <w:rPr>
                <w:rFonts w:hint="eastAsia"/>
                <w:lang w:val="en-US" w:eastAsia="zh-CN"/>
              </w:rPr>
              <w:t>据现状监测结果，项目厂界噪声满足</w:t>
            </w:r>
            <w:r>
              <w:rPr>
                <w:rFonts w:hint="eastAsia"/>
              </w:rPr>
              <w:t>《工业企业厂界环境噪声排放标准》（GB12348-2008）</w:t>
            </w:r>
            <w:r>
              <w:rPr>
                <w:rFonts w:hint="eastAsia"/>
                <w:lang w:val="en-US" w:eastAsia="zh-CN"/>
              </w:rPr>
              <w:t>2</w:t>
            </w:r>
            <w:r>
              <w:rPr>
                <w:rFonts w:hint="eastAsia"/>
              </w:rPr>
              <w:t>类标准</w:t>
            </w:r>
            <w:r>
              <w:rPr>
                <w:rFonts w:hint="eastAsia"/>
                <w:lang w:eastAsia="zh-CN"/>
              </w:rPr>
              <w:t>，</w:t>
            </w:r>
            <w:r>
              <w:rPr>
                <w:rFonts w:hint="eastAsia"/>
              </w:rPr>
              <w:t>对周围声环境质量影响为可接受。</w:t>
            </w:r>
          </w:p>
          <w:p w14:paraId="0DDB25EC">
            <w:pPr>
              <w:ind w:firstLine="480"/>
              <w:rPr>
                <w:color w:val="auto"/>
                <w:lang w:val="en-GB"/>
              </w:rPr>
            </w:pPr>
            <w:r>
              <w:rPr>
                <w:rFonts w:hint="eastAsia"/>
                <w:color w:val="auto"/>
                <w:lang w:val="en-GB"/>
              </w:rPr>
              <w:t>（</w:t>
            </w:r>
            <w:r>
              <w:rPr>
                <w:rFonts w:hint="eastAsia"/>
                <w:color w:val="auto"/>
              </w:rPr>
              <w:t>3</w:t>
            </w:r>
            <w:r>
              <w:rPr>
                <w:rFonts w:hint="eastAsia"/>
                <w:color w:val="auto"/>
                <w:lang w:val="en-GB"/>
              </w:rPr>
              <w:t>）监测要求</w:t>
            </w:r>
          </w:p>
          <w:p w14:paraId="79AAD5B0">
            <w:pPr>
              <w:ind w:firstLine="480"/>
              <w:rPr>
                <w:color w:val="auto"/>
              </w:rPr>
            </w:pPr>
            <w:r>
              <w:rPr>
                <w:rFonts w:hint="eastAsia"/>
                <w:color w:val="auto"/>
              </w:rPr>
              <w:t>噪声自行监测要求如下</w:t>
            </w:r>
            <w:r>
              <w:rPr>
                <w:color w:val="auto"/>
              </w:rPr>
              <w:t>。</w:t>
            </w:r>
          </w:p>
          <w:p w14:paraId="3CF74322">
            <w:pPr>
              <w:spacing w:line="240" w:lineRule="auto"/>
              <w:ind w:firstLine="422"/>
              <w:jc w:val="center"/>
              <w:rPr>
                <w:rFonts w:hint="eastAsia"/>
                <w:b/>
                <w:bCs/>
                <w:color w:val="auto"/>
                <w:sz w:val="21"/>
                <w:szCs w:val="21"/>
              </w:rPr>
            </w:pPr>
            <w:r>
              <w:rPr>
                <w:rFonts w:hint="eastAsia"/>
                <w:b/>
                <w:bCs/>
                <w:color w:val="auto"/>
                <w:sz w:val="21"/>
                <w:szCs w:val="21"/>
              </w:rPr>
              <w:t>表4-</w:t>
            </w:r>
            <w:r>
              <w:rPr>
                <w:rFonts w:hint="eastAsia"/>
                <w:b/>
                <w:bCs/>
                <w:color w:val="auto"/>
                <w:sz w:val="21"/>
                <w:szCs w:val="21"/>
                <w:lang w:val="en-US" w:eastAsia="zh-CN"/>
              </w:rPr>
              <w:t>6</w:t>
            </w:r>
            <w:r>
              <w:rPr>
                <w:rFonts w:hint="eastAsia"/>
                <w:b/>
                <w:bCs/>
                <w:color w:val="auto"/>
                <w:sz w:val="21"/>
                <w:szCs w:val="21"/>
              </w:rPr>
              <w:t xml:space="preserve">    噪声自行监测一览表</w:t>
            </w:r>
          </w:p>
          <w:tbl>
            <w:tblPr>
              <w:tblStyle w:val="2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755"/>
              <w:gridCol w:w="1719"/>
              <w:gridCol w:w="3622"/>
            </w:tblGrid>
            <w:tr w14:paraId="301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 w:hRule="atLeast"/>
              </w:trPr>
              <w:tc>
                <w:tcPr>
                  <w:tcW w:w="1183" w:type="dxa"/>
                  <w:noWrap w:val="0"/>
                  <w:vAlign w:val="center"/>
                </w:tcPr>
                <w:p w14:paraId="7D3A18B8">
                  <w:pPr>
                    <w:pStyle w:val="4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w:t>
                  </w:r>
                </w:p>
              </w:tc>
              <w:tc>
                <w:tcPr>
                  <w:tcW w:w="1755" w:type="dxa"/>
                  <w:noWrap w:val="0"/>
                  <w:vAlign w:val="center"/>
                </w:tcPr>
                <w:p w14:paraId="050F4A1A">
                  <w:pPr>
                    <w:pStyle w:val="4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监测因子</w:t>
                  </w:r>
                </w:p>
              </w:tc>
              <w:tc>
                <w:tcPr>
                  <w:tcW w:w="1719" w:type="dxa"/>
                  <w:noWrap w:val="0"/>
                  <w:vAlign w:val="center"/>
                </w:tcPr>
                <w:p w14:paraId="6AAC4DBC">
                  <w:pPr>
                    <w:pStyle w:val="42"/>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监测频次</w:t>
                  </w:r>
                </w:p>
              </w:tc>
              <w:tc>
                <w:tcPr>
                  <w:tcW w:w="3622" w:type="dxa"/>
                  <w:noWrap w:val="0"/>
                  <w:vAlign w:val="center"/>
                </w:tcPr>
                <w:p w14:paraId="50D0F112">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执行标准</w:t>
                  </w:r>
                </w:p>
              </w:tc>
            </w:tr>
            <w:tr w14:paraId="3CEA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83" w:type="dxa"/>
                  <w:noWrap w:val="0"/>
                  <w:vAlign w:val="center"/>
                </w:tcPr>
                <w:p w14:paraId="7AACA152">
                  <w:pPr>
                    <w:pStyle w:val="4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四周厂界</w:t>
                  </w:r>
                </w:p>
              </w:tc>
              <w:tc>
                <w:tcPr>
                  <w:tcW w:w="1755" w:type="dxa"/>
                  <w:noWrap w:val="0"/>
                  <w:vAlign w:val="center"/>
                </w:tcPr>
                <w:p w14:paraId="641822BF">
                  <w:pPr>
                    <w:pStyle w:val="42"/>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等效连续A声级</w:t>
                  </w:r>
                </w:p>
              </w:tc>
              <w:tc>
                <w:tcPr>
                  <w:tcW w:w="1719" w:type="dxa"/>
                  <w:noWrap w:val="0"/>
                  <w:vAlign w:val="center"/>
                </w:tcPr>
                <w:p w14:paraId="0E36D962">
                  <w:pPr>
                    <w:pStyle w:val="4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3622" w:type="dxa"/>
                  <w:noWrap w:val="0"/>
                  <w:vAlign w:val="center"/>
                </w:tcPr>
                <w:p w14:paraId="5CA5D3ED">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《工业企业厂界噪声排放标准》（GB12348-2008）中的</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类标准</w:t>
                  </w:r>
                </w:p>
              </w:tc>
            </w:tr>
          </w:tbl>
          <w:p w14:paraId="07E862EE">
            <w:pPr>
              <w:ind w:firstLine="482"/>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（四）运营期</w:t>
            </w:r>
            <w:r>
              <w:rPr>
                <w:b/>
                <w:bCs/>
                <w:color w:val="000000" w:themeColor="text1"/>
                <w:u w:val="single"/>
                <w14:textFill>
                  <w14:solidFill>
                    <w14:schemeClr w14:val="tx1"/>
                  </w14:solidFill>
                </w14:textFill>
              </w:rPr>
              <w:t>固体废物</w:t>
            </w:r>
            <w:r>
              <w:rPr>
                <w:rFonts w:hint="eastAsia"/>
                <w:b/>
                <w:bCs/>
                <w:color w:val="000000" w:themeColor="text1"/>
                <w:u w:val="single"/>
                <w14:textFill>
                  <w14:solidFill>
                    <w14:schemeClr w14:val="tx1"/>
                  </w14:solidFill>
                </w14:textFill>
              </w:rPr>
              <w:t>环境影响和保护措施</w:t>
            </w:r>
          </w:p>
          <w:p w14:paraId="40C4B746">
            <w:pPr>
              <w:bidi w:val="0"/>
              <w:rPr>
                <w:color w:val="auto"/>
                <w:u w:val="single"/>
              </w:rPr>
            </w:pPr>
            <w:r>
              <w:rPr>
                <w:rFonts w:hint="eastAsia"/>
                <w:u w:val="single"/>
                <w:lang w:val="en-US" w:eastAsia="zh-CN"/>
              </w:rPr>
              <w:t>本项目生活垃圾设置垃圾桶集中收集后交环卫部门处置；</w:t>
            </w:r>
            <w:r>
              <w:rPr>
                <w:color w:val="auto"/>
                <w:u w:val="single"/>
              </w:rPr>
              <w:t>废机油</w:t>
            </w:r>
            <w:r>
              <w:rPr>
                <w:rFonts w:hint="eastAsia"/>
                <w:color w:val="auto"/>
                <w:u w:val="single"/>
                <w:lang w:eastAsia="zh-CN"/>
              </w:rPr>
              <w:t>、</w:t>
            </w:r>
            <w:r>
              <w:rPr>
                <w:color w:val="auto"/>
                <w:u w:val="single"/>
              </w:rPr>
              <w:t>废机油桶</w:t>
            </w:r>
            <w:r>
              <w:rPr>
                <w:rFonts w:hint="eastAsia"/>
                <w:color w:val="auto"/>
                <w:u w:val="single"/>
                <w:lang w:eastAsia="zh-CN"/>
              </w:rPr>
              <w:t>、</w:t>
            </w:r>
            <w:r>
              <w:rPr>
                <w:rFonts w:hint="eastAsia"/>
                <w:color w:val="auto"/>
                <w:u w:val="single"/>
                <w:lang w:val="en-US" w:eastAsia="zh-CN"/>
              </w:rPr>
              <w:t>机油格、</w:t>
            </w:r>
            <w:r>
              <w:rPr>
                <w:color w:val="auto"/>
                <w:u w:val="single"/>
              </w:rPr>
              <w:t>废</w:t>
            </w:r>
            <w:r>
              <w:rPr>
                <w:rFonts w:hint="eastAsia"/>
                <w:color w:val="auto"/>
                <w:u w:val="single"/>
              </w:rPr>
              <w:t>油漆</w:t>
            </w:r>
            <w:r>
              <w:rPr>
                <w:color w:val="auto"/>
                <w:u w:val="single"/>
              </w:rPr>
              <w:t>桶</w:t>
            </w:r>
            <w:r>
              <w:rPr>
                <w:rFonts w:hint="eastAsia"/>
                <w:color w:val="auto"/>
                <w:u w:val="single"/>
              </w:rPr>
              <w:t>、废</w:t>
            </w:r>
            <w:r>
              <w:rPr>
                <w:rFonts w:hint="eastAsia"/>
                <w:color w:val="auto"/>
                <w:u w:val="single"/>
                <w:lang w:eastAsia="zh-CN"/>
              </w:rPr>
              <w:t>稀释剂</w:t>
            </w:r>
            <w:r>
              <w:rPr>
                <w:rFonts w:hint="eastAsia"/>
                <w:color w:val="auto"/>
                <w:u w:val="single"/>
              </w:rPr>
              <w:t>桶</w:t>
            </w:r>
            <w:r>
              <w:rPr>
                <w:rFonts w:hint="eastAsia"/>
                <w:color w:val="auto"/>
                <w:u w:val="single"/>
                <w:lang w:eastAsia="zh-CN"/>
              </w:rPr>
              <w:t>、</w:t>
            </w:r>
            <w:r>
              <w:rPr>
                <w:rFonts w:hint="eastAsia"/>
                <w:color w:val="auto"/>
                <w:u w:val="single"/>
                <w:lang w:val="en-US" w:eastAsia="zh-CN"/>
              </w:rPr>
              <w:t>废洗枪手废溶剂</w:t>
            </w:r>
            <w:r>
              <w:rPr>
                <w:rFonts w:hint="eastAsia"/>
                <w:color w:val="auto"/>
                <w:u w:val="single"/>
                <w:lang w:eastAsia="zh-CN"/>
              </w:rPr>
              <w:t>、漆渣、</w:t>
            </w:r>
            <w:r>
              <w:rPr>
                <w:rFonts w:hint="eastAsia"/>
                <w:color w:val="auto"/>
                <w:u w:val="single"/>
                <w:lang w:val="en-US" w:eastAsia="zh-CN"/>
              </w:rPr>
              <w:t>废</w:t>
            </w:r>
            <w:r>
              <w:rPr>
                <w:color w:val="auto"/>
                <w:u w:val="single"/>
              </w:rPr>
              <w:t>含油</w:t>
            </w:r>
            <w:r>
              <w:rPr>
                <w:rFonts w:hint="eastAsia"/>
                <w:color w:val="auto"/>
                <w:u w:val="single"/>
                <w:lang w:val="en-US" w:eastAsia="zh-CN"/>
              </w:rPr>
              <w:t>手套、</w:t>
            </w:r>
            <w:r>
              <w:rPr>
                <w:color w:val="auto"/>
                <w:u w:val="single"/>
              </w:rPr>
              <w:t>抹布</w:t>
            </w:r>
            <w:r>
              <w:rPr>
                <w:rFonts w:hint="eastAsia"/>
                <w:color w:val="auto"/>
                <w:u w:val="single"/>
                <w:lang w:eastAsia="zh-CN"/>
              </w:rPr>
              <w:t>、</w:t>
            </w:r>
            <w:r>
              <w:rPr>
                <w:rFonts w:hint="eastAsia"/>
                <w:color w:val="auto"/>
                <w:u w:val="single"/>
              </w:rPr>
              <w:t>废过滤棉、废活性炭</w:t>
            </w:r>
            <w:r>
              <w:rPr>
                <w:rFonts w:hint="eastAsia"/>
                <w:color w:val="auto"/>
                <w:u w:val="single"/>
                <w:lang w:eastAsia="zh-CN"/>
              </w:rPr>
              <w:t>、</w:t>
            </w:r>
            <w:r>
              <w:rPr>
                <w:color w:val="auto"/>
                <w:u w:val="single"/>
              </w:rPr>
              <w:t>废铅蓄电池</w:t>
            </w:r>
            <w:r>
              <w:rPr>
                <w:rFonts w:hint="eastAsia"/>
                <w:color w:val="auto"/>
                <w:u w:val="single"/>
                <w:lang w:eastAsia="zh-CN"/>
              </w:rPr>
              <w:t>、</w:t>
            </w:r>
            <w:r>
              <w:rPr>
                <w:rFonts w:hint="eastAsia"/>
                <w:color w:val="auto"/>
                <w:u w:val="single"/>
                <w:lang w:val="en-US" w:eastAsia="zh-CN"/>
              </w:rPr>
              <w:t>废紫外灯管、</w:t>
            </w:r>
            <w:r>
              <w:rPr>
                <w:rFonts w:hint="eastAsia"/>
                <w:u w:val="single"/>
                <w:lang w:val="en-US" w:eastAsia="zh-CN"/>
              </w:rPr>
              <w:t>汽车尾气净化废催化剂、汽车尾气净化废催化剂等危险废物存于危废贮存库内，委托有资质单位处</w:t>
            </w:r>
            <w:r>
              <w:rPr>
                <w:rFonts w:hint="eastAsia"/>
                <w:color w:val="auto"/>
                <w:u w:val="single"/>
                <w:lang w:val="en-US" w:eastAsia="zh-CN"/>
              </w:rPr>
              <w:t>置，废旧零件外售废品回收站。</w:t>
            </w:r>
          </w:p>
          <w:p w14:paraId="63DF0DE3">
            <w:pPr>
              <w:bidi w:val="0"/>
              <w:rPr>
                <w:rFonts w:hint="eastAsia"/>
                <w:color w:val="auto"/>
                <w:u w:val="single"/>
                <w:lang w:eastAsia="zh-CN"/>
              </w:rPr>
            </w:pPr>
            <w:r>
              <w:rPr>
                <w:rFonts w:hint="eastAsia"/>
                <w:color w:val="auto"/>
                <w:u w:val="single"/>
                <w:lang w:eastAsia="zh-CN"/>
              </w:rPr>
              <w:t>（</w:t>
            </w:r>
            <w:r>
              <w:rPr>
                <w:rFonts w:hint="eastAsia"/>
                <w:color w:val="auto"/>
                <w:u w:val="single"/>
                <w:lang w:val="en-US" w:eastAsia="zh-CN"/>
              </w:rPr>
              <w:t>1</w:t>
            </w:r>
            <w:r>
              <w:rPr>
                <w:rFonts w:hint="eastAsia"/>
                <w:color w:val="auto"/>
                <w:u w:val="single"/>
                <w:lang w:eastAsia="zh-CN"/>
              </w:rPr>
              <w:t>）</w:t>
            </w:r>
            <w:r>
              <w:rPr>
                <w:color w:val="auto"/>
                <w:u w:val="single"/>
              </w:rPr>
              <w:t>废机油</w:t>
            </w:r>
          </w:p>
          <w:p w14:paraId="5F58E73F">
            <w:pPr>
              <w:bidi w:val="0"/>
              <w:rPr>
                <w:color w:val="auto"/>
                <w:u w:val="single"/>
              </w:rPr>
            </w:pPr>
            <w:r>
              <w:rPr>
                <w:rFonts w:hint="eastAsia"/>
                <w:color w:val="auto"/>
                <w:u w:val="single"/>
                <w:lang w:eastAsia="zh-CN"/>
              </w:rPr>
              <w:t>汽车保养</w:t>
            </w:r>
            <w:r>
              <w:rPr>
                <w:color w:val="auto"/>
                <w:u w:val="single"/>
              </w:rPr>
              <w:t>将产生</w:t>
            </w:r>
            <w:r>
              <w:rPr>
                <w:rFonts w:hint="eastAsia"/>
                <w:color w:val="auto"/>
                <w:u w:val="single"/>
                <w:lang w:eastAsia="zh-CN"/>
              </w:rPr>
              <w:t>更换</w:t>
            </w:r>
            <w:r>
              <w:rPr>
                <w:color w:val="auto"/>
                <w:u w:val="single"/>
              </w:rPr>
              <w:t>废机油，</w:t>
            </w:r>
            <w:r>
              <w:rPr>
                <w:rFonts w:hint="eastAsia"/>
                <w:color w:val="auto"/>
                <w:u w:val="single"/>
                <w:lang w:val="en-US" w:eastAsia="zh-CN"/>
              </w:rPr>
              <w:t>按照设计的车辆保养规模估算，</w:t>
            </w:r>
            <w:r>
              <w:rPr>
                <w:color w:val="auto"/>
                <w:u w:val="single"/>
              </w:rPr>
              <w:t>废机油产生量约为</w:t>
            </w:r>
            <w:r>
              <w:rPr>
                <w:rFonts w:hint="eastAsia"/>
                <w:color w:val="auto"/>
                <w:u w:val="single"/>
                <w:lang w:val="en-US" w:eastAsia="zh-CN"/>
              </w:rPr>
              <w:t>8</w:t>
            </w:r>
            <w:r>
              <w:rPr>
                <w:color w:val="auto"/>
                <w:u w:val="single"/>
              </w:rPr>
              <w:t>t/a，根据《国家危险废物名录》（</w:t>
            </w:r>
            <w:r>
              <w:rPr>
                <w:rFonts w:hint="eastAsia"/>
                <w:color w:val="auto"/>
                <w:u w:val="single"/>
              </w:rPr>
              <w:t>2021年版</w:t>
            </w:r>
            <w:r>
              <w:rPr>
                <w:color w:val="auto"/>
                <w:u w:val="single"/>
              </w:rPr>
              <w:t>），该废机油属于HW08废矿物油与含矿物油废物类危险废物，危险废物代码为900-249-08。</w:t>
            </w:r>
          </w:p>
          <w:p w14:paraId="188A7F23">
            <w:pPr>
              <w:bidi w:val="0"/>
              <w:rPr>
                <w:rFonts w:hint="default" w:eastAsia="宋体"/>
                <w:color w:val="auto"/>
                <w:u w:val="single"/>
                <w:lang w:val="en-US" w:eastAsia="zh-CN"/>
              </w:rPr>
            </w:pPr>
            <w:r>
              <w:rPr>
                <w:color w:val="auto"/>
                <w:u w:val="single"/>
              </w:rPr>
              <w:t>（</w:t>
            </w:r>
            <w:r>
              <w:rPr>
                <w:rFonts w:hint="eastAsia"/>
                <w:color w:val="auto"/>
                <w:u w:val="single"/>
                <w:lang w:val="en-US" w:eastAsia="zh-CN"/>
              </w:rPr>
              <w:t>2</w:t>
            </w:r>
            <w:r>
              <w:rPr>
                <w:color w:val="auto"/>
                <w:u w:val="single"/>
              </w:rPr>
              <w:t>）废机油桶</w:t>
            </w:r>
            <w:r>
              <w:rPr>
                <w:rFonts w:hint="eastAsia"/>
                <w:color w:val="auto"/>
                <w:u w:val="single"/>
                <w:lang w:eastAsia="zh-CN"/>
              </w:rPr>
              <w:t>、</w:t>
            </w:r>
            <w:r>
              <w:rPr>
                <w:rFonts w:hint="eastAsia"/>
                <w:color w:val="auto"/>
                <w:u w:val="single"/>
                <w:lang w:val="en-US" w:eastAsia="zh-CN"/>
              </w:rPr>
              <w:t>机油格（机油滤芯）</w:t>
            </w:r>
          </w:p>
          <w:p w14:paraId="504E432B">
            <w:pPr>
              <w:bidi w:val="0"/>
              <w:rPr>
                <w:color w:val="auto"/>
                <w:u w:val="single"/>
              </w:rPr>
            </w:pPr>
            <w:r>
              <w:rPr>
                <w:color w:val="auto"/>
                <w:u w:val="single"/>
              </w:rPr>
              <w:t>机油使用中会产生废</w:t>
            </w:r>
            <w:r>
              <w:rPr>
                <w:rFonts w:hint="eastAsia"/>
                <w:color w:val="auto"/>
                <w:u w:val="single"/>
                <w:lang w:val="en-US" w:eastAsia="zh-CN"/>
              </w:rPr>
              <w:t>机</w:t>
            </w:r>
            <w:r>
              <w:rPr>
                <w:color w:val="auto"/>
                <w:u w:val="single"/>
              </w:rPr>
              <w:t>油桶，</w:t>
            </w:r>
            <w:r>
              <w:rPr>
                <w:rFonts w:hint="eastAsia"/>
                <w:color w:val="auto"/>
                <w:u w:val="single"/>
                <w:lang w:val="en-US" w:eastAsia="zh-CN"/>
              </w:rPr>
              <w:t>按照设计的车辆保养规模估算，</w:t>
            </w:r>
            <w:r>
              <w:rPr>
                <w:color w:val="auto"/>
                <w:u w:val="single"/>
              </w:rPr>
              <w:t>年产生</w:t>
            </w:r>
            <w:r>
              <w:rPr>
                <w:rFonts w:hint="eastAsia"/>
                <w:color w:val="auto"/>
                <w:u w:val="single"/>
                <w:lang w:val="en-US" w:eastAsia="zh-CN"/>
              </w:rPr>
              <w:t>约2000</w:t>
            </w:r>
            <w:r>
              <w:rPr>
                <w:color w:val="auto"/>
                <w:u w:val="single"/>
              </w:rPr>
              <w:t>个废</w:t>
            </w:r>
            <w:r>
              <w:rPr>
                <w:rFonts w:hint="eastAsia"/>
                <w:color w:val="auto"/>
                <w:u w:val="single"/>
                <w:lang w:val="en-US" w:eastAsia="zh-CN"/>
              </w:rPr>
              <w:t>机</w:t>
            </w:r>
            <w:r>
              <w:rPr>
                <w:color w:val="auto"/>
                <w:u w:val="single"/>
              </w:rPr>
              <w:t>油桶</w:t>
            </w:r>
            <w:r>
              <w:rPr>
                <w:rFonts w:hint="eastAsia"/>
                <w:color w:val="auto"/>
                <w:u w:val="single"/>
              </w:rPr>
              <w:t>，</w:t>
            </w:r>
            <w:r>
              <w:rPr>
                <w:rFonts w:hint="eastAsia"/>
                <w:color w:val="auto"/>
                <w:u w:val="single"/>
                <w:lang w:val="en-US" w:eastAsia="zh-CN"/>
              </w:rPr>
              <w:t>产生约2000个废机油桶、机油格，</w:t>
            </w:r>
            <w:r>
              <w:rPr>
                <w:color w:val="auto"/>
                <w:u w:val="single"/>
              </w:rPr>
              <w:t>质量按</w:t>
            </w:r>
            <w:r>
              <w:rPr>
                <w:rFonts w:hint="eastAsia"/>
                <w:color w:val="auto"/>
                <w:u w:val="single"/>
                <w:lang w:val="en-US" w:eastAsia="zh-CN"/>
              </w:rPr>
              <w:t>0.2</w:t>
            </w:r>
            <w:r>
              <w:rPr>
                <w:color w:val="auto"/>
                <w:u w:val="single"/>
              </w:rPr>
              <w:t>kg/个计，</w:t>
            </w:r>
            <w:r>
              <w:rPr>
                <w:rFonts w:hint="eastAsia"/>
                <w:color w:val="auto"/>
                <w:u w:val="single"/>
              </w:rPr>
              <w:t>共产生废</w:t>
            </w:r>
            <w:r>
              <w:rPr>
                <w:rFonts w:hint="eastAsia"/>
                <w:color w:val="auto"/>
                <w:u w:val="single"/>
                <w:lang w:val="en-US" w:eastAsia="zh-CN"/>
              </w:rPr>
              <w:t>机</w:t>
            </w:r>
            <w:r>
              <w:rPr>
                <w:rFonts w:hint="eastAsia"/>
                <w:color w:val="auto"/>
                <w:u w:val="single"/>
              </w:rPr>
              <w:t>油桶</w:t>
            </w:r>
            <w:r>
              <w:rPr>
                <w:rFonts w:hint="eastAsia"/>
                <w:color w:val="auto"/>
                <w:u w:val="single"/>
                <w:lang w:val="en-US" w:eastAsia="zh-CN"/>
              </w:rPr>
              <w:t>0.4</w:t>
            </w:r>
            <w:r>
              <w:rPr>
                <w:rFonts w:hint="eastAsia"/>
                <w:color w:val="auto"/>
                <w:u w:val="single"/>
              </w:rPr>
              <w:t>t/a</w:t>
            </w:r>
            <w:r>
              <w:rPr>
                <w:color w:val="auto"/>
                <w:u w:val="single"/>
              </w:rPr>
              <w:t>。根据《国家危险废物名录》（</w:t>
            </w:r>
            <w:r>
              <w:rPr>
                <w:rFonts w:hint="eastAsia"/>
                <w:color w:val="auto"/>
                <w:u w:val="single"/>
              </w:rPr>
              <w:t>2021年版</w:t>
            </w:r>
            <w:r>
              <w:rPr>
                <w:color w:val="auto"/>
                <w:u w:val="single"/>
              </w:rPr>
              <w:t>），废机油桶属于HW49其他废物，危险废物代码为900-041-49。</w:t>
            </w:r>
          </w:p>
          <w:p w14:paraId="552EE9A1">
            <w:pPr>
              <w:bidi w:val="0"/>
              <w:rPr>
                <w:rFonts w:hint="eastAsia"/>
                <w:color w:val="auto"/>
                <w:u w:val="single"/>
                <w:lang w:eastAsia="zh-CN"/>
              </w:rPr>
            </w:pPr>
            <w:r>
              <w:rPr>
                <w:rFonts w:hint="eastAsia"/>
                <w:color w:val="auto"/>
                <w:u w:val="single"/>
                <w:lang w:eastAsia="zh-CN"/>
              </w:rPr>
              <w:t>（</w:t>
            </w:r>
            <w:r>
              <w:rPr>
                <w:rFonts w:hint="eastAsia"/>
                <w:color w:val="auto"/>
                <w:u w:val="single"/>
                <w:lang w:val="en-US" w:eastAsia="zh-CN"/>
              </w:rPr>
              <w:t>3</w:t>
            </w:r>
            <w:r>
              <w:rPr>
                <w:rFonts w:hint="eastAsia"/>
                <w:color w:val="auto"/>
                <w:u w:val="single"/>
                <w:lang w:eastAsia="zh-CN"/>
              </w:rPr>
              <w:t>）</w:t>
            </w:r>
            <w:r>
              <w:rPr>
                <w:color w:val="auto"/>
                <w:u w:val="single"/>
              </w:rPr>
              <w:t>废</w:t>
            </w:r>
            <w:r>
              <w:rPr>
                <w:rFonts w:hint="eastAsia"/>
                <w:color w:val="auto"/>
                <w:u w:val="single"/>
              </w:rPr>
              <w:t>油漆</w:t>
            </w:r>
            <w:r>
              <w:rPr>
                <w:color w:val="auto"/>
                <w:u w:val="single"/>
              </w:rPr>
              <w:t>桶</w:t>
            </w:r>
            <w:r>
              <w:rPr>
                <w:rFonts w:hint="eastAsia"/>
                <w:color w:val="auto"/>
                <w:u w:val="single"/>
              </w:rPr>
              <w:t>、废</w:t>
            </w:r>
            <w:r>
              <w:rPr>
                <w:rFonts w:hint="eastAsia"/>
                <w:color w:val="auto"/>
                <w:u w:val="single"/>
                <w:lang w:eastAsia="zh-CN"/>
              </w:rPr>
              <w:t>稀释剂</w:t>
            </w:r>
            <w:r>
              <w:rPr>
                <w:rFonts w:hint="eastAsia"/>
                <w:color w:val="auto"/>
                <w:u w:val="single"/>
              </w:rPr>
              <w:t>桶</w:t>
            </w:r>
          </w:p>
          <w:p w14:paraId="40BED6DC">
            <w:pPr>
              <w:bidi w:val="0"/>
              <w:rPr>
                <w:color w:val="auto"/>
                <w:u w:val="single"/>
              </w:rPr>
            </w:pPr>
            <w:r>
              <w:rPr>
                <w:rFonts w:hint="eastAsia"/>
                <w:color w:val="auto"/>
                <w:u w:val="single"/>
                <w:lang w:val="en-US" w:eastAsia="zh-CN"/>
              </w:rPr>
              <w:t>按照设计的车辆维修规模估算，</w:t>
            </w:r>
            <w:r>
              <w:rPr>
                <w:rFonts w:hint="eastAsia"/>
                <w:color w:val="auto"/>
                <w:u w:val="single"/>
              </w:rPr>
              <w:t>项目喷漆工艺年产生废油漆</w:t>
            </w:r>
            <w:r>
              <w:rPr>
                <w:rFonts w:hint="eastAsia"/>
                <w:color w:val="auto"/>
                <w:u w:val="single"/>
                <w:lang w:val="en-US" w:eastAsia="zh-CN"/>
              </w:rPr>
              <w:t>罐70</w:t>
            </w:r>
            <w:r>
              <w:rPr>
                <w:rFonts w:hint="eastAsia"/>
                <w:color w:val="auto"/>
                <w:u w:val="single"/>
              </w:rPr>
              <w:t>个，</w:t>
            </w:r>
            <w:r>
              <w:rPr>
                <w:color w:val="auto"/>
                <w:u w:val="single"/>
              </w:rPr>
              <w:t>质量按</w:t>
            </w:r>
            <w:r>
              <w:rPr>
                <w:rFonts w:hint="eastAsia"/>
                <w:color w:val="auto"/>
                <w:u w:val="single"/>
                <w:lang w:val="en-US" w:eastAsia="zh-CN"/>
              </w:rPr>
              <w:t>0.5</w:t>
            </w:r>
            <w:r>
              <w:rPr>
                <w:color w:val="auto"/>
                <w:u w:val="single"/>
              </w:rPr>
              <w:t>kg/个计，</w:t>
            </w:r>
            <w:r>
              <w:rPr>
                <w:rFonts w:hint="eastAsia"/>
                <w:color w:val="auto"/>
                <w:u w:val="single"/>
              </w:rPr>
              <w:t>产生废油漆桶</w:t>
            </w:r>
            <w:r>
              <w:rPr>
                <w:rFonts w:hint="eastAsia"/>
                <w:color w:val="auto"/>
                <w:u w:val="single"/>
                <w:lang w:val="en-US" w:eastAsia="zh-CN"/>
              </w:rPr>
              <w:t>0.35</w:t>
            </w:r>
            <w:r>
              <w:rPr>
                <w:rFonts w:hint="eastAsia"/>
                <w:color w:val="auto"/>
                <w:u w:val="single"/>
              </w:rPr>
              <w:t>t/a，废稀释剂桶</w:t>
            </w:r>
            <w:r>
              <w:rPr>
                <w:rFonts w:hint="eastAsia"/>
                <w:color w:val="auto"/>
                <w:u w:val="single"/>
                <w:lang w:val="en-US" w:eastAsia="zh-CN"/>
              </w:rPr>
              <w:t>0.015</w:t>
            </w:r>
            <w:r>
              <w:rPr>
                <w:rFonts w:hint="eastAsia"/>
                <w:color w:val="auto"/>
                <w:u w:val="single"/>
              </w:rPr>
              <w:t>t/a</w:t>
            </w:r>
            <w:r>
              <w:rPr>
                <w:color w:val="auto"/>
                <w:u w:val="single"/>
              </w:rPr>
              <w:t>。根据《国家危险废物名录》（</w:t>
            </w:r>
            <w:r>
              <w:rPr>
                <w:rFonts w:hint="eastAsia"/>
                <w:color w:val="auto"/>
                <w:u w:val="single"/>
              </w:rPr>
              <w:t>2021年版</w:t>
            </w:r>
            <w:r>
              <w:rPr>
                <w:color w:val="auto"/>
                <w:u w:val="single"/>
              </w:rPr>
              <w:t>），废机油桶、废</w:t>
            </w:r>
            <w:r>
              <w:rPr>
                <w:rFonts w:hint="eastAsia"/>
                <w:color w:val="auto"/>
                <w:u w:val="single"/>
                <w:lang w:eastAsia="zh-CN"/>
              </w:rPr>
              <w:t>稀释剂</w:t>
            </w:r>
            <w:r>
              <w:rPr>
                <w:color w:val="auto"/>
                <w:u w:val="single"/>
              </w:rPr>
              <w:t>桶属于HW49其他废物，危险废物代码为900-041-49。</w:t>
            </w:r>
          </w:p>
          <w:p w14:paraId="5C43AC7C">
            <w:pPr>
              <w:bidi w:val="0"/>
              <w:rPr>
                <w:rFonts w:hint="eastAsia"/>
                <w:color w:val="auto"/>
                <w:u w:val="single"/>
                <w:lang w:eastAsia="zh-CN"/>
              </w:rPr>
            </w:pPr>
            <w:r>
              <w:rPr>
                <w:rFonts w:hint="eastAsia"/>
                <w:color w:val="auto"/>
                <w:u w:val="single"/>
                <w:lang w:eastAsia="zh-CN"/>
              </w:rPr>
              <w:t>（</w:t>
            </w:r>
            <w:r>
              <w:rPr>
                <w:rFonts w:hint="eastAsia"/>
                <w:color w:val="auto"/>
                <w:u w:val="single"/>
                <w:lang w:val="en-US" w:eastAsia="zh-CN"/>
              </w:rPr>
              <w:t>4</w:t>
            </w:r>
            <w:r>
              <w:rPr>
                <w:rFonts w:hint="eastAsia"/>
                <w:color w:val="auto"/>
                <w:u w:val="single"/>
                <w:lang w:eastAsia="zh-CN"/>
              </w:rPr>
              <w:t>）</w:t>
            </w:r>
            <w:r>
              <w:rPr>
                <w:rFonts w:hint="eastAsia"/>
                <w:color w:val="auto"/>
                <w:u w:val="single"/>
                <w:lang w:val="en-US" w:eastAsia="zh-CN"/>
              </w:rPr>
              <w:t>废洗枪手废溶剂</w:t>
            </w:r>
            <w:r>
              <w:rPr>
                <w:rFonts w:hint="eastAsia"/>
                <w:color w:val="auto"/>
                <w:u w:val="single"/>
                <w:lang w:eastAsia="zh-CN"/>
              </w:rPr>
              <w:t>、漆渣</w:t>
            </w:r>
          </w:p>
          <w:p w14:paraId="6785DFB3">
            <w:pPr>
              <w:bidi w:val="0"/>
              <w:rPr>
                <w:rFonts w:hint="eastAsia"/>
                <w:color w:val="auto"/>
                <w:u w:val="single"/>
                <w:lang w:val="en-US" w:eastAsia="zh-CN"/>
              </w:rPr>
            </w:pPr>
            <w:r>
              <w:rPr>
                <w:rFonts w:hint="eastAsia"/>
                <w:color w:val="auto"/>
                <w:u w:val="single"/>
                <w:lang w:val="en-US" w:eastAsia="zh-CN"/>
              </w:rPr>
              <w:t>按照设计的车辆维修规模估算，喷漆过程漆面打磨、喷枪清洗产生废洗枪手废溶剂量约为0.2t/a，废打磨漆渣产生量约为 0.1t/a，根据《国家危险废物名录》（2021版），废油（漆）桶危废类别为HW49其他危险废物，代码为900-041-49。收集后交由有危废处置资质的单位进行处理。</w:t>
            </w:r>
          </w:p>
          <w:p w14:paraId="313B6F59">
            <w:pPr>
              <w:bidi w:val="0"/>
              <w:rPr>
                <w:rFonts w:hint="eastAsia" w:eastAsia="宋体"/>
                <w:color w:val="auto"/>
                <w:u w:val="single"/>
                <w:lang w:eastAsia="zh-CN"/>
              </w:rPr>
            </w:pPr>
            <w:r>
              <w:rPr>
                <w:color w:val="auto"/>
                <w:u w:val="single"/>
              </w:rPr>
              <w:t>（</w:t>
            </w:r>
            <w:r>
              <w:rPr>
                <w:rFonts w:hint="eastAsia"/>
                <w:color w:val="auto"/>
                <w:u w:val="single"/>
                <w:lang w:val="en-US" w:eastAsia="zh-CN"/>
              </w:rPr>
              <w:t>5</w:t>
            </w:r>
            <w:r>
              <w:rPr>
                <w:color w:val="auto"/>
                <w:u w:val="single"/>
              </w:rPr>
              <w:t>）</w:t>
            </w:r>
            <w:r>
              <w:rPr>
                <w:rFonts w:hint="eastAsia"/>
                <w:color w:val="auto"/>
                <w:u w:val="single"/>
                <w:lang w:val="en-US" w:eastAsia="zh-CN"/>
              </w:rPr>
              <w:t>废</w:t>
            </w:r>
            <w:r>
              <w:rPr>
                <w:color w:val="auto"/>
                <w:u w:val="single"/>
              </w:rPr>
              <w:t>含油</w:t>
            </w:r>
            <w:r>
              <w:rPr>
                <w:rFonts w:hint="eastAsia"/>
                <w:color w:val="auto"/>
                <w:u w:val="single"/>
                <w:lang w:val="en-US" w:eastAsia="zh-CN"/>
              </w:rPr>
              <w:t>手套、</w:t>
            </w:r>
            <w:r>
              <w:rPr>
                <w:color w:val="auto"/>
                <w:u w:val="single"/>
              </w:rPr>
              <w:t>抹布</w:t>
            </w:r>
          </w:p>
          <w:p w14:paraId="74D04F29">
            <w:pPr>
              <w:bidi w:val="0"/>
              <w:rPr>
                <w:color w:val="auto"/>
                <w:u w:val="single"/>
              </w:rPr>
            </w:pPr>
            <w:r>
              <w:rPr>
                <w:rFonts w:hint="eastAsia"/>
                <w:color w:val="auto"/>
                <w:u w:val="single"/>
                <w:lang w:val="en-US" w:eastAsia="zh-CN"/>
              </w:rPr>
              <w:t>按照设计的车辆维修规模估算，</w:t>
            </w:r>
            <w:r>
              <w:rPr>
                <w:rFonts w:hint="eastAsia"/>
                <w:color w:val="auto"/>
                <w:u w:val="single"/>
                <w:lang w:eastAsia="zh-CN"/>
              </w:rPr>
              <w:t>车辆维修、运行</w:t>
            </w:r>
            <w:r>
              <w:rPr>
                <w:color w:val="auto"/>
                <w:u w:val="single"/>
              </w:rPr>
              <w:t>将产生将产生</w:t>
            </w:r>
            <w:r>
              <w:rPr>
                <w:rFonts w:hint="eastAsia"/>
                <w:color w:val="auto"/>
                <w:u w:val="single"/>
                <w:lang w:val="en-US" w:eastAsia="zh-CN"/>
              </w:rPr>
              <w:t>废</w:t>
            </w:r>
            <w:r>
              <w:rPr>
                <w:color w:val="auto"/>
                <w:u w:val="single"/>
              </w:rPr>
              <w:t>含油</w:t>
            </w:r>
            <w:r>
              <w:rPr>
                <w:rFonts w:hint="eastAsia"/>
                <w:color w:val="auto"/>
                <w:u w:val="single"/>
                <w:lang w:val="en-US" w:eastAsia="zh-CN"/>
              </w:rPr>
              <w:t>手套、</w:t>
            </w:r>
            <w:r>
              <w:rPr>
                <w:color w:val="auto"/>
                <w:u w:val="single"/>
              </w:rPr>
              <w:t>抹布，产生量约为0.05t/a，根据《国家危险废物名录》（</w:t>
            </w:r>
            <w:r>
              <w:rPr>
                <w:rFonts w:hint="eastAsia"/>
                <w:color w:val="auto"/>
                <w:u w:val="single"/>
              </w:rPr>
              <w:t>2021年版</w:t>
            </w:r>
            <w:r>
              <w:rPr>
                <w:color w:val="auto"/>
                <w:u w:val="single"/>
              </w:rPr>
              <w:t>）</w:t>
            </w:r>
            <w:r>
              <w:rPr>
                <w:rFonts w:hint="eastAsia"/>
                <w:color w:val="auto"/>
                <w:u w:val="single"/>
              </w:rPr>
              <w:t>，含油抹布为含有毒性危险废物的吸附介质，属于危险废物，</w:t>
            </w:r>
            <w:r>
              <w:rPr>
                <w:color w:val="auto"/>
                <w:u w:val="single"/>
              </w:rPr>
              <w:t>危险废物</w:t>
            </w:r>
            <w:r>
              <w:rPr>
                <w:rFonts w:hint="eastAsia"/>
                <w:color w:val="auto"/>
                <w:u w:val="single"/>
              </w:rPr>
              <w:t>代码</w:t>
            </w:r>
            <w:r>
              <w:rPr>
                <w:color w:val="auto"/>
                <w:u w:val="single"/>
              </w:rPr>
              <w:t>900-041-49</w:t>
            </w:r>
            <w:r>
              <w:rPr>
                <w:rFonts w:hint="eastAsia"/>
                <w:color w:val="auto"/>
                <w:u w:val="single"/>
              </w:rPr>
              <w:t>，袋装暂存于</w:t>
            </w:r>
            <w:r>
              <w:rPr>
                <w:rFonts w:hint="eastAsia"/>
                <w:color w:val="auto"/>
                <w:u w:val="single"/>
                <w:lang w:eastAsia="zh-CN"/>
              </w:rPr>
              <w:t>危险废物贮存库</w:t>
            </w:r>
            <w:r>
              <w:rPr>
                <w:rFonts w:hint="eastAsia"/>
                <w:color w:val="auto"/>
                <w:u w:val="single"/>
              </w:rPr>
              <w:t>，委托资质单位处置</w:t>
            </w:r>
            <w:r>
              <w:rPr>
                <w:color w:val="auto"/>
                <w:u w:val="single"/>
              </w:rPr>
              <w:t>。</w:t>
            </w:r>
          </w:p>
          <w:p w14:paraId="2DE206D5">
            <w:pPr>
              <w:bidi w:val="0"/>
              <w:rPr>
                <w:rFonts w:hint="eastAsia"/>
                <w:color w:val="auto"/>
                <w:u w:val="single"/>
              </w:rPr>
            </w:pPr>
            <w:r>
              <w:rPr>
                <w:rFonts w:hint="eastAsia"/>
                <w:color w:val="auto"/>
                <w:u w:val="single"/>
              </w:rPr>
              <w:t>（</w:t>
            </w:r>
            <w:r>
              <w:rPr>
                <w:rFonts w:hint="eastAsia"/>
                <w:color w:val="auto"/>
                <w:u w:val="single"/>
                <w:lang w:val="en-US" w:eastAsia="zh-CN"/>
              </w:rPr>
              <w:t>6</w:t>
            </w:r>
            <w:r>
              <w:rPr>
                <w:rFonts w:hint="eastAsia"/>
                <w:color w:val="auto"/>
                <w:u w:val="single"/>
              </w:rPr>
              <w:t>）废过滤棉、废活性炭</w:t>
            </w:r>
          </w:p>
          <w:p w14:paraId="16E36DCF">
            <w:pPr>
              <w:bidi w:val="0"/>
              <w:rPr>
                <w:color w:val="auto"/>
                <w:u w:val="single"/>
              </w:rPr>
            </w:pPr>
            <w:r>
              <w:rPr>
                <w:rFonts w:hint="eastAsia"/>
                <w:color w:val="auto"/>
                <w:u w:val="single"/>
              </w:rPr>
              <w:t>本项目有机废气采用过滤棉+活性炭吸附处理方式，过滤棉及活性炭更换周期按照最大吸附量的90%进行计算。过滤棉及活性炭每三个月更换一次，其中过滤棉每次更换量为</w:t>
            </w:r>
            <w:r>
              <w:rPr>
                <w:rFonts w:hint="eastAsia"/>
                <w:color w:val="auto"/>
                <w:u w:val="single"/>
                <w:lang w:val="en-US" w:eastAsia="zh-CN"/>
              </w:rPr>
              <w:t>0.01</w:t>
            </w:r>
            <w:r>
              <w:rPr>
                <w:rFonts w:hint="eastAsia"/>
                <w:color w:val="auto"/>
                <w:u w:val="single"/>
              </w:rPr>
              <w:t>t，活性炭每次更换量约为0.</w:t>
            </w:r>
            <w:r>
              <w:rPr>
                <w:rFonts w:hint="eastAsia"/>
                <w:color w:val="auto"/>
                <w:u w:val="single"/>
                <w:lang w:val="en-US" w:eastAsia="zh-CN"/>
              </w:rPr>
              <w:t>05</w:t>
            </w:r>
            <w:r>
              <w:rPr>
                <w:rFonts w:hint="eastAsia"/>
                <w:color w:val="auto"/>
                <w:u w:val="single"/>
              </w:rPr>
              <w:t>t，废过滤棉产生量为</w:t>
            </w:r>
            <w:r>
              <w:rPr>
                <w:rFonts w:hint="eastAsia"/>
                <w:color w:val="auto"/>
                <w:u w:val="single"/>
                <w:lang w:val="en-US" w:eastAsia="zh-CN"/>
              </w:rPr>
              <w:t>0.04</w:t>
            </w:r>
            <w:r>
              <w:rPr>
                <w:rFonts w:hint="eastAsia"/>
                <w:color w:val="auto"/>
                <w:u w:val="single"/>
              </w:rPr>
              <w:t>t/a，废活性炭产生量约为</w:t>
            </w:r>
            <w:r>
              <w:rPr>
                <w:rFonts w:hint="eastAsia"/>
                <w:color w:val="auto"/>
                <w:u w:val="single"/>
                <w:lang w:val="en-US" w:eastAsia="zh-CN"/>
              </w:rPr>
              <w:t>0.2</w:t>
            </w:r>
            <w:r>
              <w:rPr>
                <w:rFonts w:hint="eastAsia"/>
                <w:color w:val="auto"/>
                <w:u w:val="single"/>
              </w:rPr>
              <w:t>t/a。废过滤棉、废活性炭暂存于</w:t>
            </w:r>
            <w:r>
              <w:rPr>
                <w:rFonts w:hint="eastAsia"/>
                <w:color w:val="auto"/>
                <w:u w:val="single"/>
                <w:lang w:eastAsia="zh-CN"/>
              </w:rPr>
              <w:t>危险废物贮存库</w:t>
            </w:r>
            <w:r>
              <w:rPr>
                <w:rFonts w:hint="eastAsia"/>
                <w:color w:val="auto"/>
                <w:u w:val="single"/>
              </w:rPr>
              <w:t>，委托有资质单位处置</w:t>
            </w:r>
            <w:r>
              <w:rPr>
                <w:color w:val="auto"/>
                <w:u w:val="single"/>
              </w:rPr>
              <w:t>。</w:t>
            </w:r>
          </w:p>
          <w:p w14:paraId="55024E4D">
            <w:pPr>
              <w:bidi w:val="0"/>
              <w:rPr>
                <w:rFonts w:hint="eastAsia"/>
                <w:color w:val="auto"/>
                <w:u w:val="single"/>
                <w:lang w:eastAsia="zh-CN"/>
              </w:rPr>
            </w:pPr>
            <w:r>
              <w:rPr>
                <w:rFonts w:hint="eastAsia"/>
                <w:color w:val="auto"/>
                <w:u w:val="single"/>
                <w:lang w:eastAsia="zh-CN"/>
              </w:rPr>
              <w:t>（</w:t>
            </w:r>
            <w:r>
              <w:rPr>
                <w:rFonts w:hint="eastAsia"/>
                <w:color w:val="auto"/>
                <w:u w:val="single"/>
                <w:lang w:val="en-US" w:eastAsia="zh-CN"/>
              </w:rPr>
              <w:t>7</w:t>
            </w:r>
            <w:r>
              <w:rPr>
                <w:rFonts w:hint="eastAsia"/>
                <w:color w:val="auto"/>
                <w:u w:val="single"/>
                <w:lang w:eastAsia="zh-CN"/>
              </w:rPr>
              <w:t>）</w:t>
            </w:r>
            <w:r>
              <w:rPr>
                <w:color w:val="auto"/>
                <w:u w:val="single"/>
              </w:rPr>
              <w:t>废铅蓄电池</w:t>
            </w:r>
          </w:p>
          <w:p w14:paraId="75810666">
            <w:pPr>
              <w:bidi w:val="0"/>
              <w:rPr>
                <w:color w:val="auto"/>
                <w:u w:val="single"/>
              </w:rPr>
            </w:pPr>
            <w:r>
              <w:rPr>
                <w:color w:val="auto"/>
                <w:u w:val="single"/>
              </w:rPr>
              <w:t>项目维修过程中会产生一些废铅蓄电池，废铅蓄电池产生量约为50个/a， 约 0.</w:t>
            </w:r>
            <w:r>
              <w:rPr>
                <w:rFonts w:hint="eastAsia"/>
                <w:color w:val="auto"/>
                <w:u w:val="single"/>
                <w:lang w:val="en-US" w:eastAsia="zh-CN"/>
              </w:rPr>
              <w:t>5</w:t>
            </w:r>
            <w:r>
              <w:rPr>
                <w:color w:val="auto"/>
                <w:u w:val="single"/>
              </w:rPr>
              <w:t>t/a。根据《国家危险废物名录》（2021 版），项目废废铅蓄电池属于危险废物，代码为HW31（900-052-31）。废铅蓄电池集中收集后，暂存于危废暂存间，定期委托有资质 单位处置。</w:t>
            </w:r>
          </w:p>
          <w:p w14:paraId="7E5584CB">
            <w:pPr>
              <w:bidi w:val="0"/>
              <w:rPr>
                <w:rFonts w:hint="eastAsia"/>
                <w:color w:val="auto"/>
                <w:u w:val="single"/>
                <w:lang w:val="en-US" w:eastAsia="zh-CN"/>
              </w:rPr>
            </w:pPr>
            <w:r>
              <w:rPr>
                <w:rFonts w:hint="eastAsia"/>
                <w:color w:val="auto"/>
                <w:u w:val="single"/>
                <w:lang w:eastAsia="zh-CN"/>
              </w:rPr>
              <w:t>（</w:t>
            </w:r>
            <w:r>
              <w:rPr>
                <w:rFonts w:hint="eastAsia"/>
                <w:color w:val="auto"/>
                <w:u w:val="single"/>
                <w:lang w:val="en-US" w:eastAsia="zh-CN"/>
              </w:rPr>
              <w:t>8</w:t>
            </w:r>
            <w:r>
              <w:rPr>
                <w:rFonts w:hint="eastAsia"/>
                <w:color w:val="auto"/>
                <w:u w:val="single"/>
                <w:lang w:eastAsia="zh-CN"/>
              </w:rPr>
              <w:t>）</w:t>
            </w:r>
            <w:r>
              <w:rPr>
                <w:rFonts w:hint="eastAsia"/>
                <w:color w:val="auto"/>
                <w:u w:val="single"/>
                <w:lang w:val="en-US" w:eastAsia="zh-CN"/>
              </w:rPr>
              <w:t>废紫外灯管</w:t>
            </w:r>
          </w:p>
          <w:p w14:paraId="5376E738">
            <w:pPr>
              <w:bidi w:val="0"/>
              <w:rPr>
                <w:rFonts w:hint="default" w:eastAsia="宋体"/>
                <w:color w:val="000000" w:themeColor="text1"/>
                <w:u w:val="single"/>
                <w:lang w:val="en-US" w:eastAsia="zh-CN"/>
                <w14:textFill>
                  <w14:solidFill>
                    <w14:schemeClr w14:val="tx1"/>
                  </w14:solidFill>
                </w14:textFill>
              </w:rPr>
            </w:pPr>
            <w:r>
              <w:rPr>
                <w:rFonts w:hint="eastAsia"/>
                <w:color w:val="auto"/>
                <w:u w:val="single"/>
                <w:lang w:val="en-US" w:eastAsia="zh-CN"/>
              </w:rPr>
              <w:t>喷漆烘烤采用紫外</w:t>
            </w:r>
            <w:r>
              <w:rPr>
                <w:rFonts w:hint="eastAsia"/>
                <w:color w:val="000000" w:themeColor="text1"/>
                <w:u w:val="single"/>
                <w:lang w:val="en-US" w:eastAsia="zh-CN"/>
                <w14:textFill>
                  <w14:solidFill>
                    <w14:schemeClr w14:val="tx1"/>
                  </w14:solidFill>
                </w14:textFill>
              </w:rPr>
              <w:t>线烤灯</w:t>
            </w:r>
            <w:r>
              <w:rPr>
                <w:color w:val="000000" w:themeColor="text1"/>
                <w:u w:val="single"/>
                <w14:textFill>
                  <w14:solidFill>
                    <w14:schemeClr w14:val="tx1"/>
                  </w14:solidFill>
                </w14:textFill>
              </w:rPr>
              <w:t>，灯管平均使用寿命约为2年，产生废旧</w:t>
            </w:r>
            <w:r>
              <w:rPr>
                <w:rFonts w:ascii="Times New Roman" w:hAnsi="Times New Roman" w:eastAsia="宋体" w:cs="Times New Roman"/>
                <w:color w:val="000000" w:themeColor="text1"/>
                <w:u w:val="single"/>
                <w14:textFill>
                  <w14:solidFill>
                    <w14:schemeClr w14:val="tx1"/>
                  </w14:solidFill>
                </w14:textFill>
              </w:rPr>
              <w:t>灯管约</w:t>
            </w:r>
            <w:r>
              <w:rPr>
                <w:rFonts w:hint="eastAsia" w:ascii="Times New Roman" w:hAnsi="Times New Roman" w:eastAsia="宋体" w:cs="Times New Roman"/>
                <w:color w:val="000000" w:themeColor="text1"/>
                <w:u w:val="single"/>
                <w:lang w:val="en-US" w:eastAsia="zh-CN"/>
                <w14:textFill>
                  <w14:solidFill>
                    <w14:schemeClr w14:val="tx1"/>
                  </w14:solidFill>
                </w14:textFill>
              </w:rPr>
              <w:t>10</w:t>
            </w:r>
            <w:r>
              <w:rPr>
                <w:rFonts w:ascii="Times New Roman" w:hAnsi="Times New Roman" w:eastAsia="宋体" w:cs="Times New Roman"/>
                <w:color w:val="000000" w:themeColor="text1"/>
                <w:u w:val="single"/>
                <w14:textFill>
                  <w14:solidFill>
                    <w14:schemeClr w14:val="tx1"/>
                  </w14:solidFill>
                </w14:textFill>
              </w:rPr>
              <w:t>根</w:t>
            </w:r>
            <w:r>
              <w:rPr>
                <w:rFonts w:hint="eastAsia" w:ascii="Times New Roman" w:hAnsi="Times New Roman" w:eastAsia="宋体" w:cs="Times New Roman"/>
                <w:color w:val="000000" w:themeColor="text1"/>
                <w:u w:val="single"/>
                <w:lang w:val="en-US" w:eastAsia="zh-CN"/>
                <w14:textFill>
                  <w14:solidFill>
                    <w14:schemeClr w14:val="tx1"/>
                  </w14:solidFill>
                </w14:textFill>
              </w:rPr>
              <w:t>/年</w:t>
            </w:r>
            <w:r>
              <w:rPr>
                <w:rFonts w:ascii="Times New Roman" w:hAnsi="Times New Roman" w:eastAsia="宋体" w:cs="Times New Roman"/>
                <w:color w:val="000000" w:themeColor="text1"/>
                <w:u w:val="single"/>
                <w14:textFill>
                  <w14:solidFill>
                    <w14:schemeClr w14:val="tx1"/>
                  </w14:solidFill>
                </w14:textFill>
              </w:rPr>
              <w:t>，每个废弃灯管的重量0.3kg-0.4kg</w:t>
            </w:r>
            <w:r>
              <w:rPr>
                <w:rFonts w:hint="eastAsia" w:ascii="Times New Roman" w:hAnsi="Times New Roman" w:eastAsia="宋体" w:cs="Times New Roman"/>
                <w:color w:val="000000" w:themeColor="text1"/>
                <w:u w:val="single"/>
                <w:lang w:eastAsia="zh-CN"/>
                <w14:textFill>
                  <w14:solidFill>
                    <w14:schemeClr w14:val="tx1"/>
                  </w14:solidFill>
                </w14:textFill>
              </w:rPr>
              <w:t>，则</w:t>
            </w:r>
            <w:r>
              <w:rPr>
                <w:rFonts w:hint="eastAsia"/>
                <w:color w:val="000000" w:themeColor="text1"/>
                <w:u w:val="single"/>
                <w:lang w:eastAsia="zh-CN"/>
                <w14:textFill>
                  <w14:solidFill>
                    <w14:schemeClr w14:val="tx1"/>
                  </w14:solidFill>
                </w14:textFill>
              </w:rPr>
              <w:t>废</w:t>
            </w:r>
            <w:r>
              <w:rPr>
                <w:rFonts w:hint="eastAsia" w:ascii="Times New Roman" w:hAnsi="Times New Roman" w:eastAsia="宋体" w:cs="Times New Roman"/>
                <w:color w:val="000000" w:themeColor="text1"/>
                <w:u w:val="single"/>
                <w:lang w:eastAsia="zh-CN"/>
                <w14:textFill>
                  <w14:solidFill>
                    <w14:schemeClr w14:val="tx1"/>
                  </w14:solidFill>
                </w14:textFill>
              </w:rPr>
              <w:t>紫外网灯管产生量约</w:t>
            </w:r>
            <w:r>
              <w:rPr>
                <w:rFonts w:hint="eastAsia" w:ascii="Times New Roman" w:hAnsi="Times New Roman" w:eastAsia="宋体" w:cs="Times New Roman"/>
                <w:color w:val="000000" w:themeColor="text1"/>
                <w:u w:val="single"/>
                <w:lang w:val="en-US" w:eastAsia="zh-CN"/>
                <w14:textFill>
                  <w14:solidFill>
                    <w14:schemeClr w14:val="tx1"/>
                  </w14:solidFill>
                </w14:textFill>
              </w:rPr>
              <w:t>4kg/a</w:t>
            </w:r>
            <w:r>
              <w:rPr>
                <w:rFonts w:hint="eastAsia" w:cs="Times New Roman"/>
                <w:color w:val="000000" w:themeColor="text1"/>
                <w:u w:val="single"/>
                <w:lang w:val="en-US" w:eastAsia="zh-CN"/>
                <w14:textFill>
                  <w14:solidFill>
                    <w14:schemeClr w14:val="tx1"/>
                  </w14:solidFill>
                </w14:textFill>
              </w:rPr>
              <w:t>。</w:t>
            </w:r>
          </w:p>
          <w:p w14:paraId="27D3EBD6">
            <w:pPr>
              <w:bidi w:val="0"/>
              <w:rPr>
                <w:color w:val="000000" w:themeColor="text1"/>
                <w:u w:val="single"/>
                <w14:textFill>
                  <w14:solidFill>
                    <w14:schemeClr w14:val="tx1"/>
                  </w14:solidFill>
                </w14:textFill>
              </w:rPr>
            </w:pPr>
            <w:r>
              <w:rPr>
                <w:color w:val="000000" w:themeColor="text1"/>
                <w:u w:val="single"/>
                <w14:textFill>
                  <w14:solidFill>
                    <w14:schemeClr w14:val="tx1"/>
                  </w14:solidFill>
                </w14:textFill>
              </w:rPr>
              <w:t>按照《国家危险废物名录》(20</w:t>
            </w:r>
            <w:r>
              <w:rPr>
                <w:rFonts w:hint="eastAsia"/>
                <w:color w:val="000000" w:themeColor="text1"/>
                <w:u w:val="single"/>
                <w:lang w:val="en-US" w:eastAsia="zh-CN"/>
                <w14:textFill>
                  <w14:solidFill>
                    <w14:schemeClr w14:val="tx1"/>
                  </w14:solidFill>
                </w14:textFill>
              </w:rPr>
              <w:t>21</w:t>
            </w:r>
            <w:r>
              <w:rPr>
                <w:color w:val="000000" w:themeColor="text1"/>
                <w:u w:val="single"/>
                <w14:textFill>
                  <w14:solidFill>
                    <w14:schemeClr w14:val="tx1"/>
                  </w14:solidFill>
                </w14:textFill>
              </w:rPr>
              <w:t>版)废紫外灯管属于HW29含汞废物，危废代码900-023-29，废紫外线灯管在</w:t>
            </w:r>
            <w:r>
              <w:rPr>
                <w:rFonts w:hint="eastAsia"/>
                <w:color w:val="000000" w:themeColor="text1"/>
                <w:u w:val="single"/>
                <w:lang w:eastAsia="zh-CN"/>
                <w14:textFill>
                  <w14:solidFill>
                    <w14:schemeClr w14:val="tx1"/>
                  </w14:solidFill>
                </w14:textFill>
              </w:rPr>
              <w:t>厂内</w:t>
            </w:r>
            <w:r>
              <w:rPr>
                <w:color w:val="000000" w:themeColor="text1"/>
                <w:u w:val="single"/>
                <w14:textFill>
                  <w14:solidFill>
                    <w14:schemeClr w14:val="tx1"/>
                  </w14:solidFill>
                </w14:textFill>
              </w:rPr>
              <w:t>危废暂存间暂存。</w:t>
            </w:r>
          </w:p>
          <w:p w14:paraId="6AED3000">
            <w:pPr>
              <w:bidi w:val="0"/>
              <w:rPr>
                <w:rFonts w:hint="eastAsia"/>
                <w:u w:val="single"/>
                <w:lang w:val="en-US" w:eastAsia="zh-CN"/>
              </w:rPr>
            </w:pPr>
            <w:r>
              <w:rPr>
                <w:rFonts w:hint="eastAsia"/>
                <w:u w:val="single"/>
                <w:lang w:val="en-US" w:eastAsia="zh-CN"/>
              </w:rPr>
              <w:t>（9）</w:t>
            </w:r>
            <w:r>
              <w:rPr>
                <w:rFonts w:hint="eastAsia" w:ascii="Times New Roman" w:hAnsi="Times New Roman" w:eastAsia="宋体" w:cs="Times New Roman"/>
                <w:color w:val="auto"/>
                <w:u w:val="single"/>
                <w:lang w:val="en-US" w:eastAsia="zh-CN"/>
              </w:rPr>
              <w:t>废石棉刹车片</w:t>
            </w:r>
          </w:p>
          <w:p w14:paraId="222C49C0">
            <w:pPr>
              <w:bidi w:val="0"/>
              <w:rPr>
                <w:rFonts w:hint="default"/>
                <w:u w:val="single"/>
                <w:lang w:val="en-US" w:eastAsia="zh-CN"/>
              </w:rPr>
            </w:pPr>
            <w:r>
              <w:rPr>
                <w:rFonts w:hint="eastAsia" w:ascii="Times New Roman" w:hAnsi="Times New Roman" w:eastAsia="宋体" w:cs="Times New Roman"/>
                <w:color w:val="auto"/>
                <w:u w:val="single"/>
                <w:lang w:val="en-US" w:eastAsia="zh-CN"/>
              </w:rPr>
              <w:t>部分车型采用石棉刹车片，汽车维修更换刹车片会产生废石棉刹车片，按照设计的车辆维修规模估算，废石棉刹车片产生量约0.2t/a，按照《国家危险废物名录》(2021版)，废石棉刹车片属于HW36车辆制动</w:t>
            </w:r>
            <w:r>
              <w:rPr>
                <w:rFonts w:hint="default" w:ascii="Times New Roman" w:hAnsi="Times New Roman" w:eastAsia="宋体" w:cs="Times New Roman"/>
                <w:color w:val="auto"/>
                <w:u w:val="single"/>
                <w:lang w:val="en-US" w:eastAsia="zh-CN"/>
              </w:rPr>
              <w:t>器衬片的更换产生的石棉废</w:t>
            </w:r>
            <w:r>
              <w:rPr>
                <w:rFonts w:hint="default"/>
                <w:u w:val="single"/>
                <w:lang w:val="en-US" w:eastAsia="zh-CN"/>
              </w:rPr>
              <w:t>物</w:t>
            </w:r>
            <w:r>
              <w:rPr>
                <w:rFonts w:hint="eastAsia"/>
                <w:u w:val="single"/>
                <w:lang w:val="en-US" w:eastAsia="zh-CN"/>
              </w:rPr>
              <w:t>，危废代码</w:t>
            </w:r>
            <w:r>
              <w:rPr>
                <w:rFonts w:hint="default"/>
                <w:u w:val="single"/>
                <w:lang w:val="en-US" w:eastAsia="zh-CN"/>
              </w:rPr>
              <w:t>900-032-36</w:t>
            </w:r>
            <w:r>
              <w:rPr>
                <w:rFonts w:hint="eastAsia"/>
                <w:u w:val="single"/>
                <w:lang w:val="en-US" w:eastAsia="zh-CN"/>
              </w:rPr>
              <w:t>，废石棉刹车片在厂内危废暂存间暂存。</w:t>
            </w:r>
          </w:p>
          <w:p w14:paraId="055738CC">
            <w:pPr>
              <w:bidi w:val="0"/>
              <w:rPr>
                <w:rFonts w:hint="eastAsia"/>
                <w:u w:val="single"/>
                <w:lang w:val="en-US" w:eastAsia="zh-CN"/>
              </w:rPr>
            </w:pPr>
            <w:r>
              <w:rPr>
                <w:rFonts w:hint="eastAsia"/>
                <w:u w:val="single"/>
                <w:lang w:val="en-US" w:eastAsia="zh-CN"/>
              </w:rPr>
              <w:t>（10）汽车尾气净化废催化剂</w:t>
            </w:r>
          </w:p>
          <w:p w14:paraId="761240B9">
            <w:pPr>
              <w:ind w:firstLine="480"/>
              <w:rPr>
                <w:color w:val="auto"/>
                <w:u w:val="single"/>
              </w:rPr>
            </w:pPr>
            <w:r>
              <w:rPr>
                <w:rFonts w:hint="eastAsia"/>
                <w:color w:val="auto"/>
                <w:u w:val="single"/>
                <w:lang w:val="en-US" w:eastAsia="zh-CN"/>
              </w:rPr>
              <w:t>废气</w:t>
            </w:r>
            <w:r>
              <w:rPr>
                <w:rFonts w:hint="eastAsia"/>
                <w:u w:val="single"/>
                <w:lang w:val="en-US" w:eastAsia="zh-CN"/>
              </w:rPr>
              <w:t>尾气催化净化</w:t>
            </w:r>
            <w:r>
              <w:rPr>
                <w:rFonts w:hint="eastAsia"/>
                <w:color w:val="auto"/>
                <w:u w:val="single"/>
              </w:rPr>
              <w:t>采用的催化剂</w:t>
            </w:r>
            <w:r>
              <w:rPr>
                <w:rFonts w:hint="eastAsia"/>
                <w:color w:val="auto"/>
                <w:u w:val="single"/>
                <w:lang w:val="en-US" w:eastAsia="zh-CN"/>
              </w:rPr>
              <w:t>含</w:t>
            </w:r>
            <w:r>
              <w:rPr>
                <w:color w:val="auto"/>
                <w:u w:val="single"/>
              </w:rPr>
              <w:t>TiO</w:t>
            </w:r>
            <w:r>
              <w:rPr>
                <w:color w:val="auto"/>
                <w:u w:val="single"/>
                <w:vertAlign w:val="subscript"/>
              </w:rPr>
              <w:t>2</w:t>
            </w:r>
            <w:r>
              <w:rPr>
                <w:color w:val="auto"/>
                <w:u w:val="single"/>
              </w:rPr>
              <w:t>、V</w:t>
            </w:r>
            <w:r>
              <w:rPr>
                <w:color w:val="auto"/>
                <w:u w:val="single"/>
                <w:vertAlign w:val="subscript"/>
              </w:rPr>
              <w:t>2</w:t>
            </w:r>
            <w:r>
              <w:rPr>
                <w:color w:val="auto"/>
                <w:u w:val="single"/>
              </w:rPr>
              <w:t>O</w:t>
            </w:r>
            <w:r>
              <w:rPr>
                <w:color w:val="auto"/>
                <w:u w:val="single"/>
                <w:vertAlign w:val="subscript"/>
              </w:rPr>
              <w:t>5</w:t>
            </w:r>
            <w:r>
              <w:rPr>
                <w:color w:val="auto"/>
                <w:u w:val="single"/>
              </w:rPr>
              <w:t>、WO</w:t>
            </w:r>
            <w:r>
              <w:rPr>
                <w:color w:val="auto"/>
                <w:u w:val="single"/>
                <w:vertAlign w:val="subscript"/>
              </w:rPr>
              <w:t>3</w:t>
            </w:r>
            <w:r>
              <w:rPr>
                <w:color w:val="auto"/>
                <w:u w:val="single"/>
              </w:rPr>
              <w:t>等混合物</w:t>
            </w:r>
            <w:r>
              <w:rPr>
                <w:rFonts w:hint="eastAsia"/>
                <w:color w:val="auto"/>
                <w:u w:val="single"/>
                <w:lang w:eastAsia="zh-CN"/>
              </w:rPr>
              <w:t>，</w:t>
            </w:r>
            <w:r>
              <w:rPr>
                <w:rFonts w:hint="eastAsia" w:ascii="Times New Roman" w:hAnsi="Times New Roman" w:eastAsia="宋体" w:cs="Times New Roman"/>
                <w:color w:val="auto"/>
                <w:u w:val="single"/>
                <w:lang w:val="en-US" w:eastAsia="zh-CN"/>
              </w:rPr>
              <w:t>按照设计的车辆维修规模估算，</w:t>
            </w:r>
            <w:r>
              <w:rPr>
                <w:rFonts w:hint="eastAsia"/>
                <w:color w:val="auto"/>
                <w:u w:val="single"/>
                <w:lang w:val="en-US" w:eastAsia="zh-CN"/>
              </w:rPr>
              <w:t>更换的</w:t>
            </w:r>
            <w:r>
              <w:rPr>
                <w:rFonts w:hint="eastAsia"/>
                <w:u w:val="single"/>
                <w:lang w:val="en-US" w:eastAsia="zh-CN"/>
              </w:rPr>
              <w:t>废催化剂</w:t>
            </w:r>
            <w:r>
              <w:rPr>
                <w:rFonts w:hint="eastAsia"/>
                <w:color w:val="auto"/>
                <w:u w:val="single"/>
                <w:lang w:val="en-US" w:eastAsia="zh-CN"/>
              </w:rPr>
              <w:t>量约0.05t/a</w:t>
            </w:r>
            <w:r>
              <w:rPr>
                <w:rFonts w:hint="eastAsia"/>
                <w:color w:val="auto"/>
                <w:u w:val="single"/>
              </w:rPr>
              <w:t>，属于危险废物，根据《国家危险废物名录》（2</w:t>
            </w:r>
            <w:r>
              <w:rPr>
                <w:color w:val="auto"/>
                <w:u w:val="single"/>
              </w:rPr>
              <w:t>021</w:t>
            </w:r>
            <w:r>
              <w:rPr>
                <w:rFonts w:hint="eastAsia"/>
                <w:color w:val="auto"/>
                <w:u w:val="single"/>
              </w:rPr>
              <w:t>年版）属于HW</w:t>
            </w:r>
            <w:r>
              <w:rPr>
                <w:color w:val="auto"/>
                <w:u w:val="single"/>
              </w:rPr>
              <w:t>50</w:t>
            </w:r>
            <w:r>
              <w:rPr>
                <w:rFonts w:hint="eastAsia"/>
                <w:color w:val="auto"/>
                <w:u w:val="single"/>
              </w:rPr>
              <w:t>废催化剂，危废代码7</w:t>
            </w:r>
            <w:r>
              <w:rPr>
                <w:color w:val="auto"/>
                <w:u w:val="single"/>
              </w:rPr>
              <w:t>72-007-50</w:t>
            </w:r>
            <w:r>
              <w:rPr>
                <w:rFonts w:hint="eastAsia"/>
                <w:color w:val="auto"/>
                <w:u w:val="single"/>
              </w:rPr>
              <w:t>，危险特性为T。更换后废催化剂暂存于危废暂存间，定期委托有相应危险废物处置资质的单位转运处置。</w:t>
            </w:r>
          </w:p>
          <w:p w14:paraId="23CD92CA">
            <w:pPr>
              <w:bidi w:val="0"/>
              <w:rPr>
                <w:rFonts w:hint="eastAsia"/>
                <w:u w:val="single"/>
                <w:lang w:val="en-US" w:eastAsia="zh-CN"/>
              </w:rPr>
            </w:pPr>
            <w:r>
              <w:rPr>
                <w:rFonts w:hint="eastAsia"/>
                <w:u w:val="single"/>
                <w:lang w:val="en-US" w:eastAsia="zh-CN"/>
              </w:rPr>
              <w:t>（11）废旧零件</w:t>
            </w:r>
          </w:p>
          <w:p w14:paraId="5A502E01">
            <w:pPr>
              <w:bidi w:val="0"/>
              <w:rPr>
                <w:rFonts w:hint="eastAsia"/>
                <w:u w:val="single"/>
                <w:lang w:eastAsia="zh-CN"/>
              </w:rPr>
            </w:pPr>
            <w:r>
              <w:rPr>
                <w:rFonts w:hint="eastAsia"/>
                <w:u w:val="single"/>
                <w:lang w:val="en-US" w:eastAsia="zh-CN"/>
              </w:rPr>
              <w:t>根据统计，产生的废零部件及包装物约0.5t/a，外售废品回收站。</w:t>
            </w:r>
          </w:p>
          <w:p w14:paraId="414AD542">
            <w:pPr>
              <w:bidi w:val="0"/>
              <w:rPr>
                <w:u w:val="single"/>
              </w:rPr>
            </w:pPr>
            <w:r>
              <w:rPr>
                <w:u w:val="single"/>
              </w:rPr>
              <w:t>（</w:t>
            </w:r>
            <w:r>
              <w:rPr>
                <w:rFonts w:hint="eastAsia"/>
                <w:u w:val="single"/>
                <w:lang w:val="en-US" w:eastAsia="zh-CN"/>
              </w:rPr>
              <w:t>12</w:t>
            </w:r>
            <w:r>
              <w:rPr>
                <w:u w:val="single"/>
              </w:rPr>
              <w:t>）生活垃圾</w:t>
            </w:r>
          </w:p>
          <w:p w14:paraId="2BFAFBB1">
            <w:pPr>
              <w:bidi w:val="0"/>
              <w:rPr>
                <w:rFonts w:hint="eastAsia"/>
                <w:u w:val="single"/>
              </w:rPr>
            </w:pPr>
            <w:r>
              <w:rPr>
                <w:u w:val="single"/>
              </w:rPr>
              <w:t>本项目运营期工作人员生活垃圾产生量按每人0.5kg/d计算，产生生活垃圾</w:t>
            </w:r>
            <w:r>
              <w:rPr>
                <w:rFonts w:hint="eastAsia"/>
                <w:u w:val="single"/>
                <w:lang w:val="en-US" w:eastAsia="zh-CN"/>
              </w:rPr>
              <w:t>6.12</w:t>
            </w:r>
            <w:r>
              <w:rPr>
                <w:u w:val="single"/>
              </w:rPr>
              <w:t>t/a。</w:t>
            </w:r>
            <w:r>
              <w:rPr>
                <w:rFonts w:hint="eastAsia"/>
                <w:u w:val="single"/>
              </w:rPr>
              <w:t>委托环卫部门清运至生活垃圾填埋场，进行卫生填埋处理。</w:t>
            </w:r>
          </w:p>
          <w:p w14:paraId="1ACD9D58">
            <w:pPr>
              <w:bidi w:val="0"/>
              <w:rPr>
                <w:rFonts w:hint="eastAsia"/>
                <w:u w:val="single"/>
              </w:rPr>
            </w:pPr>
            <w:r>
              <w:rPr>
                <w:rFonts w:hint="eastAsia"/>
                <w:u w:val="single"/>
              </w:rPr>
              <w:t>项目危险废物汇总表见表4-</w:t>
            </w:r>
            <w:r>
              <w:rPr>
                <w:rFonts w:hint="eastAsia"/>
                <w:u w:val="single"/>
                <w:lang w:val="en-US" w:eastAsia="zh-CN"/>
              </w:rPr>
              <w:t>7</w:t>
            </w:r>
            <w:r>
              <w:rPr>
                <w:rFonts w:hint="eastAsia"/>
                <w:u w:val="single"/>
              </w:rPr>
              <w:t>。项目危险废物贮存场所基本情况表见表4-</w:t>
            </w:r>
            <w:r>
              <w:rPr>
                <w:rFonts w:hint="eastAsia"/>
                <w:u w:val="single"/>
                <w:lang w:val="en-US" w:eastAsia="zh-CN"/>
              </w:rPr>
              <w:t>8</w:t>
            </w:r>
            <w:r>
              <w:rPr>
                <w:rFonts w:hint="eastAsia"/>
                <w:u w:val="single"/>
              </w:rPr>
              <w:t>。</w:t>
            </w:r>
          </w:p>
          <w:p w14:paraId="059EE776">
            <w:pPr>
              <w:spacing w:line="240" w:lineRule="auto"/>
              <w:ind w:firstLine="422"/>
              <w:jc w:val="center"/>
              <w:rPr>
                <w:rFonts w:hint="eastAsia" w:ascii="Times New Roman" w:hAnsi="Times New Roman" w:eastAsia="宋体" w:cs="Times New Roman"/>
                <w:b/>
                <w:bCs/>
                <w:color w:val="000000" w:themeColor="text1"/>
                <w:sz w:val="21"/>
                <w:szCs w:val="21"/>
                <w:u w:val="single"/>
                <w14:textFill>
                  <w14:solidFill>
                    <w14:schemeClr w14:val="tx1"/>
                  </w14:solidFill>
                </w14:textFill>
              </w:rPr>
            </w:pPr>
            <w:r>
              <w:rPr>
                <w:rFonts w:hint="eastAsia" w:ascii="Times New Roman" w:hAnsi="Times New Roman" w:eastAsia="宋体" w:cs="Times New Roman"/>
                <w:b/>
                <w:bCs/>
                <w:color w:val="000000" w:themeColor="text1"/>
                <w:sz w:val="21"/>
                <w:szCs w:val="21"/>
                <w:u w:val="single"/>
                <w14:textFill>
                  <w14:solidFill>
                    <w14:schemeClr w14:val="tx1"/>
                  </w14:solidFill>
                </w14:textFill>
              </w:rPr>
              <w:t>表4-</w:t>
            </w:r>
            <w:r>
              <w:rPr>
                <w:rFonts w:hint="eastAsia" w:ascii="Times New Roman" w:hAnsi="Times New Roman" w:eastAsia="宋体" w:cs="Times New Roman"/>
                <w:b/>
                <w:bCs/>
                <w:color w:val="000000" w:themeColor="text1"/>
                <w:sz w:val="21"/>
                <w:szCs w:val="21"/>
                <w:u w:val="single"/>
                <w:lang w:val="en-US" w:eastAsia="zh-CN"/>
                <w14:textFill>
                  <w14:solidFill>
                    <w14:schemeClr w14:val="tx1"/>
                  </w14:solidFill>
                </w14:textFill>
              </w:rPr>
              <w:t>7</w:t>
            </w:r>
            <w:r>
              <w:rPr>
                <w:rFonts w:hint="eastAsia" w:ascii="Times New Roman" w:hAnsi="Times New Roman" w:eastAsia="宋体" w:cs="Times New Roman"/>
                <w:b/>
                <w:bCs/>
                <w:color w:val="000000" w:themeColor="text1"/>
                <w:sz w:val="21"/>
                <w:szCs w:val="21"/>
                <w:u w:val="single"/>
                <w14:textFill>
                  <w14:solidFill>
                    <w14:schemeClr w14:val="tx1"/>
                  </w14:solidFill>
                </w14:textFill>
              </w:rPr>
              <w:t xml:space="preserve">   危险废物汇总表</w:t>
            </w:r>
          </w:p>
          <w:tbl>
            <w:tblPr>
              <w:tblStyle w:val="26"/>
              <w:tblW w:w="4995"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78"/>
              <w:gridCol w:w="780"/>
              <w:gridCol w:w="810"/>
              <w:gridCol w:w="801"/>
              <w:gridCol w:w="744"/>
              <w:gridCol w:w="820"/>
              <w:gridCol w:w="455"/>
              <w:gridCol w:w="557"/>
              <w:gridCol w:w="557"/>
              <w:gridCol w:w="557"/>
              <w:gridCol w:w="523"/>
              <w:gridCol w:w="652"/>
              <w:gridCol w:w="622"/>
            </w:tblGrid>
            <w:tr w14:paraId="545BB9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7FA6617C">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序号</w:t>
                  </w:r>
                </w:p>
              </w:tc>
              <w:tc>
                <w:tcPr>
                  <w:tcW w:w="472" w:type="pct"/>
                  <w:tcBorders>
                    <w:tl2br w:val="nil"/>
                    <w:tr2bl w:val="nil"/>
                  </w:tcBorders>
                  <w:noWrap w:val="0"/>
                  <w:vAlign w:val="center"/>
                </w:tcPr>
                <w:p w14:paraId="7E98268D">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危险废物名称</w:t>
                  </w:r>
                </w:p>
              </w:tc>
              <w:tc>
                <w:tcPr>
                  <w:tcW w:w="490" w:type="pct"/>
                  <w:tcBorders>
                    <w:tl2br w:val="nil"/>
                    <w:tr2bl w:val="nil"/>
                  </w:tcBorders>
                  <w:noWrap w:val="0"/>
                  <w:vAlign w:val="center"/>
                </w:tcPr>
                <w:p w14:paraId="47ECC013">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危险废物类别</w:t>
                  </w:r>
                </w:p>
              </w:tc>
              <w:tc>
                <w:tcPr>
                  <w:tcW w:w="485" w:type="pct"/>
                  <w:tcBorders>
                    <w:tl2br w:val="nil"/>
                    <w:tr2bl w:val="nil"/>
                  </w:tcBorders>
                  <w:noWrap w:val="0"/>
                  <w:vAlign w:val="center"/>
                </w:tcPr>
                <w:p w14:paraId="2BFE9B93">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危险废物代码</w:t>
                  </w:r>
                </w:p>
              </w:tc>
              <w:tc>
                <w:tcPr>
                  <w:tcW w:w="450" w:type="pct"/>
                  <w:tcBorders>
                    <w:tl2br w:val="nil"/>
                    <w:tr2bl w:val="nil"/>
                  </w:tcBorders>
                  <w:noWrap w:val="0"/>
                  <w:vAlign w:val="center"/>
                </w:tcPr>
                <w:p w14:paraId="069E0002">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产生量t/a</w:t>
                  </w:r>
                </w:p>
              </w:tc>
              <w:tc>
                <w:tcPr>
                  <w:tcW w:w="496" w:type="pct"/>
                  <w:tcBorders>
                    <w:tl2br w:val="nil"/>
                    <w:tr2bl w:val="nil"/>
                  </w:tcBorders>
                  <w:noWrap w:val="0"/>
                  <w:vAlign w:val="center"/>
                </w:tcPr>
                <w:p w14:paraId="234D06B3">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产生工序及装置</w:t>
                  </w:r>
                </w:p>
              </w:tc>
              <w:tc>
                <w:tcPr>
                  <w:tcW w:w="275" w:type="pct"/>
                  <w:tcBorders>
                    <w:tl2br w:val="nil"/>
                    <w:tr2bl w:val="nil"/>
                  </w:tcBorders>
                  <w:noWrap w:val="0"/>
                  <w:vAlign w:val="center"/>
                </w:tcPr>
                <w:p w14:paraId="04714D67">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形态</w:t>
                  </w:r>
                </w:p>
              </w:tc>
              <w:tc>
                <w:tcPr>
                  <w:tcW w:w="337" w:type="pct"/>
                  <w:tcBorders>
                    <w:tl2br w:val="nil"/>
                    <w:tr2bl w:val="nil"/>
                  </w:tcBorders>
                  <w:noWrap w:val="0"/>
                  <w:vAlign w:val="center"/>
                </w:tcPr>
                <w:p w14:paraId="218618E5">
                  <w:pPr>
                    <w:pStyle w:val="42"/>
                    <w:rPr>
                      <w:rFonts w:hint="eastAsia" w:ascii="Times New Roman" w:hAnsi="Times New Roman" w:eastAsia="宋体" w:cs="Times New Roman"/>
                      <w:color w:val="auto"/>
                      <w:u w:val="single"/>
                    </w:rPr>
                  </w:pPr>
                  <w:r>
                    <w:rPr>
                      <w:rFonts w:hint="eastAsia"/>
                      <w:color w:val="auto"/>
                      <w:u w:val="single"/>
                    </w:rPr>
                    <w:t>贮存方式</w:t>
                  </w:r>
                </w:p>
              </w:tc>
              <w:tc>
                <w:tcPr>
                  <w:tcW w:w="337" w:type="pct"/>
                  <w:tcBorders>
                    <w:tl2br w:val="nil"/>
                    <w:tr2bl w:val="nil"/>
                  </w:tcBorders>
                  <w:noWrap w:val="0"/>
                  <w:vAlign w:val="center"/>
                </w:tcPr>
                <w:p w14:paraId="3F2F1AB9">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主要成分</w:t>
                  </w:r>
                </w:p>
              </w:tc>
              <w:tc>
                <w:tcPr>
                  <w:tcW w:w="337" w:type="pct"/>
                  <w:tcBorders>
                    <w:tl2br w:val="nil"/>
                    <w:tr2bl w:val="nil"/>
                  </w:tcBorders>
                  <w:noWrap w:val="0"/>
                  <w:vAlign w:val="center"/>
                </w:tcPr>
                <w:p w14:paraId="64E128FF">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有害成分</w:t>
                  </w:r>
                </w:p>
              </w:tc>
              <w:tc>
                <w:tcPr>
                  <w:tcW w:w="316" w:type="pct"/>
                  <w:tcBorders>
                    <w:tl2br w:val="nil"/>
                    <w:tr2bl w:val="nil"/>
                  </w:tcBorders>
                  <w:noWrap w:val="0"/>
                  <w:vAlign w:val="center"/>
                </w:tcPr>
                <w:p w14:paraId="2C7C4002">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产生周期</w:t>
                  </w:r>
                </w:p>
              </w:tc>
              <w:tc>
                <w:tcPr>
                  <w:tcW w:w="394" w:type="pct"/>
                  <w:tcBorders>
                    <w:tl2br w:val="nil"/>
                    <w:tr2bl w:val="nil"/>
                  </w:tcBorders>
                  <w:noWrap w:val="0"/>
                  <w:vAlign w:val="center"/>
                </w:tcPr>
                <w:p w14:paraId="65ED8B42">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危险特性</w:t>
                  </w:r>
                </w:p>
              </w:tc>
              <w:tc>
                <w:tcPr>
                  <w:tcW w:w="376" w:type="pct"/>
                  <w:tcBorders>
                    <w:tl2br w:val="nil"/>
                    <w:tr2bl w:val="nil"/>
                  </w:tcBorders>
                  <w:noWrap w:val="0"/>
                  <w:vAlign w:val="center"/>
                </w:tcPr>
                <w:p w14:paraId="03AED7FE">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防治措施</w:t>
                  </w:r>
                </w:p>
              </w:tc>
            </w:tr>
            <w:tr w14:paraId="0D3A63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630A419E">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1</w:t>
                  </w:r>
                </w:p>
              </w:tc>
              <w:tc>
                <w:tcPr>
                  <w:tcW w:w="472" w:type="pct"/>
                  <w:tcBorders>
                    <w:tl2br w:val="nil"/>
                    <w:tr2bl w:val="nil"/>
                  </w:tcBorders>
                  <w:noWrap w:val="0"/>
                  <w:vAlign w:val="center"/>
                </w:tcPr>
                <w:p w14:paraId="03AE0E2F">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废机油</w:t>
                  </w:r>
                </w:p>
              </w:tc>
              <w:tc>
                <w:tcPr>
                  <w:tcW w:w="490" w:type="pct"/>
                  <w:tcBorders>
                    <w:tl2br w:val="nil"/>
                    <w:tr2bl w:val="nil"/>
                  </w:tcBorders>
                  <w:noWrap w:val="0"/>
                  <w:vAlign w:val="center"/>
                </w:tcPr>
                <w:p w14:paraId="7AD9ED61">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HW08</w:t>
                  </w:r>
                </w:p>
              </w:tc>
              <w:tc>
                <w:tcPr>
                  <w:tcW w:w="485" w:type="pct"/>
                  <w:tcBorders>
                    <w:tl2br w:val="nil"/>
                    <w:tr2bl w:val="nil"/>
                  </w:tcBorders>
                  <w:noWrap w:val="0"/>
                  <w:vAlign w:val="center"/>
                </w:tcPr>
                <w:p w14:paraId="5319E3ED">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900-249-08</w:t>
                  </w:r>
                </w:p>
              </w:tc>
              <w:tc>
                <w:tcPr>
                  <w:tcW w:w="450" w:type="pct"/>
                  <w:tcBorders>
                    <w:tl2br w:val="nil"/>
                    <w:tr2bl w:val="nil"/>
                  </w:tcBorders>
                  <w:noWrap w:val="0"/>
                  <w:vAlign w:val="center"/>
                </w:tcPr>
                <w:p w14:paraId="6B49D7DD">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8</w:t>
                  </w:r>
                </w:p>
              </w:tc>
              <w:tc>
                <w:tcPr>
                  <w:tcW w:w="496" w:type="pct"/>
                  <w:tcBorders>
                    <w:tl2br w:val="nil"/>
                    <w:tr2bl w:val="nil"/>
                  </w:tcBorders>
                  <w:noWrap w:val="0"/>
                  <w:vAlign w:val="center"/>
                </w:tcPr>
                <w:p w14:paraId="5D0F7BD4">
                  <w:pPr>
                    <w:pStyle w:val="42"/>
                    <w:rPr>
                      <w:rFonts w:hint="eastAsia" w:ascii="Times New Roman" w:hAnsi="Times New Roman" w:eastAsia="宋体" w:cs="Times New Roman"/>
                      <w:color w:val="auto"/>
                      <w:u w:val="single"/>
                      <w:lang w:eastAsia="zh-CN"/>
                    </w:rPr>
                  </w:pPr>
                  <w:r>
                    <w:rPr>
                      <w:rFonts w:hint="eastAsia" w:ascii="Times New Roman" w:hAnsi="Times New Roman" w:cs="Times New Roman"/>
                      <w:color w:val="auto"/>
                      <w:u w:val="single"/>
                      <w:lang w:val="en-US" w:eastAsia="zh-CN"/>
                    </w:rPr>
                    <w:t>汽车</w:t>
                  </w:r>
                  <w:r>
                    <w:rPr>
                      <w:rFonts w:hint="eastAsia" w:ascii="Times New Roman" w:hAnsi="Times New Roman" w:eastAsia="宋体" w:cs="Times New Roman"/>
                      <w:color w:val="auto"/>
                      <w:u w:val="single"/>
                      <w:lang w:eastAsia="zh-CN"/>
                    </w:rPr>
                    <w:t>维修</w:t>
                  </w:r>
                </w:p>
              </w:tc>
              <w:tc>
                <w:tcPr>
                  <w:tcW w:w="275" w:type="pct"/>
                  <w:tcBorders>
                    <w:tl2br w:val="nil"/>
                    <w:tr2bl w:val="nil"/>
                  </w:tcBorders>
                  <w:noWrap w:val="0"/>
                  <w:vAlign w:val="center"/>
                </w:tcPr>
                <w:p w14:paraId="584E09CB">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液态</w:t>
                  </w:r>
                </w:p>
              </w:tc>
              <w:tc>
                <w:tcPr>
                  <w:tcW w:w="337" w:type="pct"/>
                  <w:tcBorders>
                    <w:tl2br w:val="nil"/>
                    <w:tr2bl w:val="nil"/>
                  </w:tcBorders>
                  <w:noWrap w:val="0"/>
                  <w:vAlign w:val="center"/>
                </w:tcPr>
                <w:p w14:paraId="25B054CB">
                  <w:pPr>
                    <w:pStyle w:val="42"/>
                    <w:rPr>
                      <w:rFonts w:hint="eastAsia" w:ascii="Times New Roman" w:hAnsi="Times New Roman" w:eastAsia="宋体" w:cs="Times New Roman"/>
                      <w:color w:val="auto"/>
                      <w:u w:val="single"/>
                    </w:rPr>
                  </w:pPr>
                  <w:r>
                    <w:rPr>
                      <w:rFonts w:hint="eastAsia"/>
                      <w:color w:val="auto"/>
                      <w:u w:val="single"/>
                    </w:rPr>
                    <w:t>桶装</w:t>
                  </w:r>
                </w:p>
              </w:tc>
              <w:tc>
                <w:tcPr>
                  <w:tcW w:w="337" w:type="pct"/>
                  <w:tcBorders>
                    <w:tl2br w:val="nil"/>
                    <w:tr2bl w:val="nil"/>
                  </w:tcBorders>
                  <w:noWrap w:val="0"/>
                  <w:vAlign w:val="center"/>
                </w:tcPr>
                <w:p w14:paraId="32B329B4">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机油</w:t>
                  </w:r>
                </w:p>
              </w:tc>
              <w:tc>
                <w:tcPr>
                  <w:tcW w:w="337" w:type="pct"/>
                  <w:tcBorders>
                    <w:tl2br w:val="nil"/>
                    <w:tr2bl w:val="nil"/>
                  </w:tcBorders>
                  <w:noWrap w:val="0"/>
                  <w:vAlign w:val="center"/>
                </w:tcPr>
                <w:p w14:paraId="56041066">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石油烃</w:t>
                  </w:r>
                </w:p>
              </w:tc>
              <w:tc>
                <w:tcPr>
                  <w:tcW w:w="316" w:type="pct"/>
                  <w:tcBorders>
                    <w:tl2br w:val="nil"/>
                    <w:tr2bl w:val="nil"/>
                  </w:tcBorders>
                  <w:noWrap w:val="0"/>
                  <w:vAlign w:val="center"/>
                </w:tcPr>
                <w:p w14:paraId="52FB84A5">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每年</w:t>
                  </w:r>
                </w:p>
              </w:tc>
              <w:tc>
                <w:tcPr>
                  <w:tcW w:w="394" w:type="pct"/>
                  <w:tcBorders>
                    <w:tl2br w:val="nil"/>
                    <w:tr2bl w:val="nil"/>
                  </w:tcBorders>
                  <w:noWrap w:val="0"/>
                  <w:vAlign w:val="center"/>
                </w:tcPr>
                <w:p w14:paraId="72C72A96">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T,I</w:t>
                  </w:r>
                </w:p>
              </w:tc>
              <w:tc>
                <w:tcPr>
                  <w:tcW w:w="376" w:type="pct"/>
                  <w:vMerge w:val="restart"/>
                  <w:tcBorders>
                    <w:tl2br w:val="nil"/>
                    <w:tr2bl w:val="nil"/>
                  </w:tcBorders>
                  <w:noWrap w:val="0"/>
                  <w:vAlign w:val="center"/>
                </w:tcPr>
                <w:p w14:paraId="5A150536">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eastAsia="zh-CN"/>
                    </w:rPr>
                    <w:t>危险废物贮存库</w:t>
                  </w:r>
                  <w:r>
                    <w:rPr>
                      <w:rFonts w:hint="eastAsia" w:ascii="Times New Roman" w:hAnsi="Times New Roman" w:eastAsia="宋体" w:cs="Times New Roman"/>
                      <w:color w:val="auto"/>
                      <w:u w:val="single"/>
                    </w:rPr>
                    <w:t>、委托处理</w:t>
                  </w:r>
                </w:p>
              </w:tc>
            </w:tr>
            <w:tr w14:paraId="4195CF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5BC70D62">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2</w:t>
                  </w:r>
                </w:p>
              </w:tc>
              <w:tc>
                <w:tcPr>
                  <w:tcW w:w="472" w:type="pct"/>
                  <w:tcBorders>
                    <w:tl2br w:val="nil"/>
                    <w:tr2bl w:val="nil"/>
                  </w:tcBorders>
                  <w:noWrap w:val="0"/>
                  <w:vAlign w:val="center"/>
                </w:tcPr>
                <w:p w14:paraId="6901BF50">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废</w:t>
                  </w:r>
                  <w:r>
                    <w:rPr>
                      <w:rFonts w:hint="eastAsia" w:ascii="Times New Roman" w:hAnsi="Times New Roman" w:eastAsia="宋体" w:cs="Times New Roman"/>
                      <w:color w:val="auto"/>
                      <w:u w:val="single"/>
                      <w:lang w:val="en-US" w:eastAsia="zh-CN"/>
                    </w:rPr>
                    <w:t>机</w:t>
                  </w:r>
                  <w:r>
                    <w:rPr>
                      <w:rFonts w:hint="eastAsia" w:ascii="Times New Roman" w:hAnsi="Times New Roman" w:eastAsia="宋体" w:cs="Times New Roman"/>
                      <w:color w:val="auto"/>
                      <w:u w:val="single"/>
                    </w:rPr>
                    <w:t>油桶</w:t>
                  </w:r>
                  <w:r>
                    <w:rPr>
                      <w:rFonts w:hint="eastAsia"/>
                      <w:color w:val="auto"/>
                      <w:u w:val="single"/>
                      <w:lang w:eastAsia="zh-CN"/>
                    </w:rPr>
                    <w:t>、</w:t>
                  </w:r>
                  <w:r>
                    <w:rPr>
                      <w:rFonts w:hint="eastAsia"/>
                      <w:color w:val="auto"/>
                      <w:u w:val="single"/>
                      <w:lang w:val="en-US" w:eastAsia="zh-CN"/>
                    </w:rPr>
                    <w:t>机油格</w:t>
                  </w:r>
                </w:p>
              </w:tc>
              <w:tc>
                <w:tcPr>
                  <w:tcW w:w="490" w:type="pct"/>
                  <w:tcBorders>
                    <w:tl2br w:val="nil"/>
                    <w:tr2bl w:val="nil"/>
                  </w:tcBorders>
                  <w:noWrap w:val="0"/>
                  <w:vAlign w:val="center"/>
                </w:tcPr>
                <w:p w14:paraId="02CBBE5A">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HW49</w:t>
                  </w:r>
                </w:p>
              </w:tc>
              <w:tc>
                <w:tcPr>
                  <w:tcW w:w="485" w:type="pct"/>
                  <w:tcBorders>
                    <w:tl2br w:val="nil"/>
                    <w:tr2bl w:val="nil"/>
                  </w:tcBorders>
                  <w:noWrap w:val="0"/>
                  <w:vAlign w:val="center"/>
                </w:tcPr>
                <w:p w14:paraId="4D8638A5">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900-041-49</w:t>
                  </w:r>
                </w:p>
              </w:tc>
              <w:tc>
                <w:tcPr>
                  <w:tcW w:w="450" w:type="pct"/>
                  <w:tcBorders>
                    <w:tl2br w:val="nil"/>
                    <w:tr2bl w:val="nil"/>
                  </w:tcBorders>
                  <w:noWrap w:val="0"/>
                  <w:vAlign w:val="center"/>
                </w:tcPr>
                <w:p w14:paraId="6D24D22F">
                  <w:pPr>
                    <w:pStyle w:val="42"/>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0.4</w:t>
                  </w:r>
                </w:p>
              </w:tc>
              <w:tc>
                <w:tcPr>
                  <w:tcW w:w="496" w:type="pct"/>
                  <w:tcBorders>
                    <w:tl2br w:val="nil"/>
                    <w:tr2bl w:val="nil"/>
                  </w:tcBorders>
                  <w:noWrap w:val="0"/>
                  <w:vAlign w:val="center"/>
                </w:tcPr>
                <w:p w14:paraId="221DE830">
                  <w:pPr>
                    <w:pStyle w:val="42"/>
                    <w:rPr>
                      <w:rFonts w:hint="eastAsia" w:ascii="Times New Roman" w:hAnsi="Times New Roman" w:eastAsia="宋体" w:cs="Times New Roman"/>
                      <w:color w:val="auto"/>
                      <w:u w:val="single"/>
                    </w:rPr>
                  </w:pPr>
                  <w:r>
                    <w:rPr>
                      <w:rFonts w:hint="eastAsia" w:ascii="Times New Roman" w:hAnsi="Times New Roman" w:cs="Times New Roman"/>
                      <w:color w:val="auto"/>
                      <w:u w:val="single"/>
                      <w:lang w:val="en-US" w:eastAsia="zh-CN"/>
                    </w:rPr>
                    <w:t>汽车</w:t>
                  </w:r>
                  <w:r>
                    <w:rPr>
                      <w:rFonts w:hint="eastAsia" w:ascii="Times New Roman" w:hAnsi="Times New Roman" w:eastAsia="宋体" w:cs="Times New Roman"/>
                      <w:color w:val="auto"/>
                      <w:u w:val="single"/>
                      <w:lang w:eastAsia="zh-CN"/>
                    </w:rPr>
                    <w:t>维修</w:t>
                  </w:r>
                </w:p>
              </w:tc>
              <w:tc>
                <w:tcPr>
                  <w:tcW w:w="275" w:type="pct"/>
                  <w:tcBorders>
                    <w:tl2br w:val="nil"/>
                    <w:tr2bl w:val="nil"/>
                  </w:tcBorders>
                  <w:noWrap w:val="0"/>
                  <w:vAlign w:val="center"/>
                </w:tcPr>
                <w:p w14:paraId="637CCF6E">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固态</w:t>
                  </w:r>
                </w:p>
              </w:tc>
              <w:tc>
                <w:tcPr>
                  <w:tcW w:w="337" w:type="pct"/>
                  <w:tcBorders>
                    <w:tl2br w:val="nil"/>
                    <w:tr2bl w:val="nil"/>
                  </w:tcBorders>
                  <w:noWrap w:val="0"/>
                  <w:vAlign w:val="center"/>
                </w:tcPr>
                <w:p w14:paraId="7B0F3BE6">
                  <w:pPr>
                    <w:pStyle w:val="42"/>
                    <w:rPr>
                      <w:rFonts w:hint="eastAsia" w:ascii="Times New Roman" w:hAnsi="Times New Roman" w:eastAsia="宋体" w:cs="Times New Roman"/>
                      <w:color w:val="auto"/>
                      <w:u w:val="single"/>
                    </w:rPr>
                  </w:pPr>
                  <w:r>
                    <w:rPr>
                      <w:rFonts w:hint="eastAsia"/>
                      <w:color w:val="auto"/>
                      <w:u w:val="single"/>
                    </w:rPr>
                    <w:t>桶装</w:t>
                  </w:r>
                </w:p>
              </w:tc>
              <w:tc>
                <w:tcPr>
                  <w:tcW w:w="337" w:type="pct"/>
                  <w:tcBorders>
                    <w:tl2br w:val="nil"/>
                    <w:tr2bl w:val="nil"/>
                  </w:tcBorders>
                  <w:noWrap w:val="0"/>
                  <w:vAlign w:val="center"/>
                </w:tcPr>
                <w:p w14:paraId="2B46F333">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机油</w:t>
                  </w:r>
                </w:p>
              </w:tc>
              <w:tc>
                <w:tcPr>
                  <w:tcW w:w="337" w:type="pct"/>
                  <w:tcBorders>
                    <w:tl2br w:val="nil"/>
                    <w:tr2bl w:val="nil"/>
                  </w:tcBorders>
                  <w:noWrap w:val="0"/>
                  <w:vAlign w:val="center"/>
                </w:tcPr>
                <w:p w14:paraId="6B67433B">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石油烃</w:t>
                  </w:r>
                </w:p>
              </w:tc>
              <w:tc>
                <w:tcPr>
                  <w:tcW w:w="316" w:type="pct"/>
                  <w:tcBorders>
                    <w:tl2br w:val="nil"/>
                    <w:tr2bl w:val="nil"/>
                  </w:tcBorders>
                  <w:noWrap w:val="0"/>
                  <w:vAlign w:val="center"/>
                </w:tcPr>
                <w:p w14:paraId="7FA41AA4">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每年</w:t>
                  </w:r>
                </w:p>
              </w:tc>
              <w:tc>
                <w:tcPr>
                  <w:tcW w:w="394" w:type="pct"/>
                  <w:tcBorders>
                    <w:tl2br w:val="nil"/>
                    <w:tr2bl w:val="nil"/>
                  </w:tcBorders>
                  <w:noWrap w:val="0"/>
                  <w:vAlign w:val="center"/>
                </w:tcPr>
                <w:p w14:paraId="3B13BA78">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T,I</w:t>
                  </w:r>
                </w:p>
              </w:tc>
              <w:tc>
                <w:tcPr>
                  <w:tcW w:w="376" w:type="pct"/>
                  <w:vMerge w:val="continue"/>
                  <w:tcBorders>
                    <w:tl2br w:val="nil"/>
                    <w:tr2bl w:val="nil"/>
                  </w:tcBorders>
                  <w:noWrap w:val="0"/>
                  <w:vAlign w:val="center"/>
                </w:tcPr>
                <w:p w14:paraId="4ED58AB8">
                  <w:pPr>
                    <w:pStyle w:val="42"/>
                    <w:rPr>
                      <w:rFonts w:hint="eastAsia" w:ascii="Times New Roman" w:hAnsi="Times New Roman" w:eastAsia="宋体" w:cs="Times New Roman"/>
                      <w:color w:val="auto"/>
                      <w:u w:val="single"/>
                    </w:rPr>
                  </w:pPr>
                </w:p>
              </w:tc>
            </w:tr>
            <w:tr w14:paraId="0D2D02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3A50D20C">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3</w:t>
                  </w:r>
                </w:p>
              </w:tc>
              <w:tc>
                <w:tcPr>
                  <w:tcW w:w="472" w:type="pct"/>
                  <w:tcBorders>
                    <w:tl2br w:val="nil"/>
                    <w:tr2bl w:val="nil"/>
                  </w:tcBorders>
                  <w:noWrap w:val="0"/>
                  <w:vAlign w:val="center"/>
                </w:tcPr>
                <w:p w14:paraId="0494218C">
                  <w:pPr>
                    <w:pStyle w:val="42"/>
                    <w:rPr>
                      <w:rFonts w:hint="eastAsia" w:ascii="Times New Roman" w:hAnsi="Times New Roman" w:eastAsia="宋体" w:cs="Times New Roman"/>
                      <w:color w:val="auto"/>
                      <w:u w:val="single"/>
                    </w:rPr>
                  </w:pPr>
                  <w:r>
                    <w:rPr>
                      <w:color w:val="auto"/>
                      <w:u w:val="single"/>
                    </w:rPr>
                    <w:t>废</w:t>
                  </w:r>
                  <w:r>
                    <w:rPr>
                      <w:rFonts w:hint="eastAsia"/>
                      <w:color w:val="auto"/>
                      <w:u w:val="single"/>
                    </w:rPr>
                    <w:t>油漆</w:t>
                  </w:r>
                  <w:r>
                    <w:rPr>
                      <w:color w:val="auto"/>
                      <w:u w:val="single"/>
                    </w:rPr>
                    <w:t>桶</w:t>
                  </w:r>
                  <w:r>
                    <w:rPr>
                      <w:rFonts w:hint="eastAsia"/>
                      <w:color w:val="auto"/>
                      <w:u w:val="single"/>
                    </w:rPr>
                    <w:t>、废</w:t>
                  </w:r>
                  <w:r>
                    <w:rPr>
                      <w:rFonts w:hint="eastAsia"/>
                      <w:color w:val="auto"/>
                      <w:u w:val="single"/>
                      <w:lang w:eastAsia="zh-CN"/>
                    </w:rPr>
                    <w:t>稀释剂</w:t>
                  </w:r>
                  <w:r>
                    <w:rPr>
                      <w:rFonts w:hint="eastAsia"/>
                      <w:color w:val="auto"/>
                      <w:u w:val="single"/>
                    </w:rPr>
                    <w:t>桶</w:t>
                  </w:r>
                </w:p>
              </w:tc>
              <w:tc>
                <w:tcPr>
                  <w:tcW w:w="490" w:type="pct"/>
                  <w:tcBorders>
                    <w:tl2br w:val="nil"/>
                    <w:tr2bl w:val="nil"/>
                  </w:tcBorders>
                  <w:noWrap w:val="0"/>
                  <w:vAlign w:val="center"/>
                </w:tcPr>
                <w:p w14:paraId="63F5B85E">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HW49</w:t>
                  </w:r>
                </w:p>
              </w:tc>
              <w:tc>
                <w:tcPr>
                  <w:tcW w:w="485" w:type="pct"/>
                  <w:tcBorders>
                    <w:tl2br w:val="nil"/>
                    <w:tr2bl w:val="nil"/>
                  </w:tcBorders>
                  <w:noWrap w:val="0"/>
                  <w:vAlign w:val="center"/>
                </w:tcPr>
                <w:p w14:paraId="637B4DFB">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900-041-49</w:t>
                  </w:r>
                </w:p>
              </w:tc>
              <w:tc>
                <w:tcPr>
                  <w:tcW w:w="450" w:type="pct"/>
                  <w:tcBorders>
                    <w:tl2br w:val="nil"/>
                    <w:tr2bl w:val="nil"/>
                  </w:tcBorders>
                  <w:noWrap w:val="0"/>
                  <w:vAlign w:val="center"/>
                </w:tcPr>
                <w:p w14:paraId="590703F8">
                  <w:pPr>
                    <w:pStyle w:val="42"/>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0.</w:t>
                  </w:r>
                  <w:r>
                    <w:rPr>
                      <w:rFonts w:hint="eastAsia" w:ascii="Times New Roman" w:hAnsi="Times New Roman" w:eastAsia="宋体" w:cs="Times New Roman"/>
                      <w:color w:val="auto"/>
                      <w:u w:val="single"/>
                      <w:lang w:val="en-US" w:eastAsia="zh-CN"/>
                    </w:rPr>
                    <w:t>3</w:t>
                  </w:r>
                  <w:r>
                    <w:rPr>
                      <w:rFonts w:hint="eastAsia" w:ascii="Times New Roman" w:hAnsi="Times New Roman" w:cs="Times New Roman"/>
                      <w:color w:val="auto"/>
                      <w:u w:val="single"/>
                      <w:lang w:val="en-US" w:eastAsia="zh-CN"/>
                    </w:rPr>
                    <w:t>65</w:t>
                  </w:r>
                </w:p>
              </w:tc>
              <w:tc>
                <w:tcPr>
                  <w:tcW w:w="496" w:type="pct"/>
                  <w:tcBorders>
                    <w:tl2br w:val="nil"/>
                    <w:tr2bl w:val="nil"/>
                  </w:tcBorders>
                  <w:noWrap w:val="0"/>
                  <w:vAlign w:val="center"/>
                </w:tcPr>
                <w:p w14:paraId="2C9EB891">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喷涂</w:t>
                  </w:r>
                </w:p>
              </w:tc>
              <w:tc>
                <w:tcPr>
                  <w:tcW w:w="275" w:type="pct"/>
                  <w:tcBorders>
                    <w:tl2br w:val="nil"/>
                    <w:tr2bl w:val="nil"/>
                  </w:tcBorders>
                  <w:noWrap w:val="0"/>
                  <w:vAlign w:val="center"/>
                </w:tcPr>
                <w:p w14:paraId="61838787">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固态</w:t>
                  </w:r>
                </w:p>
              </w:tc>
              <w:tc>
                <w:tcPr>
                  <w:tcW w:w="337" w:type="pct"/>
                  <w:tcBorders>
                    <w:tl2br w:val="nil"/>
                    <w:tr2bl w:val="nil"/>
                  </w:tcBorders>
                  <w:noWrap w:val="0"/>
                  <w:vAlign w:val="center"/>
                </w:tcPr>
                <w:p w14:paraId="3150F8D2">
                  <w:pPr>
                    <w:pStyle w:val="42"/>
                    <w:rPr>
                      <w:rFonts w:hint="eastAsia" w:ascii="Times New Roman" w:hAnsi="Times New Roman" w:eastAsia="宋体" w:cs="Times New Roman"/>
                      <w:color w:val="auto"/>
                      <w:u w:val="single"/>
                      <w:lang w:val="en-US" w:eastAsia="zh-CN"/>
                    </w:rPr>
                  </w:pPr>
                  <w:r>
                    <w:rPr>
                      <w:rFonts w:hint="eastAsia"/>
                      <w:color w:val="auto"/>
                      <w:u w:val="single"/>
                    </w:rPr>
                    <w:t>桶装</w:t>
                  </w:r>
                </w:p>
              </w:tc>
              <w:tc>
                <w:tcPr>
                  <w:tcW w:w="337" w:type="pct"/>
                  <w:tcBorders>
                    <w:tl2br w:val="nil"/>
                    <w:tr2bl w:val="nil"/>
                  </w:tcBorders>
                  <w:noWrap w:val="0"/>
                  <w:vAlign w:val="center"/>
                </w:tcPr>
                <w:p w14:paraId="08D6224B">
                  <w:pPr>
                    <w:pStyle w:val="42"/>
                    <w:rPr>
                      <w:rFonts w:hint="eastAsia" w:ascii="Times New Roman" w:hAnsi="Times New Roman" w:eastAsia="宋体" w:cs="Times New Roman"/>
                      <w:color w:val="auto"/>
                      <w:u w:val="single"/>
                    </w:rPr>
                  </w:pPr>
                  <w:r>
                    <w:rPr>
                      <w:rFonts w:hint="eastAsia" w:ascii="Times New Roman" w:hAnsi="Times New Roman" w:cs="Times New Roman"/>
                      <w:color w:val="auto"/>
                      <w:u w:val="single"/>
                      <w:lang w:val="en-US" w:eastAsia="zh-CN"/>
                    </w:rPr>
                    <w:t>有机溶剂</w:t>
                  </w:r>
                </w:p>
              </w:tc>
              <w:tc>
                <w:tcPr>
                  <w:tcW w:w="337" w:type="pct"/>
                  <w:tcBorders>
                    <w:tl2br w:val="nil"/>
                    <w:tr2bl w:val="nil"/>
                  </w:tcBorders>
                  <w:noWrap w:val="0"/>
                  <w:vAlign w:val="center"/>
                </w:tcPr>
                <w:p w14:paraId="3424D1BF">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油漆、原料桶</w:t>
                  </w:r>
                </w:p>
              </w:tc>
              <w:tc>
                <w:tcPr>
                  <w:tcW w:w="316" w:type="pct"/>
                  <w:tcBorders>
                    <w:tl2br w:val="nil"/>
                    <w:tr2bl w:val="nil"/>
                  </w:tcBorders>
                  <w:noWrap w:val="0"/>
                  <w:vAlign w:val="center"/>
                </w:tcPr>
                <w:p w14:paraId="6309705F">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每年</w:t>
                  </w:r>
                </w:p>
              </w:tc>
              <w:tc>
                <w:tcPr>
                  <w:tcW w:w="394" w:type="pct"/>
                  <w:tcBorders>
                    <w:tl2br w:val="nil"/>
                    <w:tr2bl w:val="nil"/>
                  </w:tcBorders>
                  <w:noWrap w:val="0"/>
                  <w:vAlign w:val="center"/>
                </w:tcPr>
                <w:p w14:paraId="41006529">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T,I</w:t>
                  </w:r>
                </w:p>
              </w:tc>
              <w:tc>
                <w:tcPr>
                  <w:tcW w:w="376" w:type="pct"/>
                  <w:vMerge w:val="continue"/>
                  <w:tcBorders>
                    <w:tl2br w:val="nil"/>
                    <w:tr2bl w:val="nil"/>
                  </w:tcBorders>
                  <w:noWrap w:val="0"/>
                  <w:vAlign w:val="center"/>
                </w:tcPr>
                <w:p w14:paraId="25781F44">
                  <w:pPr>
                    <w:pStyle w:val="42"/>
                    <w:rPr>
                      <w:rFonts w:hint="eastAsia" w:ascii="Times New Roman" w:hAnsi="Times New Roman" w:eastAsia="宋体" w:cs="Times New Roman"/>
                      <w:color w:val="auto"/>
                      <w:u w:val="single"/>
                    </w:rPr>
                  </w:pPr>
                </w:p>
              </w:tc>
            </w:tr>
            <w:tr w14:paraId="3939D8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vMerge w:val="restart"/>
                  <w:tcBorders>
                    <w:tl2br w:val="nil"/>
                    <w:tr2bl w:val="nil"/>
                  </w:tcBorders>
                  <w:shd w:val="clear" w:color="auto" w:fill="auto"/>
                  <w:noWrap w:val="0"/>
                  <w:vAlign w:val="center"/>
                </w:tcPr>
                <w:p w14:paraId="2F17CA4F">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4</w:t>
                  </w:r>
                </w:p>
              </w:tc>
              <w:tc>
                <w:tcPr>
                  <w:tcW w:w="472" w:type="pct"/>
                  <w:tcBorders>
                    <w:tl2br w:val="nil"/>
                    <w:tr2bl w:val="nil"/>
                  </w:tcBorders>
                  <w:noWrap w:val="0"/>
                  <w:vAlign w:val="center"/>
                </w:tcPr>
                <w:p w14:paraId="677DDBAF">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废洗枪手废溶剂</w:t>
                  </w:r>
                </w:p>
              </w:tc>
              <w:tc>
                <w:tcPr>
                  <w:tcW w:w="490" w:type="pct"/>
                  <w:tcBorders>
                    <w:tl2br w:val="nil"/>
                    <w:tr2bl w:val="nil"/>
                  </w:tcBorders>
                  <w:noWrap w:val="0"/>
                  <w:vAlign w:val="center"/>
                </w:tcPr>
                <w:p w14:paraId="65DAB484">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HW49</w:t>
                  </w:r>
                </w:p>
              </w:tc>
              <w:tc>
                <w:tcPr>
                  <w:tcW w:w="485" w:type="pct"/>
                  <w:tcBorders>
                    <w:tl2br w:val="nil"/>
                    <w:tr2bl w:val="nil"/>
                  </w:tcBorders>
                  <w:noWrap w:val="0"/>
                  <w:vAlign w:val="center"/>
                </w:tcPr>
                <w:p w14:paraId="29284000">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900-041-49</w:t>
                  </w:r>
                </w:p>
              </w:tc>
              <w:tc>
                <w:tcPr>
                  <w:tcW w:w="450" w:type="pct"/>
                  <w:tcBorders>
                    <w:tl2br w:val="nil"/>
                    <w:tr2bl w:val="nil"/>
                  </w:tcBorders>
                  <w:noWrap w:val="0"/>
                  <w:vAlign w:val="center"/>
                </w:tcPr>
                <w:p w14:paraId="06C86C53">
                  <w:pPr>
                    <w:pStyle w:val="42"/>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0.2</w:t>
                  </w:r>
                </w:p>
              </w:tc>
              <w:tc>
                <w:tcPr>
                  <w:tcW w:w="496" w:type="pct"/>
                  <w:tcBorders>
                    <w:tl2br w:val="nil"/>
                    <w:tr2bl w:val="nil"/>
                  </w:tcBorders>
                  <w:noWrap w:val="0"/>
                  <w:vAlign w:val="center"/>
                </w:tcPr>
                <w:p w14:paraId="7F703F68">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喷涂</w:t>
                  </w:r>
                </w:p>
              </w:tc>
              <w:tc>
                <w:tcPr>
                  <w:tcW w:w="275" w:type="pct"/>
                  <w:tcBorders>
                    <w:tl2br w:val="nil"/>
                    <w:tr2bl w:val="nil"/>
                  </w:tcBorders>
                  <w:noWrap w:val="0"/>
                  <w:vAlign w:val="center"/>
                </w:tcPr>
                <w:p w14:paraId="62AD0BF1">
                  <w:pPr>
                    <w:pStyle w:val="42"/>
                    <w:rPr>
                      <w:rFonts w:hint="eastAsia"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液态</w:t>
                  </w:r>
                </w:p>
              </w:tc>
              <w:tc>
                <w:tcPr>
                  <w:tcW w:w="337" w:type="pct"/>
                  <w:tcBorders>
                    <w:tl2br w:val="nil"/>
                    <w:tr2bl w:val="nil"/>
                  </w:tcBorders>
                  <w:noWrap w:val="0"/>
                  <w:vAlign w:val="center"/>
                </w:tcPr>
                <w:p w14:paraId="1E50F5A7">
                  <w:pPr>
                    <w:pStyle w:val="42"/>
                    <w:rPr>
                      <w:rFonts w:hint="eastAsia"/>
                      <w:color w:val="auto"/>
                      <w:u w:val="single"/>
                    </w:rPr>
                  </w:pPr>
                  <w:r>
                    <w:rPr>
                      <w:rFonts w:hint="eastAsia"/>
                      <w:color w:val="auto"/>
                      <w:u w:val="single"/>
                    </w:rPr>
                    <w:t>桶装</w:t>
                  </w:r>
                </w:p>
              </w:tc>
              <w:tc>
                <w:tcPr>
                  <w:tcW w:w="337" w:type="pct"/>
                  <w:tcBorders>
                    <w:tl2br w:val="nil"/>
                    <w:tr2bl w:val="nil"/>
                  </w:tcBorders>
                  <w:noWrap w:val="0"/>
                  <w:vAlign w:val="center"/>
                </w:tcPr>
                <w:p w14:paraId="27093A61">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有机溶剂</w:t>
                  </w:r>
                </w:p>
              </w:tc>
              <w:tc>
                <w:tcPr>
                  <w:tcW w:w="337" w:type="pct"/>
                  <w:tcBorders>
                    <w:tl2br w:val="nil"/>
                    <w:tr2bl w:val="nil"/>
                  </w:tcBorders>
                  <w:noWrap w:val="0"/>
                  <w:vAlign w:val="center"/>
                </w:tcPr>
                <w:p w14:paraId="29710A66">
                  <w:pPr>
                    <w:pStyle w:val="42"/>
                    <w:rPr>
                      <w:rFonts w:hint="eastAsia"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油漆</w:t>
                  </w:r>
                </w:p>
              </w:tc>
              <w:tc>
                <w:tcPr>
                  <w:tcW w:w="316" w:type="pct"/>
                  <w:tcBorders>
                    <w:tl2br w:val="nil"/>
                    <w:tr2bl w:val="nil"/>
                  </w:tcBorders>
                  <w:shd w:val="clear" w:color="auto" w:fill="auto"/>
                  <w:noWrap w:val="0"/>
                  <w:vAlign w:val="center"/>
                </w:tcPr>
                <w:p w14:paraId="6DE5F4E6">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3AE5CC88">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T,I</w:t>
                  </w:r>
                </w:p>
              </w:tc>
              <w:tc>
                <w:tcPr>
                  <w:tcW w:w="376" w:type="pct"/>
                  <w:vMerge w:val="continue"/>
                  <w:tcBorders>
                    <w:tl2br w:val="nil"/>
                    <w:tr2bl w:val="nil"/>
                  </w:tcBorders>
                  <w:noWrap w:val="0"/>
                  <w:vAlign w:val="center"/>
                </w:tcPr>
                <w:p w14:paraId="555458C7">
                  <w:pPr>
                    <w:pStyle w:val="42"/>
                    <w:rPr>
                      <w:rFonts w:hint="eastAsia" w:ascii="Times New Roman" w:hAnsi="Times New Roman" w:eastAsia="宋体" w:cs="Times New Roman"/>
                      <w:color w:val="auto"/>
                      <w:u w:val="single"/>
                    </w:rPr>
                  </w:pPr>
                </w:p>
              </w:tc>
            </w:tr>
            <w:tr w14:paraId="14D87D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vMerge w:val="continue"/>
                  <w:tcBorders>
                    <w:tl2br w:val="nil"/>
                    <w:tr2bl w:val="nil"/>
                  </w:tcBorders>
                  <w:shd w:val="clear" w:color="auto" w:fill="auto"/>
                  <w:noWrap w:val="0"/>
                  <w:vAlign w:val="center"/>
                </w:tcPr>
                <w:p w14:paraId="01D12E6A">
                  <w:pPr>
                    <w:pStyle w:val="42"/>
                    <w:ind w:firstLine="0" w:firstLineChars="0"/>
                    <w:rPr>
                      <w:rFonts w:hint="eastAsia" w:ascii="Times New Roman" w:hAnsi="Times New Roman" w:eastAsia="宋体" w:cs="Times New Roman"/>
                      <w:color w:val="auto"/>
                      <w:u w:val="single"/>
                      <w:lang w:val="en-US" w:eastAsia="zh-CN"/>
                    </w:rPr>
                  </w:pPr>
                </w:p>
              </w:tc>
              <w:tc>
                <w:tcPr>
                  <w:tcW w:w="472" w:type="pct"/>
                  <w:tcBorders>
                    <w:tl2br w:val="nil"/>
                    <w:tr2bl w:val="nil"/>
                  </w:tcBorders>
                  <w:noWrap w:val="0"/>
                  <w:vAlign w:val="center"/>
                </w:tcPr>
                <w:p w14:paraId="650A24A3">
                  <w:pPr>
                    <w:pStyle w:val="42"/>
                    <w:rPr>
                      <w:rFonts w:hint="eastAsia"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废</w:t>
                  </w:r>
                  <w:r>
                    <w:rPr>
                      <w:rFonts w:hint="eastAsia" w:ascii="Times New Roman" w:hAnsi="Times New Roman" w:eastAsia="宋体" w:cs="Times New Roman"/>
                      <w:color w:val="auto"/>
                      <w:u w:val="single"/>
                      <w:lang w:eastAsia="zh-CN"/>
                    </w:rPr>
                    <w:t>漆渣</w:t>
                  </w:r>
                </w:p>
              </w:tc>
              <w:tc>
                <w:tcPr>
                  <w:tcW w:w="490" w:type="pct"/>
                  <w:tcBorders>
                    <w:tl2br w:val="nil"/>
                    <w:tr2bl w:val="nil"/>
                  </w:tcBorders>
                  <w:shd w:val="clear" w:color="auto" w:fill="auto"/>
                  <w:noWrap w:val="0"/>
                  <w:vAlign w:val="center"/>
                </w:tcPr>
                <w:p w14:paraId="6B0DBED4">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HW49</w:t>
                  </w:r>
                </w:p>
              </w:tc>
              <w:tc>
                <w:tcPr>
                  <w:tcW w:w="485" w:type="pct"/>
                  <w:tcBorders>
                    <w:tl2br w:val="nil"/>
                    <w:tr2bl w:val="nil"/>
                  </w:tcBorders>
                  <w:shd w:val="clear" w:color="auto" w:fill="auto"/>
                  <w:noWrap w:val="0"/>
                  <w:vAlign w:val="center"/>
                </w:tcPr>
                <w:p w14:paraId="55F5CE89">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900-041-49</w:t>
                  </w:r>
                </w:p>
              </w:tc>
              <w:tc>
                <w:tcPr>
                  <w:tcW w:w="450" w:type="pct"/>
                  <w:tcBorders>
                    <w:tl2br w:val="nil"/>
                    <w:tr2bl w:val="nil"/>
                  </w:tcBorders>
                  <w:noWrap w:val="0"/>
                  <w:vAlign w:val="center"/>
                </w:tcPr>
                <w:p w14:paraId="14B5A15B">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0.1</w:t>
                  </w:r>
                </w:p>
              </w:tc>
              <w:tc>
                <w:tcPr>
                  <w:tcW w:w="496" w:type="pct"/>
                  <w:tcBorders>
                    <w:tl2br w:val="nil"/>
                    <w:tr2bl w:val="nil"/>
                  </w:tcBorders>
                  <w:noWrap w:val="0"/>
                  <w:vAlign w:val="center"/>
                </w:tcPr>
                <w:p w14:paraId="60614C5E">
                  <w:pPr>
                    <w:pStyle w:val="42"/>
                    <w:rPr>
                      <w:rFonts w:hint="eastAsia" w:ascii="Times New Roman" w:hAnsi="Times New Roman" w:cs="Times New Roman"/>
                      <w:color w:val="auto"/>
                      <w:u w:val="single"/>
                      <w:lang w:val="en-US" w:eastAsia="zh-CN"/>
                    </w:rPr>
                  </w:pPr>
                  <w:r>
                    <w:rPr>
                      <w:rFonts w:hint="eastAsia" w:ascii="Times New Roman" w:hAnsi="Times New Roman" w:cs="Times New Roman"/>
                      <w:color w:val="auto"/>
                      <w:u w:val="single"/>
                      <w:lang w:val="en-US" w:eastAsia="zh-CN"/>
                    </w:rPr>
                    <w:t>打磨</w:t>
                  </w:r>
                </w:p>
              </w:tc>
              <w:tc>
                <w:tcPr>
                  <w:tcW w:w="275" w:type="pct"/>
                  <w:tcBorders>
                    <w:tl2br w:val="nil"/>
                    <w:tr2bl w:val="nil"/>
                  </w:tcBorders>
                  <w:noWrap w:val="0"/>
                  <w:vAlign w:val="center"/>
                </w:tcPr>
                <w:p w14:paraId="75B3E117">
                  <w:pPr>
                    <w:pStyle w:val="42"/>
                    <w:rPr>
                      <w:rFonts w:hint="eastAsia"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固态</w:t>
                  </w:r>
                </w:p>
              </w:tc>
              <w:tc>
                <w:tcPr>
                  <w:tcW w:w="337" w:type="pct"/>
                  <w:tcBorders>
                    <w:tl2br w:val="nil"/>
                    <w:tr2bl w:val="nil"/>
                  </w:tcBorders>
                  <w:noWrap w:val="0"/>
                  <w:vAlign w:val="center"/>
                </w:tcPr>
                <w:p w14:paraId="2B2A8B5C">
                  <w:pPr>
                    <w:pStyle w:val="42"/>
                    <w:rPr>
                      <w:rFonts w:hint="eastAsia"/>
                      <w:color w:val="auto"/>
                      <w:u w:val="single"/>
                    </w:rPr>
                  </w:pPr>
                  <w:r>
                    <w:rPr>
                      <w:rFonts w:hint="eastAsia"/>
                      <w:color w:val="auto"/>
                      <w:u w:val="single"/>
                    </w:rPr>
                    <w:t>桶装</w:t>
                  </w:r>
                </w:p>
              </w:tc>
              <w:tc>
                <w:tcPr>
                  <w:tcW w:w="337" w:type="pct"/>
                  <w:tcBorders>
                    <w:tl2br w:val="nil"/>
                    <w:tr2bl w:val="nil"/>
                  </w:tcBorders>
                  <w:noWrap w:val="0"/>
                  <w:vAlign w:val="center"/>
                </w:tcPr>
                <w:p w14:paraId="53DAF229">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油漆</w:t>
                  </w:r>
                </w:p>
              </w:tc>
              <w:tc>
                <w:tcPr>
                  <w:tcW w:w="337" w:type="pct"/>
                  <w:tcBorders>
                    <w:tl2br w:val="nil"/>
                    <w:tr2bl w:val="nil"/>
                  </w:tcBorders>
                  <w:shd w:val="clear" w:color="auto" w:fill="auto"/>
                  <w:noWrap w:val="0"/>
                  <w:vAlign w:val="center"/>
                </w:tcPr>
                <w:p w14:paraId="74B4C8AE">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油漆</w:t>
                  </w:r>
                </w:p>
              </w:tc>
              <w:tc>
                <w:tcPr>
                  <w:tcW w:w="316" w:type="pct"/>
                  <w:tcBorders>
                    <w:tl2br w:val="nil"/>
                    <w:tr2bl w:val="nil"/>
                  </w:tcBorders>
                  <w:shd w:val="clear" w:color="auto" w:fill="auto"/>
                  <w:noWrap w:val="0"/>
                  <w:vAlign w:val="center"/>
                </w:tcPr>
                <w:p w14:paraId="3E630AF4">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58D331E3">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T,I</w:t>
                  </w:r>
                </w:p>
              </w:tc>
              <w:tc>
                <w:tcPr>
                  <w:tcW w:w="376" w:type="pct"/>
                  <w:vMerge w:val="continue"/>
                  <w:tcBorders>
                    <w:tl2br w:val="nil"/>
                    <w:tr2bl w:val="nil"/>
                  </w:tcBorders>
                  <w:noWrap w:val="0"/>
                  <w:vAlign w:val="center"/>
                </w:tcPr>
                <w:p w14:paraId="0889B852">
                  <w:pPr>
                    <w:pStyle w:val="42"/>
                    <w:rPr>
                      <w:rFonts w:hint="eastAsia" w:ascii="Times New Roman" w:hAnsi="Times New Roman" w:eastAsia="宋体" w:cs="Times New Roman"/>
                      <w:color w:val="auto"/>
                      <w:u w:val="single"/>
                    </w:rPr>
                  </w:pPr>
                </w:p>
              </w:tc>
            </w:tr>
            <w:tr w14:paraId="7540E4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shd w:val="clear" w:color="auto" w:fill="auto"/>
                  <w:noWrap w:val="0"/>
                  <w:vAlign w:val="center"/>
                </w:tcPr>
                <w:p w14:paraId="7E2DA1C7">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5</w:t>
                  </w:r>
                </w:p>
              </w:tc>
              <w:tc>
                <w:tcPr>
                  <w:tcW w:w="472" w:type="pct"/>
                  <w:tcBorders>
                    <w:tl2br w:val="nil"/>
                    <w:tr2bl w:val="nil"/>
                  </w:tcBorders>
                  <w:shd w:val="clear" w:color="auto" w:fill="auto"/>
                  <w:noWrap w:val="0"/>
                  <w:vAlign w:val="center"/>
                </w:tcPr>
                <w:p w14:paraId="689E280C">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color w:val="auto"/>
                      <w:u w:val="single"/>
                      <w:lang w:val="en-US" w:eastAsia="zh-CN"/>
                    </w:rPr>
                    <w:t>废</w:t>
                  </w:r>
                  <w:r>
                    <w:rPr>
                      <w:color w:val="auto"/>
                      <w:u w:val="single"/>
                    </w:rPr>
                    <w:t>含油</w:t>
                  </w:r>
                  <w:r>
                    <w:rPr>
                      <w:rFonts w:hint="eastAsia"/>
                      <w:color w:val="auto"/>
                      <w:u w:val="single"/>
                      <w:lang w:val="en-US" w:eastAsia="zh-CN"/>
                    </w:rPr>
                    <w:t>手套、</w:t>
                  </w:r>
                  <w:r>
                    <w:rPr>
                      <w:color w:val="auto"/>
                      <w:u w:val="single"/>
                    </w:rPr>
                    <w:t>抹布</w:t>
                  </w:r>
                </w:p>
              </w:tc>
              <w:tc>
                <w:tcPr>
                  <w:tcW w:w="490" w:type="pct"/>
                  <w:tcBorders>
                    <w:tl2br w:val="nil"/>
                    <w:tr2bl w:val="nil"/>
                  </w:tcBorders>
                  <w:shd w:val="clear" w:color="auto" w:fill="auto"/>
                  <w:noWrap w:val="0"/>
                  <w:vAlign w:val="center"/>
                </w:tcPr>
                <w:p w14:paraId="7B98DD92">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豁免内容</w:t>
                  </w:r>
                </w:p>
              </w:tc>
              <w:tc>
                <w:tcPr>
                  <w:tcW w:w="485" w:type="pct"/>
                  <w:tcBorders>
                    <w:tl2br w:val="nil"/>
                    <w:tr2bl w:val="nil"/>
                  </w:tcBorders>
                  <w:shd w:val="clear" w:color="auto" w:fill="auto"/>
                  <w:noWrap w:val="0"/>
                  <w:vAlign w:val="center"/>
                </w:tcPr>
                <w:p w14:paraId="0F3EA052">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900-041-49</w:t>
                  </w:r>
                </w:p>
              </w:tc>
              <w:tc>
                <w:tcPr>
                  <w:tcW w:w="450" w:type="pct"/>
                  <w:tcBorders>
                    <w:tl2br w:val="nil"/>
                    <w:tr2bl w:val="nil"/>
                  </w:tcBorders>
                  <w:shd w:val="clear" w:color="auto" w:fill="auto"/>
                  <w:noWrap w:val="0"/>
                  <w:vAlign w:val="center"/>
                </w:tcPr>
                <w:p w14:paraId="15213D26">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0.05</w:t>
                  </w:r>
                </w:p>
              </w:tc>
              <w:tc>
                <w:tcPr>
                  <w:tcW w:w="496" w:type="pct"/>
                  <w:tcBorders>
                    <w:tl2br w:val="nil"/>
                    <w:tr2bl w:val="nil"/>
                  </w:tcBorders>
                  <w:shd w:val="clear" w:color="auto" w:fill="auto"/>
                  <w:noWrap w:val="0"/>
                  <w:vAlign w:val="center"/>
                </w:tcPr>
                <w:p w14:paraId="69A4DB47">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设备检修</w:t>
                  </w:r>
                </w:p>
              </w:tc>
              <w:tc>
                <w:tcPr>
                  <w:tcW w:w="275" w:type="pct"/>
                  <w:tcBorders>
                    <w:tl2br w:val="nil"/>
                    <w:tr2bl w:val="nil"/>
                  </w:tcBorders>
                  <w:shd w:val="clear" w:color="auto" w:fill="auto"/>
                  <w:noWrap w:val="0"/>
                  <w:vAlign w:val="center"/>
                </w:tcPr>
                <w:p w14:paraId="7877A900">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固态</w:t>
                  </w:r>
                </w:p>
              </w:tc>
              <w:tc>
                <w:tcPr>
                  <w:tcW w:w="337" w:type="pct"/>
                  <w:tcBorders>
                    <w:tl2br w:val="nil"/>
                    <w:tr2bl w:val="nil"/>
                  </w:tcBorders>
                  <w:shd w:val="clear" w:color="auto" w:fill="auto"/>
                  <w:noWrap w:val="0"/>
                  <w:vAlign w:val="center"/>
                </w:tcPr>
                <w:p w14:paraId="3D27631D">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color w:val="auto"/>
                      <w:u w:val="single"/>
                    </w:rPr>
                    <w:t>桶装</w:t>
                  </w:r>
                </w:p>
              </w:tc>
              <w:tc>
                <w:tcPr>
                  <w:tcW w:w="337" w:type="pct"/>
                  <w:tcBorders>
                    <w:tl2br w:val="nil"/>
                    <w:tr2bl w:val="nil"/>
                  </w:tcBorders>
                  <w:shd w:val="clear" w:color="auto" w:fill="auto"/>
                  <w:noWrap w:val="0"/>
                  <w:vAlign w:val="center"/>
                </w:tcPr>
                <w:p w14:paraId="4D4EAE7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抹布</w:t>
                  </w:r>
                </w:p>
              </w:tc>
              <w:tc>
                <w:tcPr>
                  <w:tcW w:w="337" w:type="pct"/>
                  <w:tcBorders>
                    <w:tl2br w:val="nil"/>
                    <w:tr2bl w:val="nil"/>
                  </w:tcBorders>
                  <w:shd w:val="clear" w:color="auto" w:fill="auto"/>
                  <w:noWrap w:val="0"/>
                  <w:vAlign w:val="center"/>
                </w:tcPr>
                <w:p w14:paraId="67203BB6">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石油烃</w:t>
                  </w:r>
                </w:p>
              </w:tc>
              <w:tc>
                <w:tcPr>
                  <w:tcW w:w="316" w:type="pct"/>
                  <w:tcBorders>
                    <w:tl2br w:val="nil"/>
                    <w:tr2bl w:val="nil"/>
                  </w:tcBorders>
                  <w:shd w:val="clear" w:color="auto" w:fill="auto"/>
                  <w:noWrap w:val="0"/>
                  <w:vAlign w:val="center"/>
                </w:tcPr>
                <w:p w14:paraId="54F7D288">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347CB983">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w:t>
                  </w:r>
                </w:p>
              </w:tc>
              <w:tc>
                <w:tcPr>
                  <w:tcW w:w="376" w:type="pct"/>
                  <w:vMerge w:val="continue"/>
                  <w:tcBorders>
                    <w:tl2br w:val="nil"/>
                    <w:tr2bl w:val="nil"/>
                  </w:tcBorders>
                  <w:noWrap w:val="0"/>
                  <w:vAlign w:val="center"/>
                </w:tcPr>
                <w:p w14:paraId="1BB7A53F">
                  <w:pPr>
                    <w:pStyle w:val="42"/>
                    <w:rPr>
                      <w:rFonts w:hint="eastAsia" w:ascii="Times New Roman" w:hAnsi="Times New Roman" w:eastAsia="宋体" w:cs="Times New Roman"/>
                      <w:color w:val="auto"/>
                      <w:u w:val="single"/>
                    </w:rPr>
                  </w:pPr>
                </w:p>
              </w:tc>
            </w:tr>
            <w:tr w14:paraId="385528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shd w:val="clear" w:color="auto" w:fill="auto"/>
                  <w:noWrap w:val="0"/>
                  <w:vAlign w:val="center"/>
                </w:tcPr>
                <w:p w14:paraId="228C5927">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6</w:t>
                  </w:r>
                </w:p>
              </w:tc>
              <w:tc>
                <w:tcPr>
                  <w:tcW w:w="472" w:type="pct"/>
                  <w:tcBorders>
                    <w:tl2br w:val="nil"/>
                    <w:tr2bl w:val="nil"/>
                  </w:tcBorders>
                  <w:shd w:val="clear" w:color="auto" w:fill="auto"/>
                  <w:noWrap w:val="0"/>
                  <w:vAlign w:val="center"/>
                </w:tcPr>
                <w:p w14:paraId="75D14D88">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废过滤棉</w:t>
                  </w:r>
                </w:p>
              </w:tc>
              <w:tc>
                <w:tcPr>
                  <w:tcW w:w="490" w:type="pct"/>
                  <w:tcBorders>
                    <w:tl2br w:val="nil"/>
                    <w:tr2bl w:val="nil"/>
                  </w:tcBorders>
                  <w:shd w:val="clear" w:color="auto" w:fill="auto"/>
                  <w:noWrap w:val="0"/>
                  <w:vAlign w:val="center"/>
                </w:tcPr>
                <w:p w14:paraId="02CB5F1B">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HW49</w:t>
                  </w:r>
                </w:p>
              </w:tc>
              <w:tc>
                <w:tcPr>
                  <w:tcW w:w="485" w:type="pct"/>
                  <w:tcBorders>
                    <w:tl2br w:val="nil"/>
                    <w:tr2bl w:val="nil"/>
                  </w:tcBorders>
                  <w:shd w:val="clear" w:color="auto" w:fill="auto"/>
                  <w:noWrap w:val="0"/>
                  <w:vAlign w:val="center"/>
                </w:tcPr>
                <w:p w14:paraId="788C2A25">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900-041-49</w:t>
                  </w:r>
                </w:p>
              </w:tc>
              <w:tc>
                <w:tcPr>
                  <w:tcW w:w="450" w:type="pct"/>
                  <w:tcBorders>
                    <w:tl2br w:val="nil"/>
                    <w:tr2bl w:val="nil"/>
                  </w:tcBorders>
                  <w:shd w:val="clear" w:color="auto" w:fill="auto"/>
                  <w:noWrap w:val="0"/>
                  <w:vAlign w:val="center"/>
                </w:tcPr>
                <w:p w14:paraId="79B6D52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0.04</w:t>
                  </w:r>
                </w:p>
              </w:tc>
              <w:tc>
                <w:tcPr>
                  <w:tcW w:w="496" w:type="pct"/>
                  <w:tcBorders>
                    <w:tl2br w:val="nil"/>
                    <w:tr2bl w:val="nil"/>
                  </w:tcBorders>
                  <w:shd w:val="clear" w:color="auto" w:fill="auto"/>
                  <w:noWrap w:val="0"/>
                  <w:vAlign w:val="center"/>
                </w:tcPr>
                <w:p w14:paraId="71130546">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废气处理设施</w:t>
                  </w:r>
                </w:p>
              </w:tc>
              <w:tc>
                <w:tcPr>
                  <w:tcW w:w="275" w:type="pct"/>
                  <w:tcBorders>
                    <w:tl2br w:val="nil"/>
                    <w:tr2bl w:val="nil"/>
                  </w:tcBorders>
                  <w:shd w:val="clear" w:color="auto" w:fill="auto"/>
                  <w:noWrap w:val="0"/>
                  <w:vAlign w:val="center"/>
                </w:tcPr>
                <w:p w14:paraId="4404D105">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固态</w:t>
                  </w:r>
                </w:p>
              </w:tc>
              <w:tc>
                <w:tcPr>
                  <w:tcW w:w="337" w:type="pct"/>
                  <w:tcBorders>
                    <w:tl2br w:val="nil"/>
                    <w:tr2bl w:val="nil"/>
                  </w:tcBorders>
                  <w:shd w:val="clear" w:color="auto" w:fill="auto"/>
                  <w:noWrap w:val="0"/>
                  <w:vAlign w:val="center"/>
                </w:tcPr>
                <w:p w14:paraId="5C643A4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color w:val="auto"/>
                      <w:u w:val="single"/>
                    </w:rPr>
                    <w:t>桶装</w:t>
                  </w:r>
                </w:p>
              </w:tc>
              <w:tc>
                <w:tcPr>
                  <w:tcW w:w="337" w:type="pct"/>
                  <w:tcBorders>
                    <w:tl2br w:val="nil"/>
                    <w:tr2bl w:val="nil"/>
                  </w:tcBorders>
                  <w:shd w:val="clear" w:color="auto" w:fill="auto"/>
                  <w:noWrap w:val="0"/>
                  <w:vAlign w:val="center"/>
                </w:tcPr>
                <w:p w14:paraId="37011107">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过滤棉</w:t>
                  </w:r>
                </w:p>
              </w:tc>
              <w:tc>
                <w:tcPr>
                  <w:tcW w:w="337" w:type="pct"/>
                  <w:tcBorders>
                    <w:tl2br w:val="nil"/>
                    <w:tr2bl w:val="nil"/>
                  </w:tcBorders>
                  <w:shd w:val="clear" w:color="auto" w:fill="auto"/>
                  <w:noWrap w:val="0"/>
                  <w:vAlign w:val="center"/>
                </w:tcPr>
                <w:p w14:paraId="2FB30C6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有机废物</w:t>
                  </w:r>
                </w:p>
              </w:tc>
              <w:tc>
                <w:tcPr>
                  <w:tcW w:w="316" w:type="pct"/>
                  <w:tcBorders>
                    <w:tl2br w:val="nil"/>
                    <w:tr2bl w:val="nil"/>
                  </w:tcBorders>
                  <w:shd w:val="clear" w:color="auto" w:fill="auto"/>
                  <w:noWrap w:val="0"/>
                  <w:vAlign w:val="center"/>
                </w:tcPr>
                <w:p w14:paraId="0B63C942">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38CEE6AB">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T/In</w:t>
                  </w:r>
                </w:p>
              </w:tc>
              <w:tc>
                <w:tcPr>
                  <w:tcW w:w="376" w:type="pct"/>
                  <w:vMerge w:val="continue"/>
                  <w:tcBorders>
                    <w:tl2br w:val="nil"/>
                    <w:tr2bl w:val="nil"/>
                  </w:tcBorders>
                  <w:noWrap w:val="0"/>
                  <w:vAlign w:val="center"/>
                </w:tcPr>
                <w:p w14:paraId="781D10CE">
                  <w:pPr>
                    <w:pStyle w:val="42"/>
                    <w:rPr>
                      <w:rFonts w:hint="eastAsia" w:ascii="Times New Roman" w:hAnsi="Times New Roman" w:eastAsia="宋体" w:cs="Times New Roman"/>
                      <w:color w:val="auto"/>
                      <w:u w:val="single"/>
                    </w:rPr>
                  </w:pPr>
                </w:p>
              </w:tc>
            </w:tr>
            <w:tr w14:paraId="41E719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shd w:val="clear" w:color="auto" w:fill="auto"/>
                  <w:noWrap w:val="0"/>
                  <w:vAlign w:val="center"/>
                </w:tcPr>
                <w:p w14:paraId="0442B50F">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7</w:t>
                  </w:r>
                </w:p>
              </w:tc>
              <w:tc>
                <w:tcPr>
                  <w:tcW w:w="472" w:type="pct"/>
                  <w:tcBorders>
                    <w:tl2br w:val="nil"/>
                    <w:tr2bl w:val="nil"/>
                  </w:tcBorders>
                  <w:shd w:val="clear" w:color="auto" w:fill="auto"/>
                  <w:noWrap w:val="0"/>
                  <w:vAlign w:val="center"/>
                </w:tcPr>
                <w:p w14:paraId="7469A28A">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废活性炭</w:t>
                  </w:r>
                </w:p>
              </w:tc>
              <w:tc>
                <w:tcPr>
                  <w:tcW w:w="490" w:type="pct"/>
                  <w:tcBorders>
                    <w:tl2br w:val="nil"/>
                    <w:tr2bl w:val="nil"/>
                  </w:tcBorders>
                  <w:shd w:val="clear" w:color="auto" w:fill="auto"/>
                  <w:noWrap w:val="0"/>
                  <w:vAlign w:val="center"/>
                </w:tcPr>
                <w:p w14:paraId="572F6815">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HW49</w:t>
                  </w:r>
                </w:p>
              </w:tc>
              <w:tc>
                <w:tcPr>
                  <w:tcW w:w="485" w:type="pct"/>
                  <w:tcBorders>
                    <w:tl2br w:val="nil"/>
                    <w:tr2bl w:val="nil"/>
                  </w:tcBorders>
                  <w:shd w:val="clear" w:color="auto" w:fill="auto"/>
                  <w:noWrap w:val="0"/>
                  <w:vAlign w:val="center"/>
                </w:tcPr>
                <w:p w14:paraId="5AD83C7A">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900-041-49</w:t>
                  </w:r>
                </w:p>
              </w:tc>
              <w:tc>
                <w:tcPr>
                  <w:tcW w:w="450" w:type="pct"/>
                  <w:tcBorders>
                    <w:tl2br w:val="nil"/>
                    <w:tr2bl w:val="nil"/>
                  </w:tcBorders>
                  <w:shd w:val="clear" w:color="auto" w:fill="auto"/>
                  <w:noWrap w:val="0"/>
                  <w:vAlign w:val="center"/>
                </w:tcPr>
                <w:p w14:paraId="6876AB3B">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0.2</w:t>
                  </w:r>
                </w:p>
              </w:tc>
              <w:tc>
                <w:tcPr>
                  <w:tcW w:w="496" w:type="pct"/>
                  <w:tcBorders>
                    <w:tl2br w:val="nil"/>
                    <w:tr2bl w:val="nil"/>
                  </w:tcBorders>
                  <w:shd w:val="clear" w:color="auto" w:fill="auto"/>
                  <w:noWrap w:val="0"/>
                  <w:vAlign w:val="center"/>
                </w:tcPr>
                <w:p w14:paraId="2815736E">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废气处理设施</w:t>
                  </w:r>
                </w:p>
              </w:tc>
              <w:tc>
                <w:tcPr>
                  <w:tcW w:w="275" w:type="pct"/>
                  <w:tcBorders>
                    <w:tl2br w:val="nil"/>
                    <w:tr2bl w:val="nil"/>
                  </w:tcBorders>
                  <w:shd w:val="clear" w:color="auto" w:fill="auto"/>
                  <w:noWrap w:val="0"/>
                  <w:vAlign w:val="center"/>
                </w:tcPr>
                <w:p w14:paraId="388BE94D">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固态</w:t>
                  </w:r>
                </w:p>
              </w:tc>
              <w:tc>
                <w:tcPr>
                  <w:tcW w:w="337" w:type="pct"/>
                  <w:tcBorders>
                    <w:tl2br w:val="nil"/>
                    <w:tr2bl w:val="nil"/>
                  </w:tcBorders>
                  <w:shd w:val="clear" w:color="auto" w:fill="auto"/>
                  <w:noWrap w:val="0"/>
                  <w:vAlign w:val="center"/>
                </w:tcPr>
                <w:p w14:paraId="54D1201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color w:val="auto"/>
                      <w:u w:val="single"/>
                    </w:rPr>
                    <w:t>桶装</w:t>
                  </w:r>
                </w:p>
              </w:tc>
              <w:tc>
                <w:tcPr>
                  <w:tcW w:w="337" w:type="pct"/>
                  <w:tcBorders>
                    <w:tl2br w:val="nil"/>
                    <w:tr2bl w:val="nil"/>
                  </w:tcBorders>
                  <w:shd w:val="clear" w:color="auto" w:fill="auto"/>
                  <w:noWrap w:val="0"/>
                  <w:vAlign w:val="center"/>
                </w:tcPr>
                <w:p w14:paraId="22650A80">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活性炭</w:t>
                  </w:r>
                </w:p>
              </w:tc>
              <w:tc>
                <w:tcPr>
                  <w:tcW w:w="337" w:type="pct"/>
                  <w:tcBorders>
                    <w:tl2br w:val="nil"/>
                    <w:tr2bl w:val="nil"/>
                  </w:tcBorders>
                  <w:shd w:val="clear" w:color="auto" w:fill="auto"/>
                  <w:noWrap w:val="0"/>
                  <w:vAlign w:val="center"/>
                </w:tcPr>
                <w:p w14:paraId="3D36CE5A">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有机废物</w:t>
                  </w:r>
                </w:p>
              </w:tc>
              <w:tc>
                <w:tcPr>
                  <w:tcW w:w="316" w:type="pct"/>
                  <w:tcBorders>
                    <w:tl2br w:val="nil"/>
                    <w:tr2bl w:val="nil"/>
                  </w:tcBorders>
                  <w:shd w:val="clear" w:color="auto" w:fill="auto"/>
                  <w:noWrap w:val="0"/>
                  <w:vAlign w:val="center"/>
                </w:tcPr>
                <w:p w14:paraId="6B415EA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37199593">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 xml:space="preserve">T/In </w:t>
                  </w:r>
                </w:p>
              </w:tc>
              <w:tc>
                <w:tcPr>
                  <w:tcW w:w="376" w:type="pct"/>
                  <w:vMerge w:val="continue"/>
                  <w:tcBorders>
                    <w:tl2br w:val="nil"/>
                    <w:tr2bl w:val="nil"/>
                  </w:tcBorders>
                  <w:noWrap w:val="0"/>
                  <w:vAlign w:val="center"/>
                </w:tcPr>
                <w:p w14:paraId="2D832A71">
                  <w:pPr>
                    <w:pStyle w:val="42"/>
                    <w:rPr>
                      <w:rFonts w:hint="eastAsia" w:ascii="Times New Roman" w:hAnsi="Times New Roman" w:eastAsia="宋体" w:cs="Times New Roman"/>
                      <w:color w:val="auto"/>
                      <w:u w:val="single"/>
                    </w:rPr>
                  </w:pPr>
                </w:p>
              </w:tc>
            </w:tr>
            <w:tr w14:paraId="0B6B6A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37C94429">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8</w:t>
                  </w:r>
                </w:p>
              </w:tc>
              <w:tc>
                <w:tcPr>
                  <w:tcW w:w="472" w:type="pct"/>
                  <w:tcBorders>
                    <w:tl2br w:val="nil"/>
                    <w:tr2bl w:val="nil"/>
                  </w:tcBorders>
                  <w:shd w:val="clear" w:color="auto" w:fill="auto"/>
                  <w:noWrap w:val="0"/>
                  <w:vAlign w:val="center"/>
                </w:tcPr>
                <w:p w14:paraId="4D760192">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废铅蓄电池</w:t>
                  </w:r>
                </w:p>
              </w:tc>
              <w:tc>
                <w:tcPr>
                  <w:tcW w:w="490" w:type="pct"/>
                  <w:tcBorders>
                    <w:tl2br w:val="nil"/>
                    <w:tr2bl w:val="nil"/>
                  </w:tcBorders>
                  <w:shd w:val="clear" w:color="auto" w:fill="auto"/>
                  <w:noWrap w:val="0"/>
                  <w:vAlign w:val="center"/>
                </w:tcPr>
                <w:p w14:paraId="583E7F4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 xml:space="preserve"> HW31</w:t>
                  </w:r>
                </w:p>
              </w:tc>
              <w:tc>
                <w:tcPr>
                  <w:tcW w:w="485" w:type="pct"/>
                  <w:tcBorders>
                    <w:tl2br w:val="nil"/>
                    <w:tr2bl w:val="nil"/>
                  </w:tcBorders>
                  <w:shd w:val="clear" w:color="auto" w:fill="auto"/>
                  <w:noWrap w:val="0"/>
                  <w:vAlign w:val="center"/>
                </w:tcPr>
                <w:p w14:paraId="4CDE6A8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900-052-31</w:t>
                  </w:r>
                </w:p>
              </w:tc>
              <w:tc>
                <w:tcPr>
                  <w:tcW w:w="450" w:type="pct"/>
                  <w:tcBorders>
                    <w:tl2br w:val="nil"/>
                    <w:tr2bl w:val="nil"/>
                  </w:tcBorders>
                  <w:shd w:val="clear" w:color="auto" w:fill="auto"/>
                  <w:noWrap w:val="0"/>
                  <w:vAlign w:val="center"/>
                </w:tcPr>
                <w:p w14:paraId="4B613DEB">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0.5</w:t>
                  </w:r>
                </w:p>
              </w:tc>
              <w:tc>
                <w:tcPr>
                  <w:tcW w:w="496" w:type="pct"/>
                  <w:tcBorders>
                    <w:tl2br w:val="nil"/>
                    <w:tr2bl w:val="nil"/>
                  </w:tcBorders>
                  <w:shd w:val="clear" w:color="auto" w:fill="auto"/>
                  <w:noWrap w:val="0"/>
                  <w:vAlign w:val="center"/>
                </w:tcPr>
                <w:p w14:paraId="0CD00DAC">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汽车维修</w:t>
                  </w:r>
                </w:p>
              </w:tc>
              <w:tc>
                <w:tcPr>
                  <w:tcW w:w="275" w:type="pct"/>
                  <w:tcBorders>
                    <w:tl2br w:val="nil"/>
                    <w:tr2bl w:val="nil"/>
                  </w:tcBorders>
                  <w:shd w:val="clear" w:color="auto" w:fill="auto"/>
                  <w:noWrap w:val="0"/>
                  <w:vAlign w:val="center"/>
                </w:tcPr>
                <w:p w14:paraId="2A4AC307">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固态</w:t>
                  </w:r>
                </w:p>
              </w:tc>
              <w:tc>
                <w:tcPr>
                  <w:tcW w:w="337" w:type="pct"/>
                  <w:tcBorders>
                    <w:tl2br w:val="nil"/>
                    <w:tr2bl w:val="nil"/>
                  </w:tcBorders>
                  <w:shd w:val="clear" w:color="auto" w:fill="auto"/>
                  <w:noWrap w:val="0"/>
                  <w:vAlign w:val="center"/>
                </w:tcPr>
                <w:p w14:paraId="070AC25B">
                  <w:pPr>
                    <w:pStyle w:val="42"/>
                    <w:ind w:firstLine="0" w:firstLineChars="0"/>
                    <w:rPr>
                      <w:rFonts w:hint="eastAsia" w:ascii="宋体" w:hAnsi="宋体" w:eastAsia="宋体" w:cs="Times New Roman"/>
                      <w:color w:val="auto"/>
                      <w:spacing w:val="2"/>
                      <w:kern w:val="0"/>
                      <w:sz w:val="21"/>
                      <w:szCs w:val="24"/>
                      <w:u w:val="single"/>
                      <w:lang w:val="en-US" w:eastAsia="zh-CN" w:bidi="ar-SA"/>
                    </w:rPr>
                  </w:pPr>
                  <w:r>
                    <w:rPr>
                      <w:rFonts w:hint="eastAsia"/>
                      <w:color w:val="auto"/>
                      <w:u w:val="single"/>
                    </w:rPr>
                    <w:t>桶装</w:t>
                  </w:r>
                </w:p>
              </w:tc>
              <w:tc>
                <w:tcPr>
                  <w:tcW w:w="337" w:type="pct"/>
                  <w:tcBorders>
                    <w:tl2br w:val="nil"/>
                    <w:tr2bl w:val="nil"/>
                  </w:tcBorders>
                  <w:shd w:val="clear" w:color="auto" w:fill="auto"/>
                  <w:noWrap w:val="0"/>
                  <w:vAlign w:val="center"/>
                </w:tcPr>
                <w:p w14:paraId="4392247B">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废酸、重金属</w:t>
                  </w:r>
                </w:p>
              </w:tc>
              <w:tc>
                <w:tcPr>
                  <w:tcW w:w="337" w:type="pct"/>
                  <w:tcBorders>
                    <w:tl2br w:val="nil"/>
                    <w:tr2bl w:val="nil"/>
                  </w:tcBorders>
                  <w:shd w:val="clear" w:color="auto" w:fill="auto"/>
                  <w:noWrap w:val="0"/>
                  <w:vAlign w:val="center"/>
                </w:tcPr>
                <w:p w14:paraId="0B6CAE5B">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废酸、重金属</w:t>
                  </w:r>
                </w:p>
              </w:tc>
              <w:tc>
                <w:tcPr>
                  <w:tcW w:w="316" w:type="pct"/>
                  <w:tcBorders>
                    <w:tl2br w:val="nil"/>
                    <w:tr2bl w:val="nil"/>
                  </w:tcBorders>
                  <w:shd w:val="clear" w:color="auto" w:fill="auto"/>
                  <w:noWrap w:val="0"/>
                  <w:vAlign w:val="center"/>
                </w:tcPr>
                <w:p w14:paraId="08451B80">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741FD45A">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T,C</w:t>
                  </w:r>
                </w:p>
              </w:tc>
              <w:tc>
                <w:tcPr>
                  <w:tcW w:w="376" w:type="pct"/>
                  <w:vMerge w:val="continue"/>
                  <w:tcBorders>
                    <w:tl2br w:val="nil"/>
                    <w:tr2bl w:val="nil"/>
                  </w:tcBorders>
                  <w:noWrap w:val="0"/>
                  <w:vAlign w:val="center"/>
                </w:tcPr>
                <w:p w14:paraId="44E5049B">
                  <w:pPr>
                    <w:pStyle w:val="42"/>
                    <w:rPr>
                      <w:rFonts w:hint="eastAsia" w:ascii="Times New Roman" w:hAnsi="Times New Roman" w:eastAsia="宋体" w:cs="Times New Roman"/>
                      <w:color w:val="auto"/>
                      <w:u w:val="single"/>
                    </w:rPr>
                  </w:pPr>
                </w:p>
              </w:tc>
            </w:tr>
            <w:tr w14:paraId="699591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25574BC6">
                  <w:pPr>
                    <w:pStyle w:val="42"/>
                    <w:rPr>
                      <w:rFonts w:hint="default" w:ascii="Times New Roman" w:hAnsi="Times New Roman" w:cs="Times New Roman"/>
                      <w:color w:val="auto"/>
                      <w:u w:val="single"/>
                      <w:lang w:val="en-US" w:eastAsia="zh-CN"/>
                    </w:rPr>
                  </w:pPr>
                  <w:r>
                    <w:rPr>
                      <w:rFonts w:hint="eastAsia" w:ascii="Times New Roman" w:hAnsi="Times New Roman" w:cs="Times New Roman"/>
                      <w:color w:val="auto"/>
                      <w:u w:val="single"/>
                      <w:lang w:val="en-US" w:eastAsia="zh-CN"/>
                    </w:rPr>
                    <w:t>9</w:t>
                  </w:r>
                </w:p>
              </w:tc>
              <w:tc>
                <w:tcPr>
                  <w:tcW w:w="472" w:type="pct"/>
                  <w:tcBorders>
                    <w:tl2br w:val="nil"/>
                    <w:tr2bl w:val="nil"/>
                  </w:tcBorders>
                  <w:shd w:val="clear" w:color="auto" w:fill="auto"/>
                  <w:noWrap w:val="0"/>
                  <w:vAlign w:val="center"/>
                </w:tcPr>
                <w:p w14:paraId="4D1D14CC">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废紫外灯管</w:t>
                  </w:r>
                </w:p>
              </w:tc>
              <w:tc>
                <w:tcPr>
                  <w:tcW w:w="490" w:type="pct"/>
                  <w:tcBorders>
                    <w:tl2br w:val="nil"/>
                    <w:tr2bl w:val="nil"/>
                  </w:tcBorders>
                  <w:shd w:val="clear" w:color="auto" w:fill="auto"/>
                  <w:noWrap w:val="0"/>
                  <w:vAlign w:val="center"/>
                </w:tcPr>
                <w:p w14:paraId="17F8E9C0">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HW29</w:t>
                  </w:r>
                </w:p>
              </w:tc>
              <w:tc>
                <w:tcPr>
                  <w:tcW w:w="485" w:type="pct"/>
                  <w:tcBorders>
                    <w:tl2br w:val="nil"/>
                    <w:tr2bl w:val="nil"/>
                  </w:tcBorders>
                  <w:shd w:val="clear" w:color="auto" w:fill="auto"/>
                  <w:noWrap w:val="0"/>
                  <w:vAlign w:val="center"/>
                </w:tcPr>
                <w:p w14:paraId="5EB871B6">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900-023-29</w:t>
                  </w:r>
                </w:p>
              </w:tc>
              <w:tc>
                <w:tcPr>
                  <w:tcW w:w="450" w:type="pct"/>
                  <w:tcBorders>
                    <w:tl2br w:val="nil"/>
                    <w:tr2bl w:val="nil"/>
                  </w:tcBorders>
                  <w:shd w:val="clear" w:color="auto" w:fill="auto"/>
                  <w:noWrap w:val="0"/>
                  <w:vAlign w:val="center"/>
                </w:tcPr>
                <w:p w14:paraId="63BA5051">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0.004</w:t>
                  </w:r>
                </w:p>
              </w:tc>
              <w:tc>
                <w:tcPr>
                  <w:tcW w:w="496" w:type="pct"/>
                  <w:tcBorders>
                    <w:tl2br w:val="nil"/>
                    <w:tr2bl w:val="nil"/>
                  </w:tcBorders>
                  <w:shd w:val="clear" w:color="auto" w:fill="auto"/>
                  <w:noWrap w:val="0"/>
                  <w:vAlign w:val="center"/>
                </w:tcPr>
                <w:p w14:paraId="4A58554D">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喷涂</w:t>
                  </w:r>
                </w:p>
              </w:tc>
              <w:tc>
                <w:tcPr>
                  <w:tcW w:w="275" w:type="pct"/>
                  <w:tcBorders>
                    <w:tl2br w:val="nil"/>
                    <w:tr2bl w:val="nil"/>
                  </w:tcBorders>
                  <w:shd w:val="clear" w:color="auto" w:fill="auto"/>
                  <w:noWrap w:val="0"/>
                  <w:vAlign w:val="center"/>
                </w:tcPr>
                <w:p w14:paraId="66AF5D9D">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固态</w:t>
                  </w:r>
                </w:p>
              </w:tc>
              <w:tc>
                <w:tcPr>
                  <w:tcW w:w="337" w:type="pct"/>
                  <w:tcBorders>
                    <w:tl2br w:val="nil"/>
                    <w:tr2bl w:val="nil"/>
                  </w:tcBorders>
                  <w:shd w:val="clear" w:color="auto" w:fill="auto"/>
                  <w:noWrap w:val="0"/>
                  <w:vAlign w:val="center"/>
                </w:tcPr>
                <w:p w14:paraId="23C444CB">
                  <w:pPr>
                    <w:pStyle w:val="42"/>
                    <w:ind w:firstLine="0" w:firstLineChars="0"/>
                    <w:rPr>
                      <w:rFonts w:hint="eastAsia" w:ascii="宋体" w:hAnsi="宋体" w:eastAsia="宋体" w:cs="Times New Roman"/>
                      <w:color w:val="auto"/>
                      <w:spacing w:val="2"/>
                      <w:kern w:val="0"/>
                      <w:sz w:val="21"/>
                      <w:szCs w:val="24"/>
                      <w:u w:val="single"/>
                      <w:lang w:val="en-US" w:eastAsia="zh-CN" w:bidi="ar-SA"/>
                    </w:rPr>
                  </w:pPr>
                  <w:r>
                    <w:rPr>
                      <w:rFonts w:hint="eastAsia"/>
                      <w:color w:val="auto"/>
                      <w:u w:val="single"/>
                    </w:rPr>
                    <w:t>桶装</w:t>
                  </w:r>
                </w:p>
              </w:tc>
              <w:tc>
                <w:tcPr>
                  <w:tcW w:w="337" w:type="pct"/>
                  <w:tcBorders>
                    <w:tl2br w:val="nil"/>
                    <w:tr2bl w:val="nil"/>
                  </w:tcBorders>
                  <w:shd w:val="clear" w:color="auto" w:fill="auto"/>
                  <w:noWrap w:val="0"/>
                  <w:vAlign w:val="center"/>
                </w:tcPr>
                <w:p w14:paraId="41FB6A9F">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重金属</w:t>
                  </w:r>
                </w:p>
              </w:tc>
              <w:tc>
                <w:tcPr>
                  <w:tcW w:w="337" w:type="pct"/>
                  <w:tcBorders>
                    <w:tl2br w:val="nil"/>
                    <w:tr2bl w:val="nil"/>
                  </w:tcBorders>
                  <w:shd w:val="clear" w:color="auto" w:fill="auto"/>
                  <w:noWrap w:val="0"/>
                  <w:vAlign w:val="center"/>
                </w:tcPr>
                <w:p w14:paraId="47B94EF8">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重金属</w:t>
                  </w:r>
                </w:p>
              </w:tc>
              <w:tc>
                <w:tcPr>
                  <w:tcW w:w="316" w:type="pct"/>
                  <w:tcBorders>
                    <w:tl2br w:val="nil"/>
                    <w:tr2bl w:val="nil"/>
                  </w:tcBorders>
                  <w:shd w:val="clear" w:color="auto" w:fill="auto"/>
                  <w:noWrap w:val="0"/>
                  <w:vAlign w:val="center"/>
                </w:tcPr>
                <w:p w14:paraId="741F8FCB">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010E001F">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T,C</w:t>
                  </w:r>
                </w:p>
              </w:tc>
              <w:tc>
                <w:tcPr>
                  <w:tcW w:w="376" w:type="pct"/>
                  <w:vMerge w:val="continue"/>
                  <w:tcBorders>
                    <w:tl2br w:val="nil"/>
                    <w:tr2bl w:val="nil"/>
                  </w:tcBorders>
                  <w:noWrap w:val="0"/>
                  <w:vAlign w:val="center"/>
                </w:tcPr>
                <w:p w14:paraId="500C7E66">
                  <w:pPr>
                    <w:pStyle w:val="42"/>
                    <w:rPr>
                      <w:rFonts w:hint="eastAsia" w:ascii="Times New Roman" w:hAnsi="Times New Roman" w:eastAsia="宋体" w:cs="Times New Roman"/>
                      <w:color w:val="auto"/>
                      <w:u w:val="single"/>
                    </w:rPr>
                  </w:pPr>
                </w:p>
              </w:tc>
            </w:tr>
            <w:tr w14:paraId="1AF16B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7F7B8065">
                  <w:pPr>
                    <w:pStyle w:val="42"/>
                    <w:rPr>
                      <w:rFonts w:hint="default" w:ascii="Times New Roman" w:hAnsi="Times New Roman" w:cs="Times New Roman"/>
                      <w:color w:val="auto"/>
                      <w:u w:val="single"/>
                      <w:lang w:val="en-US" w:eastAsia="zh-CN"/>
                    </w:rPr>
                  </w:pPr>
                  <w:r>
                    <w:rPr>
                      <w:rFonts w:hint="eastAsia" w:ascii="Times New Roman" w:hAnsi="Times New Roman" w:cs="Times New Roman"/>
                      <w:color w:val="auto"/>
                      <w:u w:val="single"/>
                      <w:lang w:val="en-US" w:eastAsia="zh-CN"/>
                    </w:rPr>
                    <w:t>10</w:t>
                  </w:r>
                </w:p>
              </w:tc>
              <w:tc>
                <w:tcPr>
                  <w:tcW w:w="472" w:type="pct"/>
                  <w:tcBorders>
                    <w:tl2br w:val="nil"/>
                    <w:tr2bl w:val="nil"/>
                  </w:tcBorders>
                  <w:shd w:val="clear" w:color="auto" w:fill="auto"/>
                  <w:noWrap w:val="0"/>
                  <w:vAlign w:val="center"/>
                </w:tcPr>
                <w:p w14:paraId="47C21957">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废石棉刹车片</w:t>
                  </w:r>
                </w:p>
              </w:tc>
              <w:tc>
                <w:tcPr>
                  <w:tcW w:w="490" w:type="pct"/>
                  <w:tcBorders>
                    <w:tl2br w:val="nil"/>
                    <w:tr2bl w:val="nil"/>
                  </w:tcBorders>
                  <w:shd w:val="clear" w:color="auto" w:fill="auto"/>
                  <w:noWrap w:val="0"/>
                  <w:vAlign w:val="center"/>
                </w:tcPr>
                <w:p w14:paraId="31756906">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HW36</w:t>
                  </w:r>
                </w:p>
              </w:tc>
              <w:tc>
                <w:tcPr>
                  <w:tcW w:w="485" w:type="pct"/>
                  <w:tcBorders>
                    <w:tl2br w:val="nil"/>
                    <w:tr2bl w:val="nil"/>
                  </w:tcBorders>
                  <w:shd w:val="clear" w:color="auto" w:fill="auto"/>
                  <w:noWrap w:val="0"/>
                  <w:vAlign w:val="center"/>
                </w:tcPr>
                <w:p w14:paraId="375FA9C0">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default" w:ascii="Times New Roman" w:hAnsi="Times New Roman" w:eastAsia="宋体" w:cs="Times New Roman"/>
                      <w:color w:val="auto"/>
                      <w:u w:val="single"/>
                      <w:lang w:val="en-US" w:eastAsia="zh-CN"/>
                    </w:rPr>
                    <w:t>900-032-36</w:t>
                  </w:r>
                </w:p>
              </w:tc>
              <w:tc>
                <w:tcPr>
                  <w:tcW w:w="450" w:type="pct"/>
                  <w:tcBorders>
                    <w:tl2br w:val="nil"/>
                    <w:tr2bl w:val="nil"/>
                  </w:tcBorders>
                  <w:shd w:val="clear" w:color="auto" w:fill="auto"/>
                  <w:noWrap w:val="0"/>
                  <w:vAlign w:val="center"/>
                </w:tcPr>
                <w:p w14:paraId="77CAD11A">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0.2</w:t>
                  </w:r>
                </w:p>
              </w:tc>
              <w:tc>
                <w:tcPr>
                  <w:tcW w:w="496" w:type="pct"/>
                  <w:tcBorders>
                    <w:tl2br w:val="nil"/>
                    <w:tr2bl w:val="nil"/>
                  </w:tcBorders>
                  <w:shd w:val="clear" w:color="auto" w:fill="auto"/>
                  <w:noWrap w:val="0"/>
                  <w:vAlign w:val="center"/>
                </w:tcPr>
                <w:p w14:paraId="4C9E5570">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汽车维修</w:t>
                  </w:r>
                </w:p>
              </w:tc>
              <w:tc>
                <w:tcPr>
                  <w:tcW w:w="275" w:type="pct"/>
                  <w:tcBorders>
                    <w:tl2br w:val="nil"/>
                    <w:tr2bl w:val="nil"/>
                  </w:tcBorders>
                  <w:shd w:val="clear" w:color="auto" w:fill="auto"/>
                  <w:noWrap w:val="0"/>
                  <w:vAlign w:val="center"/>
                </w:tcPr>
                <w:p w14:paraId="4D39C059">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固态</w:t>
                  </w:r>
                </w:p>
              </w:tc>
              <w:tc>
                <w:tcPr>
                  <w:tcW w:w="337" w:type="pct"/>
                  <w:tcBorders>
                    <w:tl2br w:val="nil"/>
                    <w:tr2bl w:val="nil"/>
                  </w:tcBorders>
                  <w:shd w:val="clear" w:color="auto" w:fill="auto"/>
                  <w:noWrap w:val="0"/>
                  <w:vAlign w:val="center"/>
                </w:tcPr>
                <w:p w14:paraId="269A671E">
                  <w:pPr>
                    <w:pStyle w:val="42"/>
                    <w:ind w:firstLine="0" w:firstLineChars="0"/>
                    <w:rPr>
                      <w:rFonts w:hint="eastAsia" w:ascii="宋体" w:hAnsi="宋体" w:eastAsia="宋体" w:cs="Times New Roman"/>
                      <w:color w:val="auto"/>
                      <w:spacing w:val="2"/>
                      <w:kern w:val="0"/>
                      <w:sz w:val="21"/>
                      <w:szCs w:val="24"/>
                      <w:u w:val="single"/>
                      <w:lang w:val="en-US" w:eastAsia="zh-CN" w:bidi="ar-SA"/>
                    </w:rPr>
                  </w:pPr>
                  <w:r>
                    <w:rPr>
                      <w:rFonts w:hint="eastAsia"/>
                      <w:color w:val="auto"/>
                      <w:u w:val="single"/>
                    </w:rPr>
                    <w:t>桶装</w:t>
                  </w:r>
                </w:p>
              </w:tc>
              <w:tc>
                <w:tcPr>
                  <w:tcW w:w="337" w:type="pct"/>
                  <w:tcBorders>
                    <w:tl2br w:val="nil"/>
                    <w:tr2bl w:val="nil"/>
                  </w:tcBorders>
                  <w:shd w:val="clear" w:color="auto" w:fill="auto"/>
                  <w:noWrap w:val="0"/>
                  <w:vAlign w:val="center"/>
                </w:tcPr>
                <w:p w14:paraId="16301AAA">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硅酸盐</w:t>
                  </w:r>
                </w:p>
              </w:tc>
              <w:tc>
                <w:tcPr>
                  <w:tcW w:w="337" w:type="pct"/>
                  <w:tcBorders>
                    <w:tl2br w:val="nil"/>
                    <w:tr2bl w:val="nil"/>
                  </w:tcBorders>
                  <w:shd w:val="clear" w:color="auto" w:fill="auto"/>
                  <w:noWrap w:val="0"/>
                  <w:vAlign w:val="center"/>
                </w:tcPr>
                <w:p w14:paraId="1F7E4E54">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毒性</w:t>
                  </w:r>
                </w:p>
              </w:tc>
              <w:tc>
                <w:tcPr>
                  <w:tcW w:w="316" w:type="pct"/>
                  <w:tcBorders>
                    <w:tl2br w:val="nil"/>
                    <w:tr2bl w:val="nil"/>
                  </w:tcBorders>
                  <w:shd w:val="clear" w:color="auto" w:fill="auto"/>
                  <w:noWrap w:val="0"/>
                  <w:vAlign w:val="center"/>
                </w:tcPr>
                <w:p w14:paraId="5AA9E0E1">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0D691192">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T</w:t>
                  </w:r>
                </w:p>
              </w:tc>
              <w:tc>
                <w:tcPr>
                  <w:tcW w:w="376" w:type="pct"/>
                  <w:vMerge w:val="continue"/>
                  <w:tcBorders>
                    <w:tl2br w:val="nil"/>
                    <w:tr2bl w:val="nil"/>
                  </w:tcBorders>
                  <w:noWrap w:val="0"/>
                  <w:vAlign w:val="center"/>
                </w:tcPr>
                <w:p w14:paraId="78DFB51A">
                  <w:pPr>
                    <w:pStyle w:val="42"/>
                    <w:rPr>
                      <w:rFonts w:hint="eastAsia" w:ascii="Times New Roman" w:hAnsi="Times New Roman" w:eastAsia="宋体" w:cs="Times New Roman"/>
                      <w:color w:val="auto"/>
                      <w:u w:val="single"/>
                    </w:rPr>
                  </w:pPr>
                </w:p>
              </w:tc>
            </w:tr>
            <w:tr w14:paraId="61BF3A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 w:type="pct"/>
                  <w:tcBorders>
                    <w:tl2br w:val="nil"/>
                    <w:tr2bl w:val="nil"/>
                  </w:tcBorders>
                  <w:noWrap w:val="0"/>
                  <w:vAlign w:val="center"/>
                </w:tcPr>
                <w:p w14:paraId="7B8E5B82">
                  <w:pPr>
                    <w:pStyle w:val="42"/>
                    <w:rPr>
                      <w:rFonts w:hint="default" w:ascii="Times New Roman" w:hAnsi="Times New Roman" w:cs="Times New Roman"/>
                      <w:color w:val="auto"/>
                      <w:u w:val="single"/>
                      <w:lang w:val="en-US" w:eastAsia="zh-CN"/>
                    </w:rPr>
                  </w:pPr>
                  <w:r>
                    <w:rPr>
                      <w:rFonts w:hint="eastAsia" w:ascii="Times New Roman" w:hAnsi="Times New Roman" w:cs="Times New Roman"/>
                      <w:color w:val="auto"/>
                      <w:u w:val="single"/>
                      <w:lang w:val="en-US" w:eastAsia="zh-CN"/>
                    </w:rPr>
                    <w:t>11</w:t>
                  </w:r>
                </w:p>
              </w:tc>
              <w:tc>
                <w:tcPr>
                  <w:tcW w:w="472" w:type="pct"/>
                  <w:tcBorders>
                    <w:tl2br w:val="nil"/>
                    <w:tr2bl w:val="nil"/>
                  </w:tcBorders>
                  <w:shd w:val="clear" w:color="auto" w:fill="auto"/>
                  <w:noWrap w:val="0"/>
                  <w:vAlign w:val="center"/>
                </w:tcPr>
                <w:p w14:paraId="08B3E8E3">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废催化剂</w:t>
                  </w:r>
                </w:p>
              </w:tc>
              <w:tc>
                <w:tcPr>
                  <w:tcW w:w="490" w:type="pct"/>
                  <w:tcBorders>
                    <w:tl2br w:val="nil"/>
                    <w:tr2bl w:val="nil"/>
                  </w:tcBorders>
                  <w:shd w:val="clear" w:color="auto" w:fill="auto"/>
                  <w:noWrap w:val="0"/>
                  <w:vAlign w:val="center"/>
                </w:tcPr>
                <w:p w14:paraId="73C796A1">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HW50</w:t>
                  </w:r>
                </w:p>
              </w:tc>
              <w:tc>
                <w:tcPr>
                  <w:tcW w:w="485" w:type="pct"/>
                  <w:tcBorders>
                    <w:tl2br w:val="nil"/>
                    <w:tr2bl w:val="nil"/>
                  </w:tcBorders>
                  <w:shd w:val="clear" w:color="auto" w:fill="auto"/>
                  <w:noWrap w:val="0"/>
                  <w:vAlign w:val="center"/>
                </w:tcPr>
                <w:p w14:paraId="3ED5337B">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772-007-50</w:t>
                  </w:r>
                </w:p>
              </w:tc>
              <w:tc>
                <w:tcPr>
                  <w:tcW w:w="450" w:type="pct"/>
                  <w:tcBorders>
                    <w:tl2br w:val="nil"/>
                    <w:tr2bl w:val="nil"/>
                  </w:tcBorders>
                  <w:shd w:val="clear" w:color="auto" w:fill="auto"/>
                  <w:noWrap w:val="0"/>
                  <w:vAlign w:val="center"/>
                </w:tcPr>
                <w:p w14:paraId="27C1AB4C">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0.05</w:t>
                  </w:r>
                </w:p>
              </w:tc>
              <w:tc>
                <w:tcPr>
                  <w:tcW w:w="496" w:type="pct"/>
                  <w:tcBorders>
                    <w:tl2br w:val="nil"/>
                    <w:tr2bl w:val="nil"/>
                  </w:tcBorders>
                  <w:shd w:val="clear" w:color="auto" w:fill="auto"/>
                  <w:noWrap w:val="0"/>
                  <w:vAlign w:val="center"/>
                </w:tcPr>
                <w:p w14:paraId="578768F4">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lang w:val="en-US" w:eastAsia="zh-CN"/>
                    </w:rPr>
                    <w:t>汽车维修</w:t>
                  </w:r>
                </w:p>
              </w:tc>
              <w:tc>
                <w:tcPr>
                  <w:tcW w:w="275" w:type="pct"/>
                  <w:tcBorders>
                    <w:tl2br w:val="nil"/>
                    <w:tr2bl w:val="nil"/>
                  </w:tcBorders>
                  <w:shd w:val="clear" w:color="auto" w:fill="auto"/>
                  <w:noWrap w:val="0"/>
                  <w:vAlign w:val="center"/>
                </w:tcPr>
                <w:p w14:paraId="5B3D50EC">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固态</w:t>
                  </w:r>
                </w:p>
              </w:tc>
              <w:tc>
                <w:tcPr>
                  <w:tcW w:w="337" w:type="pct"/>
                  <w:tcBorders>
                    <w:tl2br w:val="nil"/>
                    <w:tr2bl w:val="nil"/>
                  </w:tcBorders>
                  <w:shd w:val="clear" w:color="auto" w:fill="auto"/>
                  <w:noWrap w:val="0"/>
                  <w:vAlign w:val="center"/>
                </w:tcPr>
                <w:p w14:paraId="4D4A99A2">
                  <w:pPr>
                    <w:pStyle w:val="42"/>
                    <w:ind w:firstLine="0" w:firstLineChars="0"/>
                    <w:rPr>
                      <w:rFonts w:hint="eastAsia" w:ascii="宋体" w:hAnsi="宋体" w:eastAsia="宋体" w:cs="Times New Roman"/>
                      <w:color w:val="auto"/>
                      <w:spacing w:val="2"/>
                      <w:kern w:val="0"/>
                      <w:sz w:val="21"/>
                      <w:szCs w:val="24"/>
                      <w:u w:val="single"/>
                      <w:lang w:val="en-US" w:eastAsia="zh-CN" w:bidi="ar-SA"/>
                    </w:rPr>
                  </w:pPr>
                  <w:r>
                    <w:rPr>
                      <w:rFonts w:hint="eastAsia"/>
                      <w:color w:val="auto"/>
                      <w:u w:val="single"/>
                    </w:rPr>
                    <w:t>桶装</w:t>
                  </w:r>
                </w:p>
              </w:tc>
              <w:tc>
                <w:tcPr>
                  <w:tcW w:w="337" w:type="pct"/>
                  <w:tcBorders>
                    <w:tl2br w:val="nil"/>
                    <w:tr2bl w:val="nil"/>
                  </w:tcBorders>
                  <w:shd w:val="clear" w:color="auto" w:fill="auto"/>
                  <w:noWrap w:val="0"/>
                  <w:vAlign w:val="center"/>
                </w:tcPr>
                <w:p w14:paraId="0154ABFB">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重金属</w:t>
                  </w:r>
                </w:p>
              </w:tc>
              <w:tc>
                <w:tcPr>
                  <w:tcW w:w="337" w:type="pct"/>
                  <w:tcBorders>
                    <w:tl2br w:val="nil"/>
                    <w:tr2bl w:val="nil"/>
                  </w:tcBorders>
                  <w:shd w:val="clear" w:color="auto" w:fill="auto"/>
                  <w:noWrap w:val="0"/>
                  <w:vAlign w:val="center"/>
                </w:tcPr>
                <w:p w14:paraId="1CF12982">
                  <w:pPr>
                    <w:pStyle w:val="42"/>
                    <w:ind w:firstLine="0" w:firstLineChars="0"/>
                    <w:rPr>
                      <w:rFonts w:hint="default"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cs="Times New Roman"/>
                      <w:color w:val="auto"/>
                      <w:u w:val="single"/>
                      <w:lang w:val="en-US" w:eastAsia="zh-CN"/>
                    </w:rPr>
                    <w:t>重金属</w:t>
                  </w:r>
                </w:p>
              </w:tc>
              <w:tc>
                <w:tcPr>
                  <w:tcW w:w="316" w:type="pct"/>
                  <w:tcBorders>
                    <w:tl2br w:val="nil"/>
                    <w:tr2bl w:val="nil"/>
                  </w:tcBorders>
                  <w:shd w:val="clear" w:color="auto" w:fill="auto"/>
                  <w:noWrap w:val="0"/>
                  <w:vAlign w:val="center"/>
                </w:tcPr>
                <w:p w14:paraId="66D19C66">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每年</w:t>
                  </w:r>
                </w:p>
              </w:tc>
              <w:tc>
                <w:tcPr>
                  <w:tcW w:w="394" w:type="pct"/>
                  <w:tcBorders>
                    <w:tl2br w:val="nil"/>
                    <w:tr2bl w:val="nil"/>
                  </w:tcBorders>
                  <w:shd w:val="clear" w:color="auto" w:fill="auto"/>
                  <w:noWrap w:val="0"/>
                  <w:vAlign w:val="center"/>
                </w:tcPr>
                <w:p w14:paraId="128BC103">
                  <w:pPr>
                    <w:pStyle w:val="42"/>
                    <w:ind w:firstLine="0" w:firstLineChars="0"/>
                    <w:rPr>
                      <w:rFonts w:hint="eastAsia" w:ascii="Times New Roman" w:hAnsi="Times New Roman" w:eastAsia="宋体" w:cs="Times New Roman"/>
                      <w:color w:val="auto"/>
                      <w:spacing w:val="2"/>
                      <w:kern w:val="0"/>
                      <w:sz w:val="21"/>
                      <w:szCs w:val="24"/>
                      <w:u w:val="single"/>
                      <w:lang w:val="en-US" w:eastAsia="zh-CN" w:bidi="ar-SA"/>
                    </w:rPr>
                  </w:pPr>
                  <w:r>
                    <w:rPr>
                      <w:rFonts w:hint="eastAsia" w:ascii="Times New Roman" w:hAnsi="Times New Roman" w:eastAsia="宋体" w:cs="Times New Roman"/>
                      <w:color w:val="auto"/>
                      <w:u w:val="single"/>
                    </w:rPr>
                    <w:t>T</w:t>
                  </w:r>
                </w:p>
              </w:tc>
              <w:tc>
                <w:tcPr>
                  <w:tcW w:w="376" w:type="pct"/>
                  <w:vMerge w:val="continue"/>
                  <w:tcBorders>
                    <w:tl2br w:val="nil"/>
                    <w:tr2bl w:val="nil"/>
                  </w:tcBorders>
                  <w:noWrap w:val="0"/>
                  <w:vAlign w:val="center"/>
                </w:tcPr>
                <w:p w14:paraId="032E3965">
                  <w:pPr>
                    <w:pStyle w:val="42"/>
                    <w:rPr>
                      <w:rFonts w:hint="eastAsia" w:ascii="Times New Roman" w:hAnsi="Times New Roman" w:eastAsia="宋体" w:cs="Times New Roman"/>
                      <w:color w:val="auto"/>
                      <w:u w:val="single"/>
                    </w:rPr>
                  </w:pPr>
                </w:p>
              </w:tc>
            </w:tr>
          </w:tbl>
          <w:p w14:paraId="3AFBDC03">
            <w:pPr>
              <w:spacing w:line="240" w:lineRule="auto"/>
              <w:ind w:firstLine="422"/>
              <w:jc w:val="center"/>
              <w:rPr>
                <w:rFonts w:hint="eastAsia" w:ascii="Times New Roman" w:hAnsi="Times New Roman" w:eastAsia="宋体" w:cs="Times New Roman"/>
                <w:b/>
                <w:bCs/>
                <w:color w:val="000000" w:themeColor="text1"/>
                <w:sz w:val="21"/>
                <w:szCs w:val="21"/>
                <w:u w:val="single"/>
                <w14:textFill>
                  <w14:solidFill>
                    <w14:schemeClr w14:val="tx1"/>
                  </w14:solidFill>
                </w14:textFill>
              </w:rPr>
            </w:pPr>
            <w:r>
              <w:rPr>
                <w:rFonts w:hint="eastAsia" w:ascii="Times New Roman" w:hAnsi="Times New Roman" w:eastAsia="宋体" w:cs="Times New Roman"/>
                <w:b/>
                <w:bCs/>
                <w:color w:val="000000" w:themeColor="text1"/>
                <w:sz w:val="21"/>
                <w:szCs w:val="21"/>
                <w:u w:val="single"/>
                <w14:textFill>
                  <w14:solidFill>
                    <w14:schemeClr w14:val="tx1"/>
                  </w14:solidFill>
                </w14:textFill>
              </w:rPr>
              <w:t>表4-</w:t>
            </w:r>
            <w:r>
              <w:rPr>
                <w:rFonts w:hint="eastAsia" w:ascii="Times New Roman" w:hAnsi="Times New Roman" w:eastAsia="宋体" w:cs="Times New Roman"/>
                <w:b/>
                <w:bCs/>
                <w:color w:val="000000" w:themeColor="text1"/>
                <w:sz w:val="21"/>
                <w:szCs w:val="21"/>
                <w:u w:val="single"/>
                <w:lang w:val="en-US" w:eastAsia="zh-CN"/>
                <w14:textFill>
                  <w14:solidFill>
                    <w14:schemeClr w14:val="tx1"/>
                  </w14:solidFill>
                </w14:textFill>
              </w:rPr>
              <w:t>8</w:t>
            </w:r>
            <w:r>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t>危险废物贮存库</w:t>
            </w:r>
            <w:r>
              <w:rPr>
                <w:rFonts w:hint="eastAsia" w:ascii="Times New Roman" w:hAnsi="Times New Roman" w:eastAsia="宋体" w:cs="Times New Roman"/>
                <w:b/>
                <w:bCs/>
                <w:color w:val="000000" w:themeColor="text1"/>
                <w:sz w:val="21"/>
                <w:szCs w:val="21"/>
                <w:u w:val="single"/>
                <w14:textFill>
                  <w14:solidFill>
                    <w14:schemeClr w14:val="tx1"/>
                  </w14:solidFill>
                </w14:textFill>
              </w:rPr>
              <w:t>基本情况表</w:t>
            </w:r>
          </w:p>
          <w:tbl>
            <w:tblPr>
              <w:tblStyle w:val="26"/>
              <w:tblW w:w="4995" w:type="pct"/>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0"/>
              <w:gridCol w:w="744"/>
              <w:gridCol w:w="958"/>
              <w:gridCol w:w="774"/>
              <w:gridCol w:w="1271"/>
              <w:gridCol w:w="752"/>
              <w:gridCol w:w="821"/>
              <w:gridCol w:w="752"/>
              <w:gridCol w:w="856"/>
              <w:gridCol w:w="779"/>
            </w:tblGrid>
            <w:tr w14:paraId="33CB4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333" w:type="pct"/>
                  <w:tcBorders>
                    <w:tl2br w:val="nil"/>
                    <w:tr2bl w:val="nil"/>
                  </w:tcBorders>
                  <w:noWrap w:val="0"/>
                  <w:vAlign w:val="center"/>
                </w:tcPr>
                <w:p w14:paraId="63A8DAF6">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序号</w:t>
                  </w:r>
                </w:p>
              </w:tc>
              <w:tc>
                <w:tcPr>
                  <w:tcW w:w="450" w:type="pct"/>
                  <w:tcBorders>
                    <w:tl2br w:val="nil"/>
                    <w:tr2bl w:val="nil"/>
                  </w:tcBorders>
                  <w:noWrap w:val="0"/>
                  <w:vAlign w:val="center"/>
                </w:tcPr>
                <w:p w14:paraId="77E47CB4">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设施</w:t>
                  </w:r>
                </w:p>
                <w:p w14:paraId="3605C0C4">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名称</w:t>
                  </w:r>
                </w:p>
              </w:tc>
              <w:tc>
                <w:tcPr>
                  <w:tcW w:w="580" w:type="pct"/>
                  <w:tcBorders>
                    <w:tl2br w:val="nil"/>
                    <w:tr2bl w:val="nil"/>
                  </w:tcBorders>
                  <w:noWrap w:val="0"/>
                  <w:vAlign w:val="center"/>
                </w:tcPr>
                <w:p w14:paraId="6E5F62B1">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危险废物名称</w:t>
                  </w:r>
                </w:p>
              </w:tc>
              <w:tc>
                <w:tcPr>
                  <w:tcW w:w="468" w:type="pct"/>
                  <w:tcBorders>
                    <w:tl2br w:val="nil"/>
                    <w:tr2bl w:val="nil"/>
                  </w:tcBorders>
                  <w:noWrap w:val="0"/>
                  <w:vAlign w:val="center"/>
                </w:tcPr>
                <w:p w14:paraId="18C528C2">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危险废物类别</w:t>
                  </w:r>
                </w:p>
              </w:tc>
              <w:tc>
                <w:tcPr>
                  <w:tcW w:w="769" w:type="pct"/>
                  <w:tcBorders>
                    <w:tl2br w:val="nil"/>
                    <w:tr2bl w:val="nil"/>
                  </w:tcBorders>
                  <w:noWrap w:val="0"/>
                  <w:vAlign w:val="center"/>
                </w:tcPr>
                <w:p w14:paraId="58B54BC3">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危险废</w:t>
                  </w:r>
                </w:p>
                <w:p w14:paraId="6C35200E">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物代码</w:t>
                  </w:r>
                </w:p>
              </w:tc>
              <w:tc>
                <w:tcPr>
                  <w:tcW w:w="455" w:type="pct"/>
                  <w:tcBorders>
                    <w:tl2br w:val="nil"/>
                    <w:tr2bl w:val="nil"/>
                  </w:tcBorders>
                  <w:noWrap w:val="0"/>
                  <w:vAlign w:val="center"/>
                </w:tcPr>
                <w:p w14:paraId="274B946C">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位置</w:t>
                  </w:r>
                </w:p>
              </w:tc>
              <w:tc>
                <w:tcPr>
                  <w:tcW w:w="497" w:type="pct"/>
                  <w:tcBorders>
                    <w:tl2br w:val="nil"/>
                    <w:tr2bl w:val="nil"/>
                  </w:tcBorders>
                  <w:noWrap w:val="0"/>
                  <w:vAlign w:val="center"/>
                </w:tcPr>
                <w:p w14:paraId="03B4DEEA">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占地</w:t>
                  </w:r>
                </w:p>
                <w:p w14:paraId="091B2092">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面积</w:t>
                  </w:r>
                </w:p>
              </w:tc>
              <w:tc>
                <w:tcPr>
                  <w:tcW w:w="455" w:type="pct"/>
                  <w:tcBorders>
                    <w:tl2br w:val="nil"/>
                    <w:tr2bl w:val="nil"/>
                  </w:tcBorders>
                  <w:noWrap w:val="0"/>
                  <w:vAlign w:val="center"/>
                </w:tcPr>
                <w:p w14:paraId="6B8186FD">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贮存</w:t>
                  </w:r>
                </w:p>
                <w:p w14:paraId="3B1C76F1">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方式</w:t>
                  </w:r>
                </w:p>
              </w:tc>
              <w:tc>
                <w:tcPr>
                  <w:tcW w:w="518" w:type="pct"/>
                  <w:tcBorders>
                    <w:tl2br w:val="nil"/>
                    <w:tr2bl w:val="nil"/>
                  </w:tcBorders>
                  <w:noWrap w:val="0"/>
                  <w:vAlign w:val="center"/>
                </w:tcPr>
                <w:p w14:paraId="31CCF894">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贮存</w:t>
                  </w:r>
                </w:p>
                <w:p w14:paraId="01774135">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能力</w:t>
                  </w:r>
                </w:p>
              </w:tc>
              <w:tc>
                <w:tcPr>
                  <w:tcW w:w="471" w:type="pct"/>
                  <w:tcBorders>
                    <w:tl2br w:val="nil"/>
                    <w:tr2bl w:val="nil"/>
                  </w:tcBorders>
                  <w:noWrap w:val="0"/>
                  <w:vAlign w:val="center"/>
                </w:tcPr>
                <w:p w14:paraId="6D0872BE">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贮存</w:t>
                  </w:r>
                </w:p>
                <w:p w14:paraId="03D600A7">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周期</w:t>
                  </w:r>
                </w:p>
              </w:tc>
            </w:tr>
            <w:tr w14:paraId="05442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48D57352">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1</w:t>
                  </w:r>
                </w:p>
              </w:tc>
              <w:tc>
                <w:tcPr>
                  <w:tcW w:w="450" w:type="pct"/>
                  <w:vMerge w:val="restart"/>
                  <w:tcBorders>
                    <w:tl2br w:val="nil"/>
                    <w:tr2bl w:val="nil"/>
                  </w:tcBorders>
                  <w:noWrap w:val="0"/>
                  <w:vAlign w:val="center"/>
                </w:tcPr>
                <w:p w14:paraId="4697B414">
                  <w:pPr>
                    <w:pStyle w:val="42"/>
                    <w:rPr>
                      <w:rFonts w:hint="eastAsia"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危险废物贮存库</w:t>
                  </w:r>
                </w:p>
              </w:tc>
              <w:tc>
                <w:tcPr>
                  <w:tcW w:w="958" w:type="dxa"/>
                  <w:tcBorders>
                    <w:tl2br w:val="nil"/>
                    <w:tr2bl w:val="nil"/>
                  </w:tcBorders>
                  <w:noWrap w:val="0"/>
                  <w:vAlign w:val="center"/>
                </w:tcPr>
                <w:p w14:paraId="00051576">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废机油</w:t>
                  </w:r>
                </w:p>
              </w:tc>
              <w:tc>
                <w:tcPr>
                  <w:tcW w:w="774" w:type="dxa"/>
                  <w:tcBorders>
                    <w:tl2br w:val="nil"/>
                    <w:tr2bl w:val="nil"/>
                  </w:tcBorders>
                  <w:noWrap w:val="0"/>
                  <w:vAlign w:val="center"/>
                </w:tcPr>
                <w:p w14:paraId="1E30B648">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HW08</w:t>
                  </w:r>
                </w:p>
              </w:tc>
              <w:tc>
                <w:tcPr>
                  <w:tcW w:w="1271" w:type="dxa"/>
                  <w:tcBorders>
                    <w:tl2br w:val="nil"/>
                    <w:tr2bl w:val="nil"/>
                  </w:tcBorders>
                  <w:noWrap w:val="0"/>
                  <w:vAlign w:val="center"/>
                </w:tcPr>
                <w:p w14:paraId="66EC05EA">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900-249-08</w:t>
                  </w:r>
                </w:p>
              </w:tc>
              <w:tc>
                <w:tcPr>
                  <w:tcW w:w="455" w:type="pct"/>
                  <w:vMerge w:val="restart"/>
                  <w:tcBorders>
                    <w:tl2br w:val="nil"/>
                    <w:tr2bl w:val="nil"/>
                  </w:tcBorders>
                  <w:noWrap w:val="0"/>
                  <w:vAlign w:val="center"/>
                </w:tcPr>
                <w:p w14:paraId="5B9CC8A7">
                  <w:pPr>
                    <w:pStyle w:val="42"/>
                    <w:rPr>
                      <w:rFonts w:hint="eastAsia" w:ascii="Times New Roman" w:hAnsi="Times New Roman" w:eastAsia="宋体" w:cs="Times New Roman"/>
                      <w:color w:val="auto"/>
                      <w:u w:val="single"/>
                      <w:lang w:eastAsia="zh-CN"/>
                    </w:rPr>
                  </w:pPr>
                  <w:r>
                    <w:rPr>
                      <w:rFonts w:hint="eastAsia" w:ascii="Times New Roman" w:hAnsi="Times New Roman" w:eastAsia="宋体" w:cs="Times New Roman"/>
                      <w:color w:val="auto"/>
                      <w:u w:val="single"/>
                      <w:lang w:eastAsia="zh-CN"/>
                    </w:rPr>
                    <w:t>4S店西南侧</w:t>
                  </w:r>
                </w:p>
              </w:tc>
              <w:tc>
                <w:tcPr>
                  <w:tcW w:w="497" w:type="pct"/>
                  <w:vMerge w:val="restart"/>
                  <w:tcBorders>
                    <w:tl2br w:val="nil"/>
                    <w:tr2bl w:val="nil"/>
                  </w:tcBorders>
                  <w:noWrap w:val="0"/>
                  <w:vAlign w:val="center"/>
                </w:tcPr>
                <w:p w14:paraId="7A31F949">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20</w:t>
                  </w:r>
                  <w:r>
                    <w:rPr>
                      <w:rFonts w:hint="eastAsia" w:ascii="Times New Roman" w:hAnsi="Times New Roman" w:eastAsia="宋体" w:cs="Times New Roman"/>
                      <w:color w:val="auto"/>
                      <w:u w:val="single"/>
                    </w:rPr>
                    <w:t>m</w:t>
                  </w:r>
                  <w:r>
                    <w:rPr>
                      <w:rFonts w:hint="eastAsia" w:ascii="Times New Roman" w:hAnsi="Times New Roman" w:eastAsia="宋体" w:cs="Times New Roman"/>
                      <w:color w:val="auto"/>
                      <w:u w:val="single"/>
                      <w:vertAlign w:val="superscript"/>
                    </w:rPr>
                    <w:t>2</w:t>
                  </w:r>
                </w:p>
              </w:tc>
              <w:tc>
                <w:tcPr>
                  <w:tcW w:w="455" w:type="pct"/>
                  <w:vMerge w:val="restart"/>
                  <w:tcBorders>
                    <w:tl2br w:val="nil"/>
                    <w:tr2bl w:val="nil"/>
                  </w:tcBorders>
                  <w:noWrap w:val="0"/>
                  <w:vAlign w:val="center"/>
                </w:tcPr>
                <w:p w14:paraId="0EB76287">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桶装</w:t>
                  </w:r>
                </w:p>
              </w:tc>
              <w:tc>
                <w:tcPr>
                  <w:tcW w:w="518" w:type="pct"/>
                  <w:vMerge w:val="restart"/>
                  <w:tcBorders>
                    <w:tl2br w:val="nil"/>
                    <w:tr2bl w:val="nil"/>
                  </w:tcBorders>
                  <w:noWrap w:val="0"/>
                  <w:vAlign w:val="center"/>
                </w:tcPr>
                <w:p w14:paraId="5018327A">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10</w:t>
                  </w:r>
                  <w:r>
                    <w:rPr>
                      <w:rFonts w:hint="eastAsia" w:ascii="Times New Roman" w:hAnsi="Times New Roman" w:eastAsia="宋体" w:cs="Times New Roman"/>
                      <w:color w:val="auto"/>
                      <w:u w:val="single"/>
                    </w:rPr>
                    <w:t>t</w:t>
                  </w:r>
                </w:p>
              </w:tc>
              <w:tc>
                <w:tcPr>
                  <w:tcW w:w="471" w:type="pct"/>
                  <w:vMerge w:val="restart"/>
                  <w:tcBorders>
                    <w:tl2br w:val="nil"/>
                    <w:tr2bl w:val="nil"/>
                  </w:tcBorders>
                  <w:noWrap w:val="0"/>
                  <w:vAlign w:val="center"/>
                </w:tcPr>
                <w:p w14:paraId="29843C97">
                  <w:pPr>
                    <w:pStyle w:val="42"/>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6月</w:t>
                  </w:r>
                </w:p>
              </w:tc>
            </w:tr>
            <w:tr w14:paraId="7BFB8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3A6C3483">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2</w:t>
                  </w:r>
                </w:p>
              </w:tc>
              <w:tc>
                <w:tcPr>
                  <w:tcW w:w="450" w:type="pct"/>
                  <w:vMerge w:val="continue"/>
                  <w:tcBorders>
                    <w:tl2br w:val="nil"/>
                    <w:tr2bl w:val="nil"/>
                  </w:tcBorders>
                  <w:noWrap w:val="0"/>
                  <w:vAlign w:val="center"/>
                </w:tcPr>
                <w:p w14:paraId="42C22453">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0130BBE0">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废</w:t>
                  </w:r>
                  <w:r>
                    <w:rPr>
                      <w:rFonts w:hint="eastAsia" w:ascii="Times New Roman" w:hAnsi="Times New Roman" w:eastAsia="宋体" w:cs="Times New Roman"/>
                      <w:color w:val="auto"/>
                      <w:u w:val="single"/>
                      <w:lang w:val="en-US" w:eastAsia="zh-CN"/>
                    </w:rPr>
                    <w:t>机</w:t>
                  </w:r>
                  <w:r>
                    <w:rPr>
                      <w:rFonts w:hint="eastAsia" w:ascii="Times New Roman" w:hAnsi="Times New Roman" w:eastAsia="宋体" w:cs="Times New Roman"/>
                      <w:color w:val="auto"/>
                      <w:u w:val="single"/>
                    </w:rPr>
                    <w:t>油桶</w:t>
                  </w:r>
                  <w:r>
                    <w:rPr>
                      <w:rFonts w:hint="eastAsia"/>
                      <w:color w:val="auto"/>
                      <w:u w:val="single"/>
                      <w:lang w:eastAsia="zh-CN"/>
                    </w:rPr>
                    <w:t>、</w:t>
                  </w:r>
                  <w:r>
                    <w:rPr>
                      <w:rFonts w:hint="eastAsia"/>
                      <w:color w:val="auto"/>
                      <w:u w:val="single"/>
                      <w:lang w:val="en-US" w:eastAsia="zh-CN"/>
                    </w:rPr>
                    <w:t>机油格</w:t>
                  </w:r>
                </w:p>
              </w:tc>
              <w:tc>
                <w:tcPr>
                  <w:tcW w:w="774" w:type="dxa"/>
                  <w:tcBorders>
                    <w:tl2br w:val="nil"/>
                    <w:tr2bl w:val="nil"/>
                  </w:tcBorders>
                  <w:noWrap w:val="0"/>
                  <w:vAlign w:val="center"/>
                </w:tcPr>
                <w:p w14:paraId="625E65CA">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HW49</w:t>
                  </w:r>
                </w:p>
              </w:tc>
              <w:tc>
                <w:tcPr>
                  <w:tcW w:w="1271" w:type="dxa"/>
                  <w:tcBorders>
                    <w:tl2br w:val="nil"/>
                    <w:tr2bl w:val="nil"/>
                  </w:tcBorders>
                  <w:noWrap w:val="0"/>
                  <w:vAlign w:val="center"/>
                </w:tcPr>
                <w:p w14:paraId="00110C47">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900-041-49</w:t>
                  </w:r>
                </w:p>
              </w:tc>
              <w:tc>
                <w:tcPr>
                  <w:tcW w:w="455" w:type="pct"/>
                  <w:vMerge w:val="continue"/>
                  <w:tcBorders>
                    <w:tl2br w:val="nil"/>
                    <w:tr2bl w:val="nil"/>
                  </w:tcBorders>
                  <w:noWrap w:val="0"/>
                  <w:vAlign w:val="center"/>
                </w:tcPr>
                <w:p w14:paraId="6C84D745">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79849D7B">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343D7217">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356BFD4F">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57B558B4">
                  <w:pPr>
                    <w:pStyle w:val="42"/>
                    <w:rPr>
                      <w:rFonts w:hint="eastAsia" w:ascii="Times New Roman" w:hAnsi="Times New Roman" w:eastAsia="宋体" w:cs="Times New Roman"/>
                      <w:color w:val="auto"/>
                      <w:u w:val="single"/>
                    </w:rPr>
                  </w:pPr>
                </w:p>
              </w:tc>
            </w:tr>
            <w:tr w14:paraId="36F48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0FD2606F">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3</w:t>
                  </w:r>
                </w:p>
              </w:tc>
              <w:tc>
                <w:tcPr>
                  <w:tcW w:w="450" w:type="pct"/>
                  <w:vMerge w:val="continue"/>
                  <w:tcBorders>
                    <w:tl2br w:val="nil"/>
                    <w:tr2bl w:val="nil"/>
                  </w:tcBorders>
                  <w:noWrap w:val="0"/>
                  <w:vAlign w:val="center"/>
                </w:tcPr>
                <w:p w14:paraId="1087A95E">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026A16D1">
                  <w:pPr>
                    <w:pStyle w:val="42"/>
                    <w:ind w:firstLine="0" w:firstLineChars="0"/>
                    <w:rPr>
                      <w:rFonts w:hint="eastAsia" w:ascii="Times New Roman" w:hAnsi="Times New Roman" w:eastAsia="宋体" w:cs="Times New Roman"/>
                      <w:color w:val="auto"/>
                      <w:u w:val="single"/>
                      <w:lang w:val="en-US" w:eastAsia="zh-CN"/>
                    </w:rPr>
                  </w:pPr>
                  <w:r>
                    <w:rPr>
                      <w:color w:val="auto"/>
                      <w:u w:val="single"/>
                    </w:rPr>
                    <w:t>废</w:t>
                  </w:r>
                  <w:r>
                    <w:rPr>
                      <w:rFonts w:hint="eastAsia"/>
                      <w:color w:val="auto"/>
                      <w:u w:val="single"/>
                    </w:rPr>
                    <w:t>油漆</w:t>
                  </w:r>
                  <w:r>
                    <w:rPr>
                      <w:color w:val="auto"/>
                      <w:u w:val="single"/>
                    </w:rPr>
                    <w:t>桶</w:t>
                  </w:r>
                  <w:r>
                    <w:rPr>
                      <w:rFonts w:hint="eastAsia"/>
                      <w:color w:val="auto"/>
                      <w:u w:val="single"/>
                    </w:rPr>
                    <w:t>、废</w:t>
                  </w:r>
                  <w:r>
                    <w:rPr>
                      <w:rFonts w:hint="eastAsia"/>
                      <w:color w:val="auto"/>
                      <w:u w:val="single"/>
                      <w:lang w:eastAsia="zh-CN"/>
                    </w:rPr>
                    <w:t>稀释剂</w:t>
                  </w:r>
                  <w:r>
                    <w:rPr>
                      <w:rFonts w:hint="eastAsia"/>
                      <w:color w:val="auto"/>
                      <w:u w:val="single"/>
                    </w:rPr>
                    <w:t>桶</w:t>
                  </w:r>
                </w:p>
              </w:tc>
              <w:tc>
                <w:tcPr>
                  <w:tcW w:w="774" w:type="dxa"/>
                  <w:tcBorders>
                    <w:tl2br w:val="nil"/>
                    <w:tr2bl w:val="nil"/>
                  </w:tcBorders>
                  <w:noWrap w:val="0"/>
                  <w:vAlign w:val="center"/>
                </w:tcPr>
                <w:p w14:paraId="78A5490E">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HW49</w:t>
                  </w:r>
                </w:p>
              </w:tc>
              <w:tc>
                <w:tcPr>
                  <w:tcW w:w="1271" w:type="dxa"/>
                  <w:tcBorders>
                    <w:tl2br w:val="nil"/>
                    <w:tr2bl w:val="nil"/>
                  </w:tcBorders>
                  <w:noWrap w:val="0"/>
                  <w:vAlign w:val="center"/>
                </w:tcPr>
                <w:p w14:paraId="3CB9F041">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900-041-49</w:t>
                  </w:r>
                </w:p>
              </w:tc>
              <w:tc>
                <w:tcPr>
                  <w:tcW w:w="455" w:type="pct"/>
                  <w:vMerge w:val="continue"/>
                  <w:tcBorders>
                    <w:tl2br w:val="nil"/>
                    <w:tr2bl w:val="nil"/>
                  </w:tcBorders>
                  <w:noWrap w:val="0"/>
                  <w:vAlign w:val="center"/>
                </w:tcPr>
                <w:p w14:paraId="4B1406E2">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63FB99E7">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485F5C5E">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6FD9238C">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6466B67E">
                  <w:pPr>
                    <w:pStyle w:val="42"/>
                    <w:rPr>
                      <w:rFonts w:hint="eastAsia" w:ascii="Times New Roman" w:hAnsi="Times New Roman" w:eastAsia="宋体" w:cs="Times New Roman"/>
                      <w:color w:val="auto"/>
                      <w:u w:val="single"/>
                    </w:rPr>
                  </w:pPr>
                </w:p>
              </w:tc>
            </w:tr>
            <w:tr w14:paraId="5B446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333" w:type="pct"/>
                  <w:vMerge w:val="restart"/>
                  <w:tcBorders>
                    <w:tl2br w:val="nil"/>
                    <w:tr2bl w:val="nil"/>
                  </w:tcBorders>
                  <w:noWrap w:val="0"/>
                  <w:vAlign w:val="center"/>
                </w:tcPr>
                <w:p w14:paraId="4CE848A2">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4</w:t>
                  </w:r>
                </w:p>
              </w:tc>
              <w:tc>
                <w:tcPr>
                  <w:tcW w:w="450" w:type="pct"/>
                  <w:vMerge w:val="continue"/>
                  <w:tcBorders>
                    <w:tl2br w:val="nil"/>
                    <w:tr2bl w:val="nil"/>
                  </w:tcBorders>
                  <w:noWrap w:val="0"/>
                  <w:vAlign w:val="center"/>
                </w:tcPr>
                <w:p w14:paraId="4C8BBE08">
                  <w:pPr>
                    <w:pStyle w:val="42"/>
                    <w:rPr>
                      <w:rFonts w:hint="eastAsia" w:ascii="Times New Roman" w:hAnsi="Times New Roman" w:eastAsia="宋体" w:cs="Times New Roman"/>
                      <w:color w:val="auto"/>
                      <w:u w:val="single"/>
                    </w:rPr>
                  </w:pPr>
                </w:p>
              </w:tc>
              <w:tc>
                <w:tcPr>
                  <w:tcW w:w="958" w:type="dxa"/>
                  <w:tcBorders>
                    <w:bottom w:val="single" w:color="auto" w:sz="4" w:space="0"/>
                    <w:tl2br w:val="nil"/>
                    <w:tr2bl w:val="nil"/>
                  </w:tcBorders>
                  <w:noWrap w:val="0"/>
                  <w:vAlign w:val="center"/>
                </w:tcPr>
                <w:p w14:paraId="338BF213">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废洗枪手废溶剂</w:t>
                  </w:r>
                </w:p>
              </w:tc>
              <w:tc>
                <w:tcPr>
                  <w:tcW w:w="774" w:type="dxa"/>
                  <w:tcBorders>
                    <w:bottom w:val="single" w:color="auto" w:sz="4" w:space="0"/>
                    <w:tl2br w:val="nil"/>
                    <w:tr2bl w:val="nil"/>
                  </w:tcBorders>
                  <w:noWrap w:val="0"/>
                  <w:vAlign w:val="center"/>
                </w:tcPr>
                <w:p w14:paraId="7012FDD0">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HW49</w:t>
                  </w:r>
                </w:p>
              </w:tc>
              <w:tc>
                <w:tcPr>
                  <w:tcW w:w="1271" w:type="dxa"/>
                  <w:tcBorders>
                    <w:bottom w:val="single" w:color="auto" w:sz="4" w:space="0"/>
                    <w:tl2br w:val="nil"/>
                    <w:tr2bl w:val="nil"/>
                  </w:tcBorders>
                  <w:noWrap w:val="0"/>
                  <w:vAlign w:val="center"/>
                </w:tcPr>
                <w:p w14:paraId="69628214">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900-041-49</w:t>
                  </w:r>
                </w:p>
              </w:tc>
              <w:tc>
                <w:tcPr>
                  <w:tcW w:w="455" w:type="pct"/>
                  <w:vMerge w:val="continue"/>
                  <w:tcBorders>
                    <w:tl2br w:val="nil"/>
                    <w:tr2bl w:val="nil"/>
                  </w:tcBorders>
                  <w:noWrap w:val="0"/>
                  <w:vAlign w:val="center"/>
                </w:tcPr>
                <w:p w14:paraId="3A459AB5">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58D2CDD4">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0AB09857">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4F5E1522">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5723C6FC">
                  <w:pPr>
                    <w:pStyle w:val="42"/>
                    <w:rPr>
                      <w:rFonts w:hint="eastAsia" w:ascii="Times New Roman" w:hAnsi="Times New Roman" w:eastAsia="宋体" w:cs="Times New Roman"/>
                      <w:color w:val="auto"/>
                      <w:u w:val="single"/>
                    </w:rPr>
                  </w:pPr>
                </w:p>
              </w:tc>
            </w:tr>
            <w:tr w14:paraId="6E41F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33" w:type="pct"/>
                  <w:vMerge w:val="continue"/>
                  <w:tcBorders>
                    <w:tl2br w:val="nil"/>
                    <w:tr2bl w:val="nil"/>
                  </w:tcBorders>
                  <w:noWrap w:val="0"/>
                  <w:vAlign w:val="center"/>
                </w:tcPr>
                <w:p w14:paraId="375D963F">
                  <w:pPr>
                    <w:pStyle w:val="42"/>
                    <w:rPr>
                      <w:rFonts w:hint="eastAsia" w:ascii="Times New Roman" w:hAnsi="Times New Roman" w:eastAsia="宋体" w:cs="Times New Roman"/>
                      <w:color w:val="auto"/>
                      <w:u w:val="single"/>
                      <w:lang w:val="en-US" w:eastAsia="zh-CN"/>
                    </w:rPr>
                  </w:pPr>
                </w:p>
              </w:tc>
              <w:tc>
                <w:tcPr>
                  <w:tcW w:w="450" w:type="pct"/>
                  <w:vMerge w:val="continue"/>
                  <w:tcBorders>
                    <w:tl2br w:val="nil"/>
                    <w:tr2bl w:val="nil"/>
                  </w:tcBorders>
                  <w:noWrap w:val="0"/>
                  <w:vAlign w:val="center"/>
                </w:tcPr>
                <w:p w14:paraId="6C79A039">
                  <w:pPr>
                    <w:pStyle w:val="42"/>
                    <w:rPr>
                      <w:rFonts w:hint="eastAsia" w:ascii="Times New Roman" w:hAnsi="Times New Roman" w:eastAsia="宋体" w:cs="Times New Roman"/>
                      <w:color w:val="auto"/>
                      <w:u w:val="single"/>
                    </w:rPr>
                  </w:pPr>
                </w:p>
              </w:tc>
              <w:tc>
                <w:tcPr>
                  <w:tcW w:w="958" w:type="dxa"/>
                  <w:tcBorders>
                    <w:top w:val="single" w:color="auto" w:sz="4" w:space="0"/>
                    <w:tl2br w:val="nil"/>
                    <w:tr2bl w:val="nil"/>
                  </w:tcBorders>
                  <w:noWrap w:val="0"/>
                  <w:vAlign w:val="center"/>
                </w:tcPr>
                <w:p w14:paraId="7E0A9F3D">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废</w:t>
                  </w:r>
                  <w:r>
                    <w:rPr>
                      <w:rFonts w:hint="eastAsia" w:ascii="Times New Roman" w:hAnsi="Times New Roman" w:eastAsia="宋体" w:cs="Times New Roman"/>
                      <w:color w:val="auto"/>
                      <w:u w:val="single"/>
                      <w:lang w:eastAsia="zh-CN"/>
                    </w:rPr>
                    <w:t>漆渣</w:t>
                  </w:r>
                </w:p>
              </w:tc>
              <w:tc>
                <w:tcPr>
                  <w:tcW w:w="774" w:type="dxa"/>
                  <w:tcBorders>
                    <w:top w:val="single" w:color="auto" w:sz="4" w:space="0"/>
                    <w:tl2br w:val="nil"/>
                    <w:tr2bl w:val="nil"/>
                  </w:tcBorders>
                  <w:noWrap w:val="0"/>
                  <w:vAlign w:val="center"/>
                </w:tcPr>
                <w:p w14:paraId="72FBB42A">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HW49</w:t>
                  </w:r>
                </w:p>
              </w:tc>
              <w:tc>
                <w:tcPr>
                  <w:tcW w:w="1271" w:type="dxa"/>
                  <w:tcBorders>
                    <w:top w:val="single" w:color="auto" w:sz="4" w:space="0"/>
                    <w:tl2br w:val="nil"/>
                    <w:tr2bl w:val="nil"/>
                  </w:tcBorders>
                  <w:noWrap w:val="0"/>
                  <w:vAlign w:val="center"/>
                </w:tcPr>
                <w:p w14:paraId="6C8F1211">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rPr>
                    <w:t>900-041-49</w:t>
                  </w:r>
                </w:p>
              </w:tc>
              <w:tc>
                <w:tcPr>
                  <w:tcW w:w="455" w:type="pct"/>
                  <w:vMerge w:val="continue"/>
                  <w:tcBorders>
                    <w:tl2br w:val="nil"/>
                    <w:tr2bl w:val="nil"/>
                  </w:tcBorders>
                  <w:noWrap w:val="0"/>
                  <w:vAlign w:val="center"/>
                </w:tcPr>
                <w:p w14:paraId="3BA3AB95">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0B8703FE">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446A5403">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72D20F9F">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76B2DA6B">
                  <w:pPr>
                    <w:pStyle w:val="42"/>
                    <w:rPr>
                      <w:rFonts w:hint="eastAsia" w:ascii="Times New Roman" w:hAnsi="Times New Roman" w:eastAsia="宋体" w:cs="Times New Roman"/>
                      <w:color w:val="auto"/>
                      <w:u w:val="single"/>
                    </w:rPr>
                  </w:pPr>
                </w:p>
              </w:tc>
            </w:tr>
            <w:tr w14:paraId="12C02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27CC7B4D">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5</w:t>
                  </w:r>
                </w:p>
              </w:tc>
              <w:tc>
                <w:tcPr>
                  <w:tcW w:w="450" w:type="pct"/>
                  <w:vMerge w:val="continue"/>
                  <w:tcBorders>
                    <w:tl2br w:val="nil"/>
                    <w:tr2bl w:val="nil"/>
                  </w:tcBorders>
                  <w:noWrap w:val="0"/>
                  <w:vAlign w:val="center"/>
                </w:tcPr>
                <w:p w14:paraId="3D3F0D69">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02132369">
                  <w:pPr>
                    <w:pStyle w:val="42"/>
                    <w:ind w:firstLine="0" w:firstLineChars="0"/>
                    <w:rPr>
                      <w:rFonts w:hint="eastAsia" w:ascii="Times New Roman" w:hAnsi="Times New Roman" w:eastAsia="宋体" w:cs="Times New Roman"/>
                      <w:color w:val="auto"/>
                      <w:u w:val="single"/>
                      <w:lang w:val="en-US" w:eastAsia="zh-CN"/>
                    </w:rPr>
                  </w:pPr>
                  <w:r>
                    <w:rPr>
                      <w:rFonts w:hint="eastAsia"/>
                      <w:color w:val="auto"/>
                      <w:u w:val="single"/>
                      <w:lang w:val="en-US" w:eastAsia="zh-CN"/>
                    </w:rPr>
                    <w:t>废</w:t>
                  </w:r>
                  <w:r>
                    <w:rPr>
                      <w:color w:val="auto"/>
                      <w:u w:val="single"/>
                    </w:rPr>
                    <w:t>含油</w:t>
                  </w:r>
                  <w:r>
                    <w:rPr>
                      <w:rFonts w:hint="eastAsia"/>
                      <w:color w:val="auto"/>
                      <w:u w:val="single"/>
                      <w:lang w:val="en-US" w:eastAsia="zh-CN"/>
                    </w:rPr>
                    <w:t>手套、</w:t>
                  </w:r>
                  <w:r>
                    <w:rPr>
                      <w:color w:val="auto"/>
                      <w:u w:val="single"/>
                    </w:rPr>
                    <w:t>抹布</w:t>
                  </w:r>
                </w:p>
              </w:tc>
              <w:tc>
                <w:tcPr>
                  <w:tcW w:w="774" w:type="dxa"/>
                  <w:tcBorders>
                    <w:tl2br w:val="nil"/>
                    <w:tr2bl w:val="nil"/>
                  </w:tcBorders>
                  <w:noWrap w:val="0"/>
                  <w:vAlign w:val="center"/>
                </w:tcPr>
                <w:p w14:paraId="645B3334">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豁免内容</w:t>
                  </w:r>
                </w:p>
              </w:tc>
              <w:tc>
                <w:tcPr>
                  <w:tcW w:w="1271" w:type="dxa"/>
                  <w:tcBorders>
                    <w:tl2br w:val="nil"/>
                    <w:tr2bl w:val="nil"/>
                  </w:tcBorders>
                  <w:noWrap w:val="0"/>
                  <w:vAlign w:val="center"/>
                </w:tcPr>
                <w:p w14:paraId="3D77950B">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900-041-49</w:t>
                  </w:r>
                </w:p>
              </w:tc>
              <w:tc>
                <w:tcPr>
                  <w:tcW w:w="455" w:type="pct"/>
                  <w:vMerge w:val="continue"/>
                  <w:tcBorders>
                    <w:tl2br w:val="nil"/>
                    <w:tr2bl w:val="nil"/>
                  </w:tcBorders>
                  <w:noWrap w:val="0"/>
                  <w:vAlign w:val="center"/>
                </w:tcPr>
                <w:p w14:paraId="79EADDEE">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5C94CF6B">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606844DE">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0FC21CE8">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1FAE7392">
                  <w:pPr>
                    <w:pStyle w:val="42"/>
                    <w:rPr>
                      <w:rFonts w:hint="eastAsia" w:ascii="Times New Roman" w:hAnsi="Times New Roman" w:eastAsia="宋体" w:cs="Times New Roman"/>
                      <w:color w:val="auto"/>
                      <w:u w:val="single"/>
                    </w:rPr>
                  </w:pPr>
                </w:p>
              </w:tc>
            </w:tr>
            <w:tr w14:paraId="13072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4F8E34CD">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6</w:t>
                  </w:r>
                </w:p>
              </w:tc>
              <w:tc>
                <w:tcPr>
                  <w:tcW w:w="450" w:type="pct"/>
                  <w:vMerge w:val="continue"/>
                  <w:tcBorders>
                    <w:tl2br w:val="nil"/>
                    <w:tr2bl w:val="nil"/>
                  </w:tcBorders>
                  <w:noWrap w:val="0"/>
                  <w:vAlign w:val="center"/>
                </w:tcPr>
                <w:p w14:paraId="08A33995">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5668E59A">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废过滤棉</w:t>
                  </w:r>
                </w:p>
              </w:tc>
              <w:tc>
                <w:tcPr>
                  <w:tcW w:w="774" w:type="dxa"/>
                  <w:tcBorders>
                    <w:tl2br w:val="nil"/>
                    <w:tr2bl w:val="nil"/>
                  </w:tcBorders>
                  <w:noWrap w:val="0"/>
                  <w:vAlign w:val="center"/>
                </w:tcPr>
                <w:p w14:paraId="52646FFF">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HW49</w:t>
                  </w:r>
                </w:p>
              </w:tc>
              <w:tc>
                <w:tcPr>
                  <w:tcW w:w="1271" w:type="dxa"/>
                  <w:tcBorders>
                    <w:tl2br w:val="nil"/>
                    <w:tr2bl w:val="nil"/>
                  </w:tcBorders>
                  <w:noWrap w:val="0"/>
                  <w:vAlign w:val="center"/>
                </w:tcPr>
                <w:p w14:paraId="1F18F231">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900-041-49</w:t>
                  </w:r>
                </w:p>
              </w:tc>
              <w:tc>
                <w:tcPr>
                  <w:tcW w:w="455" w:type="pct"/>
                  <w:vMerge w:val="continue"/>
                  <w:tcBorders>
                    <w:tl2br w:val="nil"/>
                    <w:tr2bl w:val="nil"/>
                  </w:tcBorders>
                  <w:noWrap w:val="0"/>
                  <w:vAlign w:val="center"/>
                </w:tcPr>
                <w:p w14:paraId="1E49B8A8">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6402CDDE">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7E3D08E2">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6A652432">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35BE9E8F">
                  <w:pPr>
                    <w:pStyle w:val="42"/>
                    <w:rPr>
                      <w:rFonts w:hint="eastAsia" w:ascii="Times New Roman" w:hAnsi="Times New Roman" w:eastAsia="宋体" w:cs="Times New Roman"/>
                      <w:color w:val="auto"/>
                      <w:u w:val="single"/>
                    </w:rPr>
                  </w:pPr>
                </w:p>
              </w:tc>
            </w:tr>
            <w:tr w14:paraId="363AC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3A3A2A34">
                  <w:pPr>
                    <w:pStyle w:val="42"/>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7</w:t>
                  </w:r>
                </w:p>
              </w:tc>
              <w:tc>
                <w:tcPr>
                  <w:tcW w:w="450" w:type="pct"/>
                  <w:vMerge w:val="continue"/>
                  <w:tcBorders>
                    <w:tl2br w:val="nil"/>
                    <w:tr2bl w:val="nil"/>
                  </w:tcBorders>
                  <w:noWrap w:val="0"/>
                  <w:vAlign w:val="center"/>
                </w:tcPr>
                <w:p w14:paraId="549572FA">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29D43973">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废活性炭</w:t>
                  </w:r>
                </w:p>
              </w:tc>
              <w:tc>
                <w:tcPr>
                  <w:tcW w:w="774" w:type="dxa"/>
                  <w:tcBorders>
                    <w:tl2br w:val="nil"/>
                    <w:tr2bl w:val="nil"/>
                  </w:tcBorders>
                  <w:noWrap w:val="0"/>
                  <w:vAlign w:val="center"/>
                </w:tcPr>
                <w:p w14:paraId="2DA253F1">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HW49</w:t>
                  </w:r>
                </w:p>
              </w:tc>
              <w:tc>
                <w:tcPr>
                  <w:tcW w:w="1271" w:type="dxa"/>
                  <w:tcBorders>
                    <w:tl2br w:val="nil"/>
                    <w:tr2bl w:val="nil"/>
                  </w:tcBorders>
                  <w:noWrap w:val="0"/>
                  <w:vAlign w:val="center"/>
                </w:tcPr>
                <w:p w14:paraId="62390CBF">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900-041-49</w:t>
                  </w:r>
                </w:p>
              </w:tc>
              <w:tc>
                <w:tcPr>
                  <w:tcW w:w="455" w:type="pct"/>
                  <w:vMerge w:val="continue"/>
                  <w:tcBorders>
                    <w:tl2br w:val="nil"/>
                    <w:tr2bl w:val="nil"/>
                  </w:tcBorders>
                  <w:noWrap w:val="0"/>
                  <w:vAlign w:val="center"/>
                </w:tcPr>
                <w:p w14:paraId="4F97DDA7">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2BDCAB06">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6B363F62">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7C2151F3">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5F0F70C2">
                  <w:pPr>
                    <w:pStyle w:val="42"/>
                    <w:rPr>
                      <w:rFonts w:hint="eastAsia" w:ascii="Times New Roman" w:hAnsi="Times New Roman" w:eastAsia="宋体" w:cs="Times New Roman"/>
                      <w:color w:val="auto"/>
                      <w:u w:val="single"/>
                    </w:rPr>
                  </w:pPr>
                </w:p>
              </w:tc>
            </w:tr>
            <w:tr w14:paraId="4D990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74E443D3">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8</w:t>
                  </w:r>
                </w:p>
              </w:tc>
              <w:tc>
                <w:tcPr>
                  <w:tcW w:w="450" w:type="pct"/>
                  <w:vMerge w:val="continue"/>
                  <w:tcBorders>
                    <w:tl2br w:val="nil"/>
                    <w:tr2bl w:val="nil"/>
                  </w:tcBorders>
                  <w:noWrap w:val="0"/>
                  <w:vAlign w:val="center"/>
                </w:tcPr>
                <w:p w14:paraId="49B172AA">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70A3A91D">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废铅蓄电池</w:t>
                  </w:r>
                </w:p>
              </w:tc>
              <w:tc>
                <w:tcPr>
                  <w:tcW w:w="774" w:type="dxa"/>
                  <w:tcBorders>
                    <w:tl2br w:val="nil"/>
                    <w:tr2bl w:val="nil"/>
                  </w:tcBorders>
                  <w:noWrap w:val="0"/>
                  <w:vAlign w:val="center"/>
                </w:tcPr>
                <w:p w14:paraId="7AEBF435">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 xml:space="preserve"> HW31</w:t>
                  </w:r>
                </w:p>
              </w:tc>
              <w:tc>
                <w:tcPr>
                  <w:tcW w:w="1271" w:type="dxa"/>
                  <w:tcBorders>
                    <w:tl2br w:val="nil"/>
                    <w:tr2bl w:val="nil"/>
                  </w:tcBorders>
                  <w:noWrap w:val="0"/>
                  <w:vAlign w:val="center"/>
                </w:tcPr>
                <w:p w14:paraId="743FDE5A">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900-052-31</w:t>
                  </w:r>
                </w:p>
              </w:tc>
              <w:tc>
                <w:tcPr>
                  <w:tcW w:w="455" w:type="pct"/>
                  <w:vMerge w:val="continue"/>
                  <w:tcBorders>
                    <w:tl2br w:val="nil"/>
                    <w:tr2bl w:val="nil"/>
                  </w:tcBorders>
                  <w:noWrap w:val="0"/>
                  <w:vAlign w:val="center"/>
                </w:tcPr>
                <w:p w14:paraId="1DF5EB96">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63D93F4F">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03D2209A">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0492C132">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4973305E">
                  <w:pPr>
                    <w:pStyle w:val="42"/>
                    <w:rPr>
                      <w:rFonts w:hint="eastAsia" w:ascii="Times New Roman" w:hAnsi="Times New Roman" w:eastAsia="宋体" w:cs="Times New Roman"/>
                      <w:color w:val="auto"/>
                      <w:u w:val="single"/>
                    </w:rPr>
                  </w:pPr>
                </w:p>
              </w:tc>
            </w:tr>
            <w:tr w14:paraId="7FE5B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4BD13297">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9</w:t>
                  </w:r>
                </w:p>
              </w:tc>
              <w:tc>
                <w:tcPr>
                  <w:tcW w:w="450" w:type="pct"/>
                  <w:vMerge w:val="continue"/>
                  <w:tcBorders>
                    <w:tl2br w:val="nil"/>
                    <w:tr2bl w:val="nil"/>
                  </w:tcBorders>
                  <w:noWrap w:val="0"/>
                  <w:vAlign w:val="center"/>
                </w:tcPr>
                <w:p w14:paraId="172F37BC">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1190C79D">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废紫外灯管</w:t>
                  </w:r>
                </w:p>
              </w:tc>
              <w:tc>
                <w:tcPr>
                  <w:tcW w:w="774" w:type="dxa"/>
                  <w:tcBorders>
                    <w:tl2br w:val="nil"/>
                    <w:tr2bl w:val="nil"/>
                  </w:tcBorders>
                  <w:noWrap w:val="0"/>
                  <w:vAlign w:val="center"/>
                </w:tcPr>
                <w:p w14:paraId="46DC9B01">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HW29</w:t>
                  </w:r>
                </w:p>
              </w:tc>
              <w:tc>
                <w:tcPr>
                  <w:tcW w:w="1271" w:type="dxa"/>
                  <w:tcBorders>
                    <w:tl2br w:val="nil"/>
                    <w:tr2bl w:val="nil"/>
                  </w:tcBorders>
                  <w:noWrap w:val="0"/>
                  <w:vAlign w:val="center"/>
                </w:tcPr>
                <w:p w14:paraId="3F5166C8">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900-023-29</w:t>
                  </w:r>
                </w:p>
              </w:tc>
              <w:tc>
                <w:tcPr>
                  <w:tcW w:w="455" w:type="pct"/>
                  <w:vMerge w:val="continue"/>
                  <w:tcBorders>
                    <w:tl2br w:val="nil"/>
                    <w:tr2bl w:val="nil"/>
                  </w:tcBorders>
                  <w:noWrap w:val="0"/>
                  <w:vAlign w:val="center"/>
                </w:tcPr>
                <w:p w14:paraId="61BD07CA">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3D657DD3">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7F23B5D7">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584C496F">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017A2239">
                  <w:pPr>
                    <w:pStyle w:val="42"/>
                    <w:rPr>
                      <w:rFonts w:hint="eastAsia" w:ascii="Times New Roman" w:hAnsi="Times New Roman" w:eastAsia="宋体" w:cs="Times New Roman"/>
                      <w:color w:val="auto"/>
                      <w:u w:val="single"/>
                    </w:rPr>
                  </w:pPr>
                </w:p>
              </w:tc>
            </w:tr>
            <w:tr w14:paraId="51052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tl2br w:val="nil"/>
                    <w:tr2bl w:val="nil"/>
                  </w:tcBorders>
                  <w:noWrap w:val="0"/>
                  <w:vAlign w:val="center"/>
                </w:tcPr>
                <w:p w14:paraId="368C73EC">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10</w:t>
                  </w:r>
                </w:p>
              </w:tc>
              <w:tc>
                <w:tcPr>
                  <w:tcW w:w="450" w:type="pct"/>
                  <w:vMerge w:val="continue"/>
                  <w:tcBorders>
                    <w:tl2br w:val="nil"/>
                    <w:tr2bl w:val="nil"/>
                  </w:tcBorders>
                  <w:noWrap w:val="0"/>
                  <w:vAlign w:val="center"/>
                </w:tcPr>
                <w:p w14:paraId="356EB9F0">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1A1AB13E">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废石棉刹车片</w:t>
                  </w:r>
                </w:p>
              </w:tc>
              <w:tc>
                <w:tcPr>
                  <w:tcW w:w="774" w:type="dxa"/>
                  <w:tcBorders>
                    <w:tl2br w:val="nil"/>
                    <w:tr2bl w:val="nil"/>
                  </w:tcBorders>
                  <w:noWrap w:val="0"/>
                  <w:vAlign w:val="center"/>
                </w:tcPr>
                <w:p w14:paraId="1A0334EF">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HW36</w:t>
                  </w:r>
                </w:p>
              </w:tc>
              <w:tc>
                <w:tcPr>
                  <w:tcW w:w="1271" w:type="dxa"/>
                  <w:tcBorders>
                    <w:tl2br w:val="nil"/>
                    <w:tr2bl w:val="nil"/>
                  </w:tcBorders>
                  <w:noWrap w:val="0"/>
                  <w:vAlign w:val="center"/>
                </w:tcPr>
                <w:p w14:paraId="736BD31A">
                  <w:pPr>
                    <w:pStyle w:val="42"/>
                    <w:ind w:firstLine="0" w:firstLineChars="0"/>
                    <w:rPr>
                      <w:rFonts w:hint="eastAsia" w:ascii="Times New Roman" w:hAnsi="Times New Roman" w:eastAsia="宋体" w:cs="Times New Roman"/>
                      <w:color w:val="auto"/>
                      <w:u w:val="single"/>
                    </w:rPr>
                  </w:pPr>
                  <w:r>
                    <w:rPr>
                      <w:rFonts w:hint="default" w:ascii="Times New Roman" w:hAnsi="Times New Roman" w:eastAsia="宋体" w:cs="Times New Roman"/>
                      <w:color w:val="auto"/>
                      <w:u w:val="single"/>
                      <w:lang w:val="en-US" w:eastAsia="zh-CN"/>
                    </w:rPr>
                    <w:t>900-032-36</w:t>
                  </w:r>
                </w:p>
              </w:tc>
              <w:tc>
                <w:tcPr>
                  <w:tcW w:w="455" w:type="pct"/>
                  <w:vMerge w:val="continue"/>
                  <w:tcBorders>
                    <w:tl2br w:val="nil"/>
                    <w:tr2bl w:val="nil"/>
                  </w:tcBorders>
                  <w:noWrap w:val="0"/>
                  <w:vAlign w:val="center"/>
                </w:tcPr>
                <w:p w14:paraId="04D30213">
                  <w:pPr>
                    <w:pStyle w:val="42"/>
                    <w:rPr>
                      <w:rFonts w:hint="eastAsia" w:ascii="Times New Roman" w:hAnsi="Times New Roman" w:eastAsia="宋体" w:cs="Times New Roman"/>
                      <w:color w:val="auto"/>
                      <w:u w:val="single"/>
                    </w:rPr>
                  </w:pPr>
                </w:p>
              </w:tc>
              <w:tc>
                <w:tcPr>
                  <w:tcW w:w="497" w:type="pct"/>
                  <w:vMerge w:val="continue"/>
                  <w:tcBorders>
                    <w:tl2br w:val="nil"/>
                    <w:tr2bl w:val="nil"/>
                  </w:tcBorders>
                  <w:noWrap w:val="0"/>
                  <w:vAlign w:val="center"/>
                </w:tcPr>
                <w:p w14:paraId="4B2B4DD0">
                  <w:pPr>
                    <w:pStyle w:val="42"/>
                    <w:rPr>
                      <w:rFonts w:hint="eastAsia" w:ascii="Times New Roman" w:hAnsi="Times New Roman" w:eastAsia="宋体" w:cs="Times New Roman"/>
                      <w:color w:val="auto"/>
                      <w:u w:val="single"/>
                    </w:rPr>
                  </w:pPr>
                </w:p>
              </w:tc>
              <w:tc>
                <w:tcPr>
                  <w:tcW w:w="455" w:type="pct"/>
                  <w:vMerge w:val="continue"/>
                  <w:tcBorders>
                    <w:tl2br w:val="nil"/>
                    <w:tr2bl w:val="nil"/>
                  </w:tcBorders>
                  <w:noWrap w:val="0"/>
                  <w:vAlign w:val="center"/>
                </w:tcPr>
                <w:p w14:paraId="1998E04F">
                  <w:pPr>
                    <w:pStyle w:val="42"/>
                    <w:rPr>
                      <w:rFonts w:hint="eastAsia" w:ascii="Times New Roman" w:hAnsi="Times New Roman" w:eastAsia="宋体" w:cs="Times New Roman"/>
                      <w:color w:val="auto"/>
                      <w:u w:val="single"/>
                    </w:rPr>
                  </w:pPr>
                </w:p>
              </w:tc>
              <w:tc>
                <w:tcPr>
                  <w:tcW w:w="518" w:type="pct"/>
                  <w:vMerge w:val="continue"/>
                  <w:tcBorders>
                    <w:tl2br w:val="nil"/>
                    <w:tr2bl w:val="nil"/>
                  </w:tcBorders>
                  <w:noWrap w:val="0"/>
                  <w:vAlign w:val="center"/>
                </w:tcPr>
                <w:p w14:paraId="6B1C13C3">
                  <w:pPr>
                    <w:pStyle w:val="42"/>
                    <w:rPr>
                      <w:rFonts w:hint="eastAsia" w:ascii="Times New Roman" w:hAnsi="Times New Roman" w:eastAsia="宋体" w:cs="Times New Roman"/>
                      <w:color w:val="auto"/>
                      <w:u w:val="single"/>
                    </w:rPr>
                  </w:pPr>
                </w:p>
              </w:tc>
              <w:tc>
                <w:tcPr>
                  <w:tcW w:w="471" w:type="pct"/>
                  <w:vMerge w:val="continue"/>
                  <w:tcBorders>
                    <w:tl2br w:val="nil"/>
                    <w:tr2bl w:val="nil"/>
                  </w:tcBorders>
                  <w:noWrap w:val="0"/>
                  <w:vAlign w:val="center"/>
                </w:tcPr>
                <w:p w14:paraId="6D5123DD">
                  <w:pPr>
                    <w:pStyle w:val="42"/>
                    <w:rPr>
                      <w:rFonts w:hint="eastAsia" w:ascii="Times New Roman" w:hAnsi="Times New Roman" w:eastAsia="宋体" w:cs="Times New Roman"/>
                      <w:color w:val="auto"/>
                      <w:u w:val="single"/>
                    </w:rPr>
                  </w:pPr>
                </w:p>
              </w:tc>
            </w:tr>
            <w:tr w14:paraId="2DC0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333" w:type="pct"/>
                  <w:tcBorders>
                    <w:bottom w:val="single" w:color="auto" w:sz="4" w:space="0"/>
                    <w:tl2br w:val="nil"/>
                    <w:tr2bl w:val="nil"/>
                  </w:tcBorders>
                  <w:noWrap w:val="0"/>
                  <w:vAlign w:val="center"/>
                </w:tcPr>
                <w:p w14:paraId="24CE3B69">
                  <w:pPr>
                    <w:pStyle w:val="42"/>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11</w:t>
                  </w:r>
                </w:p>
              </w:tc>
              <w:tc>
                <w:tcPr>
                  <w:tcW w:w="450" w:type="pct"/>
                  <w:vMerge w:val="continue"/>
                  <w:tcBorders>
                    <w:bottom w:val="single" w:color="auto" w:sz="4" w:space="0"/>
                    <w:tl2br w:val="nil"/>
                    <w:tr2bl w:val="nil"/>
                  </w:tcBorders>
                  <w:noWrap w:val="0"/>
                  <w:vAlign w:val="center"/>
                </w:tcPr>
                <w:p w14:paraId="5931FBDB">
                  <w:pPr>
                    <w:pStyle w:val="42"/>
                    <w:rPr>
                      <w:rFonts w:hint="eastAsia" w:ascii="Times New Roman" w:hAnsi="Times New Roman" w:eastAsia="宋体" w:cs="Times New Roman"/>
                      <w:color w:val="auto"/>
                      <w:u w:val="single"/>
                    </w:rPr>
                  </w:pPr>
                </w:p>
              </w:tc>
              <w:tc>
                <w:tcPr>
                  <w:tcW w:w="958" w:type="dxa"/>
                  <w:tcBorders>
                    <w:tl2br w:val="nil"/>
                    <w:tr2bl w:val="nil"/>
                  </w:tcBorders>
                  <w:noWrap w:val="0"/>
                  <w:vAlign w:val="center"/>
                </w:tcPr>
                <w:p w14:paraId="6F5AFA89">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废催化剂</w:t>
                  </w:r>
                </w:p>
              </w:tc>
              <w:tc>
                <w:tcPr>
                  <w:tcW w:w="774" w:type="dxa"/>
                  <w:tcBorders>
                    <w:tl2br w:val="nil"/>
                    <w:tr2bl w:val="nil"/>
                  </w:tcBorders>
                  <w:noWrap w:val="0"/>
                  <w:vAlign w:val="center"/>
                </w:tcPr>
                <w:p w14:paraId="791799E0">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HW50</w:t>
                  </w:r>
                </w:p>
              </w:tc>
              <w:tc>
                <w:tcPr>
                  <w:tcW w:w="1271" w:type="dxa"/>
                  <w:tcBorders>
                    <w:bottom w:val="single" w:color="auto" w:sz="4" w:space="0"/>
                    <w:tl2br w:val="nil"/>
                    <w:tr2bl w:val="nil"/>
                  </w:tcBorders>
                  <w:noWrap w:val="0"/>
                  <w:vAlign w:val="center"/>
                </w:tcPr>
                <w:p w14:paraId="14FD202E">
                  <w:pPr>
                    <w:pStyle w:val="42"/>
                    <w:ind w:firstLine="0" w:firstLineChars="0"/>
                    <w:rPr>
                      <w:rFonts w:hint="eastAsia" w:ascii="Times New Roman" w:hAnsi="Times New Roman" w:eastAsia="宋体" w:cs="Times New Roman"/>
                      <w:color w:val="auto"/>
                      <w:u w:val="single"/>
                    </w:rPr>
                  </w:pPr>
                  <w:r>
                    <w:rPr>
                      <w:rFonts w:hint="eastAsia" w:ascii="Times New Roman" w:hAnsi="Times New Roman" w:eastAsia="宋体" w:cs="Times New Roman"/>
                      <w:color w:val="auto"/>
                      <w:u w:val="single"/>
                      <w:lang w:val="en-US" w:eastAsia="zh-CN"/>
                    </w:rPr>
                    <w:t>772-007-50</w:t>
                  </w:r>
                </w:p>
              </w:tc>
              <w:tc>
                <w:tcPr>
                  <w:tcW w:w="455" w:type="pct"/>
                  <w:vMerge w:val="continue"/>
                  <w:tcBorders>
                    <w:bottom w:val="single" w:color="auto" w:sz="4" w:space="0"/>
                    <w:tl2br w:val="nil"/>
                    <w:tr2bl w:val="nil"/>
                  </w:tcBorders>
                  <w:noWrap w:val="0"/>
                  <w:vAlign w:val="center"/>
                </w:tcPr>
                <w:p w14:paraId="78E89693">
                  <w:pPr>
                    <w:pStyle w:val="42"/>
                    <w:rPr>
                      <w:rFonts w:hint="eastAsia" w:ascii="Times New Roman" w:hAnsi="Times New Roman" w:eastAsia="宋体" w:cs="Times New Roman"/>
                      <w:color w:val="auto"/>
                      <w:u w:val="single"/>
                    </w:rPr>
                  </w:pPr>
                </w:p>
              </w:tc>
              <w:tc>
                <w:tcPr>
                  <w:tcW w:w="497" w:type="pct"/>
                  <w:vMerge w:val="continue"/>
                  <w:tcBorders>
                    <w:bottom w:val="single" w:color="auto" w:sz="4" w:space="0"/>
                    <w:tl2br w:val="nil"/>
                    <w:tr2bl w:val="nil"/>
                  </w:tcBorders>
                  <w:noWrap w:val="0"/>
                  <w:vAlign w:val="center"/>
                </w:tcPr>
                <w:p w14:paraId="76E1EC36">
                  <w:pPr>
                    <w:pStyle w:val="42"/>
                    <w:rPr>
                      <w:rFonts w:hint="eastAsia" w:ascii="Times New Roman" w:hAnsi="Times New Roman" w:eastAsia="宋体" w:cs="Times New Roman"/>
                      <w:color w:val="auto"/>
                      <w:u w:val="single"/>
                    </w:rPr>
                  </w:pPr>
                </w:p>
              </w:tc>
              <w:tc>
                <w:tcPr>
                  <w:tcW w:w="455" w:type="pct"/>
                  <w:vMerge w:val="continue"/>
                  <w:tcBorders>
                    <w:bottom w:val="single" w:color="auto" w:sz="4" w:space="0"/>
                    <w:tl2br w:val="nil"/>
                    <w:tr2bl w:val="nil"/>
                  </w:tcBorders>
                  <w:noWrap w:val="0"/>
                  <w:vAlign w:val="center"/>
                </w:tcPr>
                <w:p w14:paraId="0BBC7E2B">
                  <w:pPr>
                    <w:pStyle w:val="42"/>
                    <w:rPr>
                      <w:rFonts w:hint="eastAsia" w:ascii="Times New Roman" w:hAnsi="Times New Roman" w:eastAsia="宋体" w:cs="Times New Roman"/>
                      <w:color w:val="auto"/>
                      <w:u w:val="single"/>
                    </w:rPr>
                  </w:pPr>
                </w:p>
              </w:tc>
              <w:tc>
                <w:tcPr>
                  <w:tcW w:w="518" w:type="pct"/>
                  <w:vMerge w:val="continue"/>
                  <w:tcBorders>
                    <w:bottom w:val="single" w:color="auto" w:sz="4" w:space="0"/>
                    <w:tl2br w:val="nil"/>
                    <w:tr2bl w:val="nil"/>
                  </w:tcBorders>
                  <w:noWrap w:val="0"/>
                  <w:vAlign w:val="center"/>
                </w:tcPr>
                <w:p w14:paraId="7B99ACD4">
                  <w:pPr>
                    <w:pStyle w:val="42"/>
                    <w:rPr>
                      <w:rFonts w:hint="eastAsia" w:ascii="Times New Roman" w:hAnsi="Times New Roman" w:eastAsia="宋体" w:cs="Times New Roman"/>
                      <w:color w:val="auto"/>
                      <w:u w:val="single"/>
                    </w:rPr>
                  </w:pPr>
                </w:p>
              </w:tc>
              <w:tc>
                <w:tcPr>
                  <w:tcW w:w="471" w:type="pct"/>
                  <w:vMerge w:val="continue"/>
                  <w:tcBorders>
                    <w:bottom w:val="single" w:color="auto" w:sz="4" w:space="0"/>
                    <w:tl2br w:val="nil"/>
                    <w:tr2bl w:val="nil"/>
                  </w:tcBorders>
                  <w:noWrap w:val="0"/>
                  <w:vAlign w:val="center"/>
                </w:tcPr>
                <w:p w14:paraId="2CBDAD07">
                  <w:pPr>
                    <w:pStyle w:val="42"/>
                    <w:rPr>
                      <w:rFonts w:hint="eastAsia" w:ascii="Times New Roman" w:hAnsi="Times New Roman" w:eastAsia="宋体" w:cs="Times New Roman"/>
                      <w:color w:val="auto"/>
                      <w:u w:val="single"/>
                    </w:rPr>
                  </w:pPr>
                </w:p>
              </w:tc>
            </w:tr>
          </w:tbl>
          <w:p w14:paraId="1FA623A7">
            <w:pPr>
              <w:bidi w:val="0"/>
              <w:rPr>
                <w:u w:val="single"/>
              </w:rPr>
            </w:pPr>
            <w:r>
              <w:rPr>
                <w:rFonts w:hint="eastAsia"/>
                <w:u w:val="single"/>
              </w:rPr>
              <w:t>根据《危险废物管理计划和管理台账制定技术导则》(HJ1259—2022)、《危险废物规范化环境管理评估指标》，项目产生的危险废物总量小于10t，属于危险废物登记管理单位，应制定相应的管理计划，建立危险废物管理台账和申报危险废物有关资料。</w:t>
            </w:r>
          </w:p>
          <w:p w14:paraId="0BC3E074">
            <w:pPr>
              <w:bidi w:val="0"/>
              <w:rPr>
                <w:rFonts w:hint="eastAsia"/>
                <w:u w:val="single"/>
              </w:rPr>
            </w:pPr>
            <w:r>
              <w:rPr>
                <w:rFonts w:hint="eastAsia"/>
                <w:u w:val="single"/>
                <w:lang w:val="en-US" w:eastAsia="zh-CN"/>
              </w:rPr>
              <w:t>（8）</w:t>
            </w:r>
            <w:r>
              <w:rPr>
                <w:rFonts w:hint="eastAsia"/>
                <w:u w:val="single"/>
              </w:rPr>
              <w:t>危险废物贮存要求</w:t>
            </w:r>
          </w:p>
          <w:p w14:paraId="336888E5">
            <w:pPr>
              <w:bidi w:val="0"/>
              <w:rPr>
                <w:rFonts w:hint="eastAsia"/>
                <w:u w:val="single"/>
                <w:lang w:eastAsia="zh-CN"/>
              </w:rPr>
            </w:pPr>
            <w:r>
              <w:rPr>
                <w:rFonts w:hint="eastAsia"/>
                <w:u w:val="single"/>
              </w:rPr>
              <w:t>本项目在</w:t>
            </w:r>
            <w:r>
              <w:rPr>
                <w:rFonts w:hint="eastAsia"/>
                <w:u w:val="single"/>
                <w:lang w:eastAsia="zh-CN"/>
              </w:rPr>
              <w:t>4S店</w:t>
            </w:r>
            <w:r>
              <w:rPr>
                <w:rFonts w:hint="eastAsia"/>
                <w:u w:val="single"/>
              </w:rPr>
              <w:t>内设置</w:t>
            </w:r>
            <w:r>
              <w:rPr>
                <w:rFonts w:hint="eastAsia"/>
                <w:u w:val="single"/>
                <w:lang w:eastAsia="zh-CN"/>
              </w:rPr>
              <w:t>危废贮存库</w:t>
            </w:r>
            <w:r>
              <w:rPr>
                <w:rFonts w:hint="eastAsia"/>
                <w:u w:val="single"/>
              </w:rPr>
              <w:t>，位于</w:t>
            </w:r>
            <w:r>
              <w:rPr>
                <w:rFonts w:hint="eastAsia"/>
                <w:u w:val="single"/>
                <w:lang w:eastAsia="zh-CN"/>
              </w:rPr>
              <w:t>4S店西南</w:t>
            </w:r>
            <w:r>
              <w:rPr>
                <w:rFonts w:hint="eastAsia"/>
                <w:u w:val="single"/>
              </w:rPr>
              <w:t>侧，面积为</w:t>
            </w:r>
            <w:r>
              <w:rPr>
                <w:rFonts w:hint="eastAsia"/>
                <w:u w:val="single"/>
                <w:lang w:val="en-US" w:eastAsia="zh-CN"/>
              </w:rPr>
              <w:t>2</w:t>
            </w:r>
            <w:r>
              <w:rPr>
                <w:rFonts w:hint="eastAsia"/>
                <w:u w:val="single"/>
              </w:rPr>
              <w:t>0m</w:t>
            </w:r>
            <w:r>
              <w:rPr>
                <w:rFonts w:hint="eastAsia"/>
                <w:u w:val="single"/>
                <w:vertAlign w:val="superscript"/>
              </w:rPr>
              <w:t>2</w:t>
            </w:r>
            <w:r>
              <w:rPr>
                <w:rFonts w:hint="eastAsia"/>
                <w:u w:val="single"/>
              </w:rPr>
              <w:t>，</w:t>
            </w:r>
            <w:r>
              <w:rPr>
                <w:rFonts w:hint="eastAsia"/>
                <w:u w:val="single"/>
                <w:lang w:eastAsia="zh-CN"/>
              </w:rPr>
              <w:t>危险废物贮存库</w:t>
            </w:r>
            <w:r>
              <w:rPr>
                <w:u w:val="single"/>
              </w:rPr>
              <w:t>严格按照《危险废物贮存污染控制标准》（GB18597-2023）中的相关要求建设，</w:t>
            </w:r>
            <w:r>
              <w:rPr>
                <w:rFonts w:hint="eastAsia"/>
                <w:u w:val="single"/>
                <w:lang w:val="en-US" w:eastAsia="zh-CN"/>
              </w:rPr>
              <w:t>委托有资质单位进行处置，</w:t>
            </w:r>
            <w:r>
              <w:rPr>
                <w:u w:val="single"/>
              </w:rPr>
              <w:t>按危险废物转移管理办法相关要求转移处置。</w:t>
            </w:r>
            <w:r>
              <w:rPr>
                <w:rFonts w:hint="eastAsia"/>
                <w:u w:val="single"/>
                <w:lang w:eastAsia="zh-CN"/>
              </w:rPr>
              <w:t>本次扩建未新增危险废物种类，现有库存可容纳新增的量，依托现有危废贮存库可行。</w:t>
            </w:r>
          </w:p>
          <w:p w14:paraId="7BB1CAC8">
            <w:pPr>
              <w:bidi w:val="0"/>
              <w:rPr>
                <w:u w:val="single"/>
              </w:rPr>
            </w:pPr>
            <w:r>
              <w:rPr>
                <w:rFonts w:hint="eastAsia"/>
                <w:u w:val="single"/>
                <w:lang w:val="en-US" w:eastAsia="zh-CN"/>
              </w:rPr>
              <w:t>①</w:t>
            </w:r>
            <w:r>
              <w:rPr>
                <w:rFonts w:hint="eastAsia"/>
                <w:u w:val="single"/>
              </w:rPr>
              <w:t>容器和包装物污染控制要求</w:t>
            </w:r>
          </w:p>
          <w:p w14:paraId="10397FDC">
            <w:pPr>
              <w:bidi w:val="0"/>
              <w:rPr>
                <w:u w:val="single"/>
              </w:rPr>
            </w:pPr>
            <w:r>
              <w:rPr>
                <w:rFonts w:hint="eastAsia"/>
                <w:u w:val="single"/>
              </w:rPr>
              <w:t>容器和包装物材质、内衬应与盛装的危险废物相容；针对不同类别、形态、物理化学性质的危险废物，其容器和包装物应满足相应的防渗、防漏、防腐和强度等要求；硬质容器和包装物及其支护结构堆叠码放时不应有明显变形，无破损泄漏；柔性容器和包装物堆叠码放时应封口严密，无破损泄漏；使用容器盛装液态、半固态危险废物时，容器内部应留有适当的空间，以适应因温度变化等可能引发的收缩和膨胀，防止其导致容器渗漏或永久变形；容器和包装物外表面应保持清洁。</w:t>
            </w:r>
          </w:p>
          <w:p w14:paraId="757AE3CE">
            <w:pPr>
              <w:bidi w:val="0"/>
              <w:rPr>
                <w:u w:val="single"/>
              </w:rPr>
            </w:pPr>
            <w:r>
              <w:rPr>
                <w:rFonts w:hint="eastAsia"/>
                <w:u w:val="single"/>
                <w:lang w:val="en-US" w:eastAsia="zh-CN"/>
              </w:rPr>
              <w:t>②</w:t>
            </w:r>
            <w:r>
              <w:rPr>
                <w:u w:val="single"/>
              </w:rPr>
              <w:t>危险废物</w:t>
            </w:r>
            <w:r>
              <w:rPr>
                <w:rFonts w:hint="eastAsia"/>
                <w:u w:val="single"/>
              </w:rPr>
              <w:t>贮存设施运行环境管理要求</w:t>
            </w:r>
          </w:p>
          <w:p w14:paraId="26101843">
            <w:pPr>
              <w:bidi w:val="0"/>
              <w:rPr>
                <w:u w:val="single"/>
              </w:rPr>
            </w:pPr>
            <w:r>
              <w:rPr>
                <w:rFonts w:hint="eastAsia"/>
                <w:u w:val="single"/>
              </w:rPr>
              <w:t>危险废物存入贮存设施前应对危险废物类别和特性与危险废物标签等危险废物识别标志的一致性进行核验，不一致的或类别、特性不明的不应存入。应定期检查危险废物的贮存状况，及时清理贮存设施地面，更换破损泄漏的危险废物贮存容器和包装物，保证堆存危险废物的防雨、防风、防扬尘等设施功能完好。贮存设施运行期间，应按国家有关标准和规定建立危险废物管理台账并保存。贮存设施所有者或运营者应建立贮存设施环境管理制度、管理人员岗位职责制度、设施运行操作制度、人员岗位培训制度等。贮存设施所有者或运营者应依据国家土壤和地下水污染防治的有关规定，结合贮存设施特点建立土壤和地下水污染隐患排查制度，并定期开展隐患排查；发现隐患应及时采取措施消除隐患，并建立档案。贮存设施所有者或运营者应建立贮存设施全部档案，包括设计、施工、验收、运行、监测和环境应急等，应按国家有关档案管理的法律法规进行整理和归档。</w:t>
            </w:r>
          </w:p>
          <w:p w14:paraId="3BB8AC17">
            <w:pPr>
              <w:bidi w:val="0"/>
              <w:rPr>
                <w:u w:val="single"/>
              </w:rPr>
            </w:pPr>
            <w:r>
              <w:rPr>
                <w:rFonts w:hint="eastAsia"/>
                <w:u w:val="single"/>
                <w:lang w:val="en-US" w:eastAsia="zh-CN"/>
              </w:rPr>
              <w:t>③</w:t>
            </w:r>
            <w:r>
              <w:rPr>
                <w:u w:val="single"/>
              </w:rPr>
              <w:t>危险废物标识要求</w:t>
            </w:r>
          </w:p>
          <w:p w14:paraId="5353BAE2">
            <w:pPr>
              <w:bidi w:val="0"/>
              <w:rPr>
                <w:u w:val="single"/>
              </w:rPr>
            </w:pPr>
            <w:r>
              <w:rPr>
                <w:rFonts w:hint="eastAsia"/>
                <w:u w:val="single"/>
              </w:rPr>
              <w:t>根据</w:t>
            </w:r>
            <w:r>
              <w:rPr>
                <w:rFonts w:hint="eastAsia"/>
                <w:u w:val="single"/>
              </w:rPr>
              <w:fldChar w:fldCharType="begin"/>
            </w:r>
            <w:r>
              <w:rPr>
                <w:rFonts w:hint="eastAsia"/>
                <w:u w:val="single"/>
              </w:rPr>
              <w:instrText xml:space="preserve"> HYPERLINK "https://www.mee.gov.cn/ywgz/fgbz/bz/bzwb/gthw/wxfwjbffbz/202302/t20230224_1017486.shtml" </w:instrText>
            </w:r>
            <w:r>
              <w:rPr>
                <w:rFonts w:hint="eastAsia"/>
                <w:u w:val="single"/>
              </w:rPr>
              <w:fldChar w:fldCharType="separate"/>
            </w:r>
            <w:r>
              <w:rPr>
                <w:rFonts w:hint="eastAsia"/>
                <w:u w:val="single"/>
              </w:rPr>
              <w:t>《危险废物识别标志设置技术规范》（HJ1276-2022）</w:t>
            </w:r>
            <w:r>
              <w:rPr>
                <w:rFonts w:hint="eastAsia"/>
                <w:u w:val="single"/>
              </w:rPr>
              <w:fldChar w:fldCharType="end"/>
            </w:r>
            <w:r>
              <w:rPr>
                <w:rFonts w:hint="eastAsia"/>
                <w:u w:val="single"/>
              </w:rPr>
              <w:t>，</w:t>
            </w:r>
            <w:r>
              <w:rPr>
                <w:u w:val="single"/>
              </w:rPr>
              <w:t>危险废物包装标签要求字体为黑色，底色为醒目的桔黄色</w:t>
            </w:r>
            <w:r>
              <w:rPr>
                <w:rFonts w:hint="eastAsia"/>
                <w:u w:val="single"/>
              </w:rPr>
              <w:t>。</w:t>
            </w:r>
          </w:p>
          <w:p w14:paraId="2C2BB83A">
            <w:pPr>
              <w:bidi w:val="0"/>
              <w:rPr>
                <w:rFonts w:hint="eastAsia"/>
                <w:u w:val="single"/>
              </w:rPr>
            </w:pPr>
            <w:r>
              <w:rPr>
                <w:rFonts w:hint="eastAsia"/>
                <w:u w:val="single"/>
              </w:rPr>
              <w:t>（9）危险废物全过程污染防治措施</w:t>
            </w:r>
          </w:p>
          <w:p w14:paraId="5DD3D9EF">
            <w:pPr>
              <w:bidi w:val="0"/>
              <w:rPr>
                <w:rFonts w:hint="eastAsia"/>
                <w:u w:val="single"/>
              </w:rPr>
            </w:pPr>
            <w:r>
              <w:rPr>
                <w:rFonts w:hint="eastAsia"/>
                <w:u w:val="single"/>
              </w:rPr>
              <w:t>根据《建设项目危险废物环境影响评价指南》、《危险废物污染防治技术政策》和《危险废物转移管理办法》的相关要求，本项目危险废物采取以下污染防措施：</w:t>
            </w:r>
          </w:p>
          <w:p w14:paraId="2A356C0E">
            <w:pPr>
              <w:bidi w:val="0"/>
              <w:rPr>
                <w:rFonts w:hint="eastAsia"/>
                <w:u w:val="single"/>
              </w:rPr>
            </w:pPr>
            <w:r>
              <w:rPr>
                <w:rFonts w:hint="eastAsia"/>
                <w:u w:val="single"/>
              </w:rPr>
              <w:t>1）减量化措施</w:t>
            </w:r>
          </w:p>
          <w:p w14:paraId="1B9D6A2D">
            <w:pPr>
              <w:bidi w:val="0"/>
              <w:rPr>
                <w:rFonts w:hint="eastAsia"/>
                <w:u w:val="single"/>
              </w:rPr>
            </w:pPr>
            <w:r>
              <w:rPr>
                <w:rFonts w:hint="eastAsia"/>
                <w:u w:val="single"/>
              </w:rPr>
              <w:t>采用成熟先进的采油设备，运行过程中加强保养，降低设备故障率，减少设备维修频次，减少了危险废物产生量。</w:t>
            </w:r>
          </w:p>
          <w:p w14:paraId="2349700B">
            <w:pPr>
              <w:bidi w:val="0"/>
              <w:rPr>
                <w:rFonts w:hint="eastAsia"/>
                <w:u w:val="single"/>
              </w:rPr>
            </w:pPr>
            <w:r>
              <w:rPr>
                <w:rFonts w:hint="eastAsia"/>
                <w:u w:val="single"/>
              </w:rPr>
              <w:t>2）危险废物的收集和运输措施</w:t>
            </w:r>
          </w:p>
          <w:p w14:paraId="4AF88D1A">
            <w:pPr>
              <w:bidi w:val="0"/>
              <w:rPr>
                <w:rFonts w:hint="eastAsia"/>
                <w:u w:val="single"/>
              </w:rPr>
            </w:pPr>
            <w:r>
              <w:rPr>
                <w:rFonts w:hint="eastAsia"/>
                <w:u w:val="single"/>
              </w:rPr>
              <w:t>①危险废物采用专用的收集桶收集，收集桶加盖密封，各类危险废物分类收集，收集桶外部张贴危险废物标签，在标签上详细标明危险废物的名称、重量、成分、特性以及发生泄漏、扩散污染事故时的应急措施和补救方法。</w:t>
            </w:r>
          </w:p>
          <w:p w14:paraId="760BF880">
            <w:pPr>
              <w:bidi w:val="0"/>
              <w:rPr>
                <w:rFonts w:hint="eastAsia"/>
                <w:u w:val="single"/>
              </w:rPr>
            </w:pPr>
            <w:r>
              <w:rPr>
                <w:rFonts w:hint="eastAsia"/>
                <w:u w:val="single"/>
              </w:rPr>
              <w:t>②建设单位进行危险废物收集、运输时应按照有关规定建立相应的规章制度和污染防治措施，包括危险废物分析管理制度、安全管理制度、污染防治措施等。并建立健全规章制度及操作流程，确保该过程安全可靠。</w:t>
            </w:r>
          </w:p>
          <w:p w14:paraId="09243999">
            <w:pPr>
              <w:bidi w:val="0"/>
              <w:rPr>
                <w:rFonts w:hint="eastAsia"/>
                <w:u w:val="single"/>
              </w:rPr>
            </w:pPr>
            <w:r>
              <w:rPr>
                <w:rFonts w:hint="eastAsia"/>
                <w:u w:val="single"/>
              </w:rPr>
              <w:t>③危险废物转移过程中应按《危险废物转移管理办法》执行，应编制应急预案。</w:t>
            </w:r>
          </w:p>
          <w:p w14:paraId="4F51F3B6">
            <w:pPr>
              <w:bidi w:val="0"/>
              <w:rPr>
                <w:rFonts w:hint="eastAsia"/>
                <w:u w:val="single"/>
              </w:rPr>
            </w:pPr>
            <w:r>
              <w:rPr>
                <w:rFonts w:hint="eastAsia"/>
                <w:u w:val="single"/>
              </w:rPr>
              <w:t>④危险废物运输的车辆必须是专用车或经有关部门批准使用符合安全规定的运载工具，并符合相关要求；运输车辆进行定期的维护和检查，防患于未然，保持良好的工作状态。</w:t>
            </w:r>
          </w:p>
          <w:p w14:paraId="4B527C27">
            <w:pPr>
              <w:bidi w:val="0"/>
              <w:rPr>
                <w:rFonts w:hint="eastAsia"/>
                <w:u w:val="single"/>
              </w:rPr>
            </w:pPr>
            <w:r>
              <w:rPr>
                <w:rFonts w:hint="eastAsia"/>
                <w:u w:val="single"/>
              </w:rPr>
              <w:t>3）处置过程措施</w:t>
            </w:r>
          </w:p>
          <w:p w14:paraId="04A77A0D">
            <w:pPr>
              <w:bidi w:val="0"/>
              <w:rPr>
                <w:rFonts w:hint="eastAsia"/>
                <w:u w:val="single"/>
              </w:rPr>
            </w:pPr>
            <w:r>
              <w:rPr>
                <w:rFonts w:hint="eastAsia"/>
                <w:u w:val="single"/>
              </w:rPr>
              <w:t>本项目危险废物收集后暂存在</w:t>
            </w:r>
            <w:r>
              <w:rPr>
                <w:rFonts w:hint="eastAsia"/>
                <w:u w:val="single"/>
                <w:lang w:eastAsia="zh-CN"/>
              </w:rPr>
              <w:t>危废贮存库</w:t>
            </w:r>
            <w:r>
              <w:rPr>
                <w:rFonts w:hint="eastAsia"/>
                <w:u w:val="single"/>
              </w:rPr>
              <w:t>内，定期由有资质单位上门</w:t>
            </w:r>
            <w:r>
              <w:rPr>
                <w:rFonts w:hint="eastAsia"/>
                <w:u w:val="single"/>
                <w:lang w:val="en-US" w:eastAsia="zh-CN"/>
              </w:rPr>
              <w:t>收集转运</w:t>
            </w:r>
            <w:r>
              <w:rPr>
                <w:rFonts w:hint="eastAsia"/>
                <w:u w:val="single"/>
              </w:rPr>
              <w:t>。</w:t>
            </w:r>
          </w:p>
          <w:p w14:paraId="032E1644">
            <w:pPr>
              <w:bidi w:val="0"/>
              <w:rPr>
                <w:rFonts w:hint="eastAsia"/>
                <w:u w:val="single"/>
              </w:rPr>
            </w:pPr>
            <w:r>
              <w:rPr>
                <w:rFonts w:hint="eastAsia"/>
                <w:u w:val="single"/>
              </w:rPr>
              <w:t>综上所述，本项目产生的固体废生均可得到妥善处理，不外排，项目固体废弃物对环境造成的影响在环境可接受范围之内。</w:t>
            </w:r>
          </w:p>
          <w:p w14:paraId="10556BAE">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w:t>
            </w:r>
            <w:r>
              <w:rPr>
                <w:b/>
                <w:bCs/>
                <w:color w:val="000000" w:themeColor="text1"/>
                <w14:textFill>
                  <w14:solidFill>
                    <w14:schemeClr w14:val="tx1"/>
                  </w14:solidFill>
                </w14:textFill>
              </w:rPr>
              <w:t>地下水环境影响及保护措施</w:t>
            </w:r>
          </w:p>
          <w:p w14:paraId="3C152491">
            <w:pPr>
              <w:bidi w:val="0"/>
              <w:rPr>
                <w:rFonts w:hint="eastAsia"/>
              </w:rPr>
            </w:pPr>
            <w:r>
              <w:rPr>
                <w:rFonts w:hint="eastAsia"/>
              </w:rPr>
              <w:t>（1）污染源及污染途径</w:t>
            </w:r>
          </w:p>
          <w:p w14:paraId="26312853">
            <w:pPr>
              <w:bidi w:val="0"/>
              <w:rPr>
                <w:rFonts w:hint="eastAsia"/>
              </w:rPr>
            </w:pPr>
            <w:r>
              <w:rPr>
                <w:rFonts w:hint="eastAsia"/>
                <w:lang w:eastAsia="zh-CN"/>
              </w:rPr>
              <w:t>油漆、稀释剂储存区、</w:t>
            </w:r>
            <w:r>
              <w:rPr>
                <w:rFonts w:hint="eastAsia"/>
              </w:rPr>
              <w:t>危废间废物发生泄漏，</w:t>
            </w:r>
            <w:r>
              <w:rPr>
                <w:rFonts w:hint="eastAsia"/>
                <w:lang w:eastAsia="zh-CN"/>
              </w:rPr>
              <w:t>油漆、稀释剂、</w:t>
            </w:r>
            <w:r>
              <w:rPr>
                <w:rFonts w:hint="eastAsia"/>
              </w:rPr>
              <w:t>废</w:t>
            </w:r>
            <w:r>
              <w:rPr>
                <w:rFonts w:hint="eastAsia"/>
                <w:lang w:val="en-US" w:eastAsia="zh-CN"/>
              </w:rPr>
              <w:t>机油</w:t>
            </w:r>
            <w:r>
              <w:rPr>
                <w:rFonts w:hint="eastAsia"/>
              </w:rPr>
              <w:t>通过防渗层的裂缝，污染土壤和地下水。</w:t>
            </w:r>
          </w:p>
          <w:p w14:paraId="6E1AF5AA">
            <w:pPr>
              <w:bidi w:val="0"/>
              <w:rPr>
                <w:rFonts w:hint="eastAsia"/>
              </w:rPr>
            </w:pPr>
            <w:r>
              <w:rPr>
                <w:rFonts w:hint="eastAsia"/>
              </w:rPr>
              <w:t>（2）影响分析</w:t>
            </w:r>
          </w:p>
          <w:p w14:paraId="7BC9A6D3">
            <w:pPr>
              <w:bidi w:val="0"/>
            </w:pPr>
            <w:r>
              <w:rPr>
                <w:rFonts w:hint="eastAsia"/>
                <w:lang w:val="en-US" w:eastAsia="zh-CN"/>
              </w:rPr>
              <w:t>项目</w:t>
            </w:r>
            <w:r>
              <w:rPr>
                <w:rFonts w:hint="eastAsia"/>
                <w:lang w:eastAsia="zh-CN"/>
              </w:rPr>
              <w:t>油漆、稀释剂、</w:t>
            </w:r>
            <w:r>
              <w:rPr>
                <w:rFonts w:hint="eastAsia"/>
              </w:rPr>
              <w:t>危险废物均采用密闭桶装，</w:t>
            </w:r>
            <w:r>
              <w:rPr>
                <w:rFonts w:hint="eastAsia"/>
                <w:lang w:eastAsia="zh-CN"/>
              </w:rPr>
              <w:t>泄漏</w:t>
            </w:r>
            <w:r>
              <w:rPr>
                <w:rFonts w:hint="eastAsia"/>
              </w:rPr>
              <w:t>可能性极小，且</w:t>
            </w:r>
            <w:r>
              <w:rPr>
                <w:rFonts w:hint="eastAsia"/>
                <w:lang w:eastAsia="zh-CN"/>
              </w:rPr>
              <w:t>危险废物贮存库</w:t>
            </w:r>
            <w:r>
              <w:rPr>
                <w:rFonts w:hint="eastAsia"/>
              </w:rPr>
              <w:t>进行重点防渗，地面没有裂缝，泄漏</w:t>
            </w:r>
            <w:r>
              <w:t>对评价区域内土壤、地下水造成的影响较小。</w:t>
            </w:r>
          </w:p>
          <w:p w14:paraId="39533DF8">
            <w:pPr>
              <w:bidi w:val="0"/>
            </w:pPr>
            <w:r>
              <w:rPr>
                <w:rFonts w:hint="eastAsia"/>
              </w:rPr>
              <w:t>（3）</w:t>
            </w:r>
            <w:r>
              <w:t>污染防治措施</w:t>
            </w:r>
          </w:p>
          <w:p w14:paraId="433BA7AF">
            <w:pPr>
              <w:bidi w:val="0"/>
            </w:pPr>
            <w:r>
              <w:t>本项目严格按照“源头控制、分区防控、污染监控、应急响应”的原则进行了土壤、地下水环境保护措施及管理措施，具体如下：</w:t>
            </w:r>
          </w:p>
          <w:p w14:paraId="17F9C5BB">
            <w:pPr>
              <w:bidi w:val="0"/>
              <w:rPr>
                <w:rFonts w:hint="eastAsia"/>
              </w:rPr>
            </w:pPr>
            <w:r>
              <w:rPr>
                <w:rFonts w:hint="eastAsia"/>
                <w:lang w:eastAsia="zh-CN"/>
              </w:rPr>
              <w:t>4S店已</w:t>
            </w:r>
            <w:r>
              <w:rPr>
                <w:rFonts w:hint="eastAsia"/>
              </w:rPr>
              <w:t>采取分区防渗措施。重点防渗区：危废间；</w:t>
            </w:r>
            <w:r>
              <w:rPr>
                <w:rFonts w:hint="eastAsia"/>
                <w:lang w:val="en-US" w:eastAsia="zh-CN"/>
              </w:rPr>
              <w:t>维修车间</w:t>
            </w:r>
            <w:r>
              <w:rPr>
                <w:rFonts w:hint="eastAsia"/>
              </w:rPr>
              <w:t>、</w:t>
            </w:r>
            <w:r>
              <w:rPr>
                <w:rFonts w:hint="eastAsia"/>
                <w:lang w:val="en-US" w:eastAsia="zh-CN"/>
              </w:rPr>
              <w:t>原辅料库房</w:t>
            </w:r>
            <w:r>
              <w:rPr>
                <w:rFonts w:hint="eastAsia"/>
              </w:rPr>
              <w:t>作为</w:t>
            </w:r>
            <w:r>
              <w:t>一般防渗区</w:t>
            </w:r>
            <w:r>
              <w:rPr>
                <w:rFonts w:hint="eastAsia"/>
              </w:rPr>
              <w:t>；简单防渗区：厂内其他区域。</w:t>
            </w:r>
          </w:p>
          <w:p w14:paraId="65C140D1">
            <w:pPr>
              <w:bidi w:val="0"/>
            </w:pPr>
            <w:r>
              <w:rPr>
                <w:rFonts w:hint="eastAsia"/>
              </w:rPr>
              <w:t>①重点防渗区：</w:t>
            </w:r>
            <w:r>
              <w:rPr>
                <w:rFonts w:hint="eastAsia"/>
                <w:lang w:eastAsia="zh-CN"/>
              </w:rPr>
              <w:t>危废贮存库已按照</w:t>
            </w:r>
            <w:r>
              <w:rPr>
                <w:rFonts w:hint="eastAsia"/>
              </w:rPr>
              <w:t>《危险废物贮存污染控制标准》（GB18597-2023）中相关标准要求采取重点防渗，防渗层渗透系数</w:t>
            </w:r>
            <w:r>
              <w:t>≤10</w:t>
            </w:r>
            <w:r>
              <w:rPr>
                <w:vertAlign w:val="superscript"/>
              </w:rPr>
              <w:t>-</w:t>
            </w:r>
            <w:r>
              <w:rPr>
                <w:rFonts w:hint="eastAsia"/>
                <w:vertAlign w:val="superscript"/>
              </w:rPr>
              <w:t>10</w:t>
            </w:r>
            <w:r>
              <w:t>cm/s</w:t>
            </w:r>
            <w:r>
              <w:rPr>
                <w:rFonts w:hint="eastAsia"/>
              </w:rPr>
              <w:t>；</w:t>
            </w:r>
          </w:p>
          <w:p w14:paraId="4D8559AF">
            <w:pPr>
              <w:bidi w:val="0"/>
              <w:rPr>
                <w:rFonts w:hint="eastAsia"/>
              </w:rPr>
            </w:pPr>
            <w:r>
              <w:rPr>
                <w:rFonts w:hint="eastAsia"/>
              </w:rPr>
              <w:t>②一般防渗区</w:t>
            </w:r>
            <w:r>
              <w:t>：车间地面采用</w:t>
            </w:r>
            <w:r>
              <w:rPr>
                <w:rFonts w:hint="eastAsia"/>
              </w:rPr>
              <w:t>C30混凝土</w:t>
            </w:r>
            <w:r>
              <w:t>硬化，厚度</w:t>
            </w:r>
            <w:r>
              <w:rPr>
                <w:rFonts w:hint="eastAsia"/>
              </w:rPr>
              <w:t>30</w:t>
            </w:r>
            <w:r>
              <w:t>cm，防水等级</w:t>
            </w:r>
            <w:r>
              <w:rPr>
                <w:rFonts w:hint="eastAsia"/>
              </w:rPr>
              <w:t>P6，满足渗透系数</w:t>
            </w:r>
            <w:r>
              <w:t>≤10</w:t>
            </w:r>
            <w:r>
              <w:rPr>
                <w:vertAlign w:val="superscript"/>
              </w:rPr>
              <w:t>-7</w:t>
            </w:r>
            <w:r>
              <w:t>cm/s</w:t>
            </w:r>
            <w:r>
              <w:rPr>
                <w:rFonts w:hint="eastAsia"/>
              </w:rPr>
              <w:t>。</w:t>
            </w:r>
          </w:p>
          <w:p w14:paraId="6A444C95">
            <w:pPr>
              <w:bidi w:val="0"/>
              <w:rPr>
                <w:rFonts w:hint="eastAsia"/>
              </w:rPr>
            </w:pPr>
            <w:r>
              <w:rPr>
                <w:rFonts w:hint="eastAsia"/>
              </w:rPr>
              <w:t>③简单防渗区：</w:t>
            </w:r>
            <w:r>
              <w:rPr>
                <w:rFonts w:hint="eastAsia"/>
                <w:lang w:eastAsia="zh-CN"/>
              </w:rPr>
              <w:t>4S店</w:t>
            </w:r>
            <w:r>
              <w:rPr>
                <w:rFonts w:hint="eastAsia"/>
              </w:rPr>
              <w:t>地面除绿化用地外全部硬化。</w:t>
            </w:r>
          </w:p>
          <w:p w14:paraId="4857665B">
            <w:pPr>
              <w:bidi w:val="0"/>
            </w:pPr>
            <w:r>
              <w:rPr>
                <w:rFonts w:hint="eastAsia"/>
              </w:rPr>
              <w:t>综上所述，采取上述措施后，不会对</w:t>
            </w:r>
            <w:r>
              <w:rPr>
                <w:rFonts w:hint="eastAsia"/>
                <w:lang w:eastAsia="zh-CN"/>
              </w:rPr>
              <w:t>4S店</w:t>
            </w:r>
            <w:r>
              <w:rPr>
                <w:rFonts w:hint="eastAsia"/>
              </w:rPr>
              <w:t>地下水、土壤环境造成影响。</w:t>
            </w:r>
          </w:p>
          <w:p w14:paraId="6EBA9DB0">
            <w:pPr>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自行监测要求</w:t>
            </w:r>
          </w:p>
          <w:p w14:paraId="521C3AF8">
            <w:pPr>
              <w:ind w:firstLine="480"/>
              <w:rPr>
                <w:color w:val="000000" w:themeColor="text1"/>
                <w14:textFill>
                  <w14:solidFill>
                    <w14:schemeClr w14:val="tx1"/>
                  </w14:solidFill>
                </w14:textFill>
              </w:rPr>
            </w:pPr>
            <w:r>
              <w:rPr>
                <w:rFonts w:hint="eastAsia"/>
                <w:lang w:val="en-US" w:eastAsia="zh-CN"/>
              </w:rPr>
              <w:t>根据《排污单</w:t>
            </w:r>
            <w:r>
              <w:rPr>
                <w:rFonts w:hint="eastAsia"/>
              </w:rPr>
              <w:t>位自行监测技术指南-总则》（HJ819-2017）要求</w:t>
            </w:r>
            <w:r>
              <w:rPr>
                <w:color w:val="000000" w:themeColor="text1"/>
                <w14:textFill>
                  <w14:solidFill>
                    <w14:schemeClr w14:val="tx1"/>
                  </w14:solidFill>
                </w14:textFill>
              </w:rPr>
              <w:t>，本次对处理后的废水提出如下自行监测要求：</w:t>
            </w:r>
          </w:p>
          <w:p w14:paraId="442C3CD7">
            <w:pPr>
              <w:spacing w:line="240" w:lineRule="auto"/>
              <w:ind w:firstLine="422"/>
              <w:jc w:val="center"/>
              <w:rPr>
                <w:rFonts w:hint="eastAsia"/>
                <w:b/>
                <w:color w:val="000000" w:themeColor="text1"/>
                <w:kern w:val="21"/>
                <w:sz w:val="21"/>
                <w:szCs w:val="21"/>
                <w14:textFill>
                  <w14:solidFill>
                    <w14:schemeClr w14:val="tx1"/>
                  </w14:solidFill>
                </w14:textFill>
              </w:rPr>
            </w:pPr>
            <w:r>
              <w:rPr>
                <w:rFonts w:hint="eastAsia"/>
                <w:b/>
                <w:color w:val="000000" w:themeColor="text1"/>
                <w:kern w:val="21"/>
                <w:sz w:val="21"/>
                <w:szCs w:val="21"/>
                <w14:textFill>
                  <w14:solidFill>
                    <w14:schemeClr w14:val="tx1"/>
                  </w14:solidFill>
                </w14:textFill>
              </w:rPr>
              <w:t>表4-</w:t>
            </w:r>
            <w:r>
              <w:rPr>
                <w:rFonts w:hint="eastAsia"/>
                <w:b/>
                <w:color w:val="000000" w:themeColor="text1"/>
                <w:kern w:val="21"/>
                <w:sz w:val="21"/>
                <w:szCs w:val="21"/>
                <w:lang w:val="en-US" w:eastAsia="zh-CN"/>
                <w14:textFill>
                  <w14:solidFill>
                    <w14:schemeClr w14:val="tx1"/>
                  </w14:solidFill>
                </w14:textFill>
              </w:rPr>
              <w:t>9</w:t>
            </w:r>
            <w:r>
              <w:rPr>
                <w:rFonts w:hint="eastAsia"/>
                <w:b/>
                <w:color w:val="000000" w:themeColor="text1"/>
                <w:kern w:val="21"/>
                <w:sz w:val="21"/>
                <w:szCs w:val="21"/>
                <w14:textFill>
                  <w14:solidFill>
                    <w14:schemeClr w14:val="tx1"/>
                  </w14:solidFill>
                </w14:textFill>
              </w:rPr>
              <w:t xml:space="preserve">   废水监测要求一览表</w:t>
            </w:r>
          </w:p>
          <w:tbl>
            <w:tblPr>
              <w:tblStyle w:val="2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410"/>
              <w:gridCol w:w="2107"/>
              <w:gridCol w:w="938"/>
              <w:gridCol w:w="2701"/>
            </w:tblGrid>
            <w:tr w14:paraId="351F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noWrap w:val="0"/>
                  <w:vAlign w:val="center"/>
                </w:tcPr>
                <w:p w14:paraId="5D5C57C8">
                  <w:pPr>
                    <w:pStyle w:val="2"/>
                    <w:rPr>
                      <w:rFonts w:hint="eastAsia"/>
                      <w:b/>
                      <w:color w:val="000000" w:themeColor="text1"/>
                      <w:kern w:val="2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监测类别</w:t>
                  </w:r>
                </w:p>
              </w:tc>
              <w:tc>
                <w:tcPr>
                  <w:tcW w:w="1410" w:type="dxa"/>
                  <w:noWrap w:val="0"/>
                  <w:vAlign w:val="center"/>
                </w:tcPr>
                <w:p w14:paraId="710ACC9D">
                  <w:pPr>
                    <w:pStyle w:val="2"/>
                    <w:rPr>
                      <w:rFonts w:hint="eastAsia"/>
                      <w:b/>
                      <w:color w:val="000000" w:themeColor="text1"/>
                      <w:kern w:val="2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监测点位</w:t>
                  </w:r>
                </w:p>
              </w:tc>
              <w:tc>
                <w:tcPr>
                  <w:tcW w:w="2107" w:type="dxa"/>
                  <w:noWrap w:val="0"/>
                  <w:vAlign w:val="center"/>
                </w:tcPr>
                <w:p w14:paraId="5C5ADF87">
                  <w:pPr>
                    <w:pStyle w:val="2"/>
                    <w:rPr>
                      <w:rFonts w:hint="eastAsia"/>
                      <w:b/>
                      <w:color w:val="000000" w:themeColor="text1"/>
                      <w:kern w:val="2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监测项目</w:t>
                  </w:r>
                </w:p>
              </w:tc>
              <w:tc>
                <w:tcPr>
                  <w:tcW w:w="938" w:type="dxa"/>
                  <w:noWrap w:val="0"/>
                  <w:vAlign w:val="center"/>
                </w:tcPr>
                <w:p w14:paraId="4EC34590">
                  <w:pPr>
                    <w:pStyle w:val="2"/>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监测频次</w:t>
                  </w:r>
                </w:p>
              </w:tc>
              <w:tc>
                <w:tcPr>
                  <w:tcW w:w="2701" w:type="dxa"/>
                  <w:noWrap w:val="0"/>
                  <w:vAlign w:val="center"/>
                </w:tcPr>
                <w:p w14:paraId="6E585BA7">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执行标准</w:t>
                  </w:r>
                </w:p>
              </w:tc>
            </w:tr>
            <w:tr w14:paraId="1F0F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23" w:type="dxa"/>
                  <w:noWrap w:val="0"/>
                  <w:vAlign w:val="center"/>
                </w:tcPr>
                <w:p w14:paraId="3F55B661">
                  <w:pPr>
                    <w:pStyle w:val="2"/>
                    <w:rPr>
                      <w:rFonts w:hint="eastAsia"/>
                      <w:b/>
                      <w:color w:val="000000" w:themeColor="text1"/>
                      <w:kern w:val="2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1410" w:type="dxa"/>
                  <w:noWrap w:val="0"/>
                  <w:vAlign w:val="center"/>
                </w:tcPr>
                <w:p w14:paraId="1C4D8945">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废水总排口</w:t>
                  </w:r>
                </w:p>
              </w:tc>
              <w:tc>
                <w:tcPr>
                  <w:tcW w:w="2107" w:type="dxa"/>
                  <w:noWrap w:val="0"/>
                  <w:vAlign w:val="center"/>
                </w:tcPr>
                <w:p w14:paraId="4905C213">
                  <w:pPr>
                    <w:pStyle w:val="2"/>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PH、悬浮物、化学需氧量、BOD</w:t>
                  </w:r>
                  <w:r>
                    <w:rPr>
                      <w:rFonts w:hint="eastAsia" w:ascii="Times New Roman" w:hAnsi="Times New Roman" w:eastAsia="宋体" w:cs="Times New Roman"/>
                      <w:color w:val="000000" w:themeColor="text1"/>
                      <w:sz w:val="21"/>
                      <w:szCs w:val="21"/>
                      <w:vertAlign w:val="subscript"/>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、石油类、阴离子表面活性剂、氨氮、总磷、总氮</w:t>
                  </w:r>
                </w:p>
              </w:tc>
              <w:tc>
                <w:tcPr>
                  <w:tcW w:w="938" w:type="dxa"/>
                  <w:noWrap w:val="0"/>
                  <w:vAlign w:val="center"/>
                </w:tcPr>
                <w:p w14:paraId="69F21069">
                  <w:pPr>
                    <w:pStyle w:val="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1次/年</w:t>
                  </w:r>
                </w:p>
              </w:tc>
              <w:tc>
                <w:tcPr>
                  <w:tcW w:w="2701" w:type="dxa"/>
                  <w:noWrap w:val="0"/>
                  <w:vAlign w:val="center"/>
                </w:tcPr>
                <w:p w14:paraId="0F438CDB">
                  <w:pPr>
                    <w:pStyle w:val="2"/>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《汽车维修业水污染物排放标准》（GB26877-2011）表2中间接排放浓度限值</w:t>
                  </w:r>
                </w:p>
              </w:tc>
            </w:tr>
          </w:tbl>
          <w:p w14:paraId="44752C6B">
            <w:pPr>
              <w:ind w:firstLine="482"/>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（六）运营期</w:t>
            </w:r>
            <w:r>
              <w:rPr>
                <w:b/>
                <w:bCs/>
                <w:color w:val="000000" w:themeColor="text1"/>
                <w14:textFill>
                  <w14:solidFill>
                    <w14:schemeClr w14:val="tx1"/>
                  </w14:solidFill>
                </w14:textFill>
              </w:rPr>
              <w:t>土壤</w:t>
            </w:r>
            <w:r>
              <w:rPr>
                <w:rFonts w:hint="eastAsia"/>
                <w:b/>
                <w:bCs/>
                <w:color w:val="000000" w:themeColor="text1"/>
                <w14:textFill>
                  <w14:solidFill>
                    <w14:schemeClr w14:val="tx1"/>
                  </w14:solidFill>
                </w14:textFill>
              </w:rPr>
              <w:t>环境影响和保护措施</w:t>
            </w:r>
          </w:p>
          <w:p w14:paraId="457DB57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1、土壤环境影响源及影响因子识别</w:t>
            </w:r>
          </w:p>
          <w:p w14:paraId="49A3669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本项目土壤影响源主要为生产车间、污水处理设施等。</w:t>
            </w:r>
          </w:p>
          <w:p w14:paraId="356D49F4">
            <w:pPr>
              <w:pStyle w:val="12"/>
              <w:spacing w:line="400" w:lineRule="exact"/>
              <w:ind w:firstLine="422"/>
              <w:rPr>
                <w:rFonts w:hint="eastAsia" w:hAnsi="Times New Roman"/>
                <w:b/>
                <w:color w:val="000000" w:themeColor="text1"/>
                <w:sz w:val="21"/>
                <w:szCs w:val="21"/>
                <w14:textFill>
                  <w14:solidFill>
                    <w14:schemeClr w14:val="tx1"/>
                  </w14:solidFill>
                </w14:textFill>
              </w:rPr>
            </w:pPr>
            <w:r>
              <w:rPr>
                <w:rFonts w:hint="eastAsia" w:hAnsi="Times New Roman"/>
                <w:b/>
                <w:color w:val="000000" w:themeColor="text1"/>
                <w:sz w:val="21"/>
                <w:szCs w:val="21"/>
                <w14:textFill>
                  <w14:solidFill>
                    <w14:schemeClr w14:val="tx1"/>
                  </w14:solidFill>
                </w14:textFill>
              </w:rPr>
              <w:t>表4-</w:t>
            </w:r>
            <w:r>
              <w:rPr>
                <w:rFonts w:hint="eastAsia" w:hAnsi="Times New Roman"/>
                <w:b/>
                <w:color w:val="000000" w:themeColor="text1"/>
                <w:sz w:val="21"/>
                <w:szCs w:val="21"/>
                <w:lang w:val="en-US"/>
                <w14:textFill>
                  <w14:solidFill>
                    <w14:schemeClr w14:val="tx1"/>
                  </w14:solidFill>
                </w14:textFill>
              </w:rPr>
              <w:t>1</w:t>
            </w:r>
            <w:r>
              <w:rPr>
                <w:rFonts w:hint="eastAsia" w:hAnsi="Times New Roman"/>
                <w:b/>
                <w:color w:val="000000" w:themeColor="text1"/>
                <w:sz w:val="21"/>
                <w:szCs w:val="21"/>
                <w:lang w:val="en-US" w:eastAsia="zh-CN"/>
                <w14:textFill>
                  <w14:solidFill>
                    <w14:schemeClr w14:val="tx1"/>
                  </w14:solidFill>
                </w14:textFill>
              </w:rPr>
              <w:t>0</w:t>
            </w:r>
            <w:r>
              <w:rPr>
                <w:rFonts w:hint="eastAsia" w:hAnsi="Times New Roman"/>
                <w:b/>
                <w:color w:val="000000" w:themeColor="text1"/>
                <w:sz w:val="21"/>
                <w:szCs w:val="21"/>
                <w14:textFill>
                  <w14:solidFill>
                    <w14:schemeClr w14:val="tx1"/>
                  </w14:solidFill>
                </w14:textFill>
              </w:rPr>
              <w:t xml:space="preserve">  土壤环境影响源及影响因子识别表</w:t>
            </w:r>
          </w:p>
          <w:tbl>
            <w:tblPr>
              <w:tblStyle w:val="26"/>
              <w:tblW w:w="83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73"/>
              <w:gridCol w:w="1551"/>
              <w:gridCol w:w="1905"/>
              <w:gridCol w:w="2715"/>
              <w:gridCol w:w="1086"/>
            </w:tblGrid>
            <w:tr w14:paraId="1B145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73" w:type="dxa"/>
                  <w:noWrap w:val="0"/>
                  <w:vAlign w:val="center"/>
                </w:tcPr>
                <w:p w14:paraId="73884CD0">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污染源</w:t>
                  </w:r>
                </w:p>
              </w:tc>
              <w:tc>
                <w:tcPr>
                  <w:tcW w:w="1551" w:type="dxa"/>
                  <w:noWrap w:val="0"/>
                  <w:vAlign w:val="center"/>
                </w:tcPr>
                <w:p w14:paraId="36B859B6">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工艺流程/节点</w:t>
                  </w:r>
                </w:p>
              </w:tc>
              <w:tc>
                <w:tcPr>
                  <w:tcW w:w="1905" w:type="dxa"/>
                  <w:noWrap w:val="0"/>
                  <w:vAlign w:val="center"/>
                </w:tcPr>
                <w:p w14:paraId="7D5D50D0">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污染途径</w:t>
                  </w:r>
                </w:p>
              </w:tc>
              <w:tc>
                <w:tcPr>
                  <w:tcW w:w="2715" w:type="dxa"/>
                  <w:noWrap w:val="0"/>
                  <w:vAlign w:val="center"/>
                </w:tcPr>
                <w:p w14:paraId="04F79CC4">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全部污染物指标</w:t>
                  </w:r>
                </w:p>
              </w:tc>
              <w:tc>
                <w:tcPr>
                  <w:tcW w:w="1086" w:type="dxa"/>
                  <w:noWrap w:val="0"/>
                  <w:vAlign w:val="center"/>
                </w:tcPr>
                <w:p w14:paraId="6A6F5863">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特征因子</w:t>
                  </w:r>
                </w:p>
              </w:tc>
            </w:tr>
            <w:tr w14:paraId="03C86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73" w:type="dxa"/>
                  <w:noWrap w:val="0"/>
                  <w:vAlign w:val="center"/>
                </w:tcPr>
                <w:p w14:paraId="497F3FC5">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污水处理设施</w:t>
                  </w:r>
                </w:p>
              </w:tc>
              <w:tc>
                <w:tcPr>
                  <w:tcW w:w="1551" w:type="dxa"/>
                  <w:noWrap w:val="0"/>
                  <w:vAlign w:val="center"/>
                </w:tcPr>
                <w:p w14:paraId="5F4283D2">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废水处理</w:t>
                  </w:r>
                </w:p>
              </w:tc>
              <w:tc>
                <w:tcPr>
                  <w:tcW w:w="1905" w:type="dxa"/>
                  <w:noWrap w:val="0"/>
                  <w:vAlign w:val="center"/>
                </w:tcPr>
                <w:p w14:paraId="09DDB94A">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垂直入渗、地面漫流</w:t>
                  </w:r>
                </w:p>
              </w:tc>
              <w:tc>
                <w:tcPr>
                  <w:tcW w:w="2715" w:type="dxa"/>
                  <w:noWrap w:val="0"/>
                  <w:vAlign w:val="center"/>
                </w:tcPr>
                <w:p w14:paraId="66633AA1">
                  <w:pPr>
                    <w:pStyle w:val="33"/>
                    <w:widowControl w:val="0"/>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PH、悬浮物、化学需氧量、BOD</w:t>
                  </w:r>
                  <w:r>
                    <w:rPr>
                      <w:rFonts w:hint="eastAsia" w:ascii="Times New Roman" w:hAnsi="Times New Roman" w:eastAsia="宋体" w:cs="Times New Roman"/>
                      <w:color w:val="000000" w:themeColor="text1"/>
                      <w:szCs w:val="21"/>
                      <w:vertAlign w:val="subscript"/>
                      <w:lang w:val="en-US" w:eastAsia="zh-CN"/>
                      <w14:textFill>
                        <w14:solidFill>
                          <w14:schemeClr w14:val="tx1"/>
                        </w14:solidFill>
                      </w14:textFill>
                    </w:rPr>
                    <w:t>5</w:t>
                  </w:r>
                  <w:r>
                    <w:rPr>
                      <w:rFonts w:hint="eastAsia" w:ascii="Times New Roman" w:hAnsi="Times New Roman" w:eastAsia="宋体" w:cs="Times New Roman"/>
                      <w:color w:val="000000" w:themeColor="text1"/>
                      <w:szCs w:val="21"/>
                      <w:lang w:val="en-US" w:eastAsia="zh-CN"/>
                      <w14:textFill>
                        <w14:solidFill>
                          <w14:schemeClr w14:val="tx1"/>
                        </w14:solidFill>
                      </w14:textFill>
                    </w:rPr>
                    <w:t>、石油类、阴离子表面活性剂、氨氮、总磷、总氮</w:t>
                  </w:r>
                </w:p>
              </w:tc>
              <w:tc>
                <w:tcPr>
                  <w:tcW w:w="1086" w:type="dxa"/>
                  <w:noWrap w:val="0"/>
                  <w:vAlign w:val="center"/>
                </w:tcPr>
                <w:p w14:paraId="080295AD">
                  <w:pPr>
                    <w:pStyle w:val="33"/>
                    <w:widowControl w:val="0"/>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r>
            <w:tr w14:paraId="16E38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73" w:type="dxa"/>
                  <w:noWrap w:val="0"/>
                  <w:vAlign w:val="center"/>
                </w:tcPr>
                <w:p w14:paraId="111093D8">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生产区</w:t>
                  </w:r>
                </w:p>
              </w:tc>
              <w:tc>
                <w:tcPr>
                  <w:tcW w:w="1551" w:type="dxa"/>
                  <w:noWrap w:val="0"/>
                  <w:vAlign w:val="center"/>
                </w:tcPr>
                <w:p w14:paraId="38910543">
                  <w:pPr>
                    <w:pStyle w:val="33"/>
                    <w:widowControl w:val="0"/>
                    <w:snapToGrid/>
                    <w:jc w:val="center"/>
                    <w:rPr>
                      <w:rFonts w:hint="eastAsia" w:eastAsia="宋体"/>
                      <w:color w:val="000000" w:themeColor="text1"/>
                      <w:szCs w:val="21"/>
                      <w:lang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喷漆</w:t>
                  </w:r>
                </w:p>
              </w:tc>
              <w:tc>
                <w:tcPr>
                  <w:tcW w:w="1905" w:type="dxa"/>
                  <w:noWrap w:val="0"/>
                  <w:vAlign w:val="center"/>
                </w:tcPr>
                <w:p w14:paraId="21E55041">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大气沉降</w:t>
                  </w:r>
                </w:p>
              </w:tc>
              <w:tc>
                <w:tcPr>
                  <w:tcW w:w="2715" w:type="dxa"/>
                  <w:noWrap w:val="0"/>
                  <w:vAlign w:val="center"/>
                </w:tcPr>
                <w:p w14:paraId="16765B3B">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非甲烷总烃</w:t>
                  </w:r>
                </w:p>
              </w:tc>
              <w:tc>
                <w:tcPr>
                  <w:tcW w:w="1086" w:type="dxa"/>
                  <w:noWrap w:val="0"/>
                  <w:vAlign w:val="center"/>
                </w:tcPr>
                <w:p w14:paraId="7628B82C">
                  <w:pPr>
                    <w:pStyle w:val="33"/>
                    <w:widowControl w:val="0"/>
                    <w:snapToGrid/>
                    <w:jc w:val="center"/>
                    <w:rPr>
                      <w:rFonts w:hint="eastAsia"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w:t>
                  </w:r>
                </w:p>
              </w:tc>
            </w:tr>
          </w:tbl>
          <w:p w14:paraId="19DA83D1">
            <w:pPr>
              <w:ind w:firstLine="480"/>
              <w:rPr>
                <w:color w:val="000000" w:themeColor="text1"/>
                <w14:textFill>
                  <w14:solidFill>
                    <w14:schemeClr w14:val="tx1"/>
                  </w14:solidFill>
                </w14:textFill>
              </w:rPr>
            </w:pPr>
            <w:r>
              <w:rPr>
                <w:color w:val="000000" w:themeColor="text1"/>
                <w14:textFill>
                  <w14:solidFill>
                    <w14:schemeClr w14:val="tx1"/>
                  </w14:solidFill>
                </w14:textFill>
              </w:rPr>
              <w:t>根据上表，本项目产生的污染因</w:t>
            </w:r>
            <w:r>
              <w:rPr>
                <w:rFonts w:ascii="Times New Roman" w:hAnsi="Times New Roman" w:eastAsia="宋体" w:cs="Times New Roman"/>
                <w:color w:val="000000" w:themeColor="text1"/>
                <w14:textFill>
                  <w14:solidFill>
                    <w14:schemeClr w14:val="tx1"/>
                  </w14:solidFill>
                </w14:textFill>
              </w:rPr>
              <w:t>子为</w:t>
            </w:r>
            <w:r>
              <w:rPr>
                <w:rFonts w:hint="eastAsia" w:ascii="Times New Roman" w:hAnsi="Times New Roman" w:eastAsia="宋体" w:cs="Times New Roman"/>
                <w:color w:val="000000" w:themeColor="text1"/>
                <w:lang w:val="en-US" w:eastAsia="zh-CN"/>
                <w14:textFill>
                  <w14:solidFill>
                    <w14:schemeClr w14:val="tx1"/>
                  </w14:solidFill>
                </w14:textFill>
              </w:rPr>
              <w:t>PH、悬浮物、化学需氧量、BOD</w:t>
            </w:r>
            <w:r>
              <w:rPr>
                <w:rFonts w:hint="eastAsia" w:ascii="Times New Roman" w:hAnsi="Times New Roman" w:eastAsia="宋体" w:cs="Times New Roman"/>
                <w:color w:val="000000" w:themeColor="text1"/>
                <w:vertAlign w:val="subscript"/>
                <w:lang w:val="en-US" w:eastAsia="zh-CN"/>
                <w14:textFill>
                  <w14:solidFill>
                    <w14:schemeClr w14:val="tx1"/>
                  </w14:solidFill>
                </w14:textFill>
              </w:rPr>
              <w:t>5</w:t>
            </w:r>
            <w:r>
              <w:rPr>
                <w:rFonts w:hint="eastAsia" w:ascii="Times New Roman" w:hAnsi="Times New Roman" w:eastAsia="宋体" w:cs="Times New Roman"/>
                <w:color w:val="000000" w:themeColor="text1"/>
                <w:lang w:val="en-US" w:eastAsia="zh-CN"/>
                <w14:textFill>
                  <w14:solidFill>
                    <w14:schemeClr w14:val="tx1"/>
                  </w14:solidFill>
                </w14:textFill>
              </w:rPr>
              <w:t>、石油类、阴离子表面活性剂、氨氮、总磷、总氮、</w:t>
            </w:r>
            <w:r>
              <w:rPr>
                <w:rFonts w:hint="eastAsia" w:ascii="Times New Roman" w:hAnsi="Times New Roman" w:eastAsia="宋体" w:cs="Times New Roman"/>
                <w:color w:val="000000" w:themeColor="text1"/>
                <w14:textFill>
                  <w14:solidFill>
                    <w14:schemeClr w14:val="tx1"/>
                  </w14:solidFill>
                </w14:textFill>
              </w:rPr>
              <w:t>非甲烷总烃</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均</w:t>
            </w:r>
            <w:r>
              <w:rPr>
                <w:rFonts w:hint="eastAsia"/>
                <w:color w:val="000000" w:themeColor="text1"/>
                <w14:textFill>
                  <w14:solidFill>
                    <w14:schemeClr w14:val="tx1"/>
                  </w14:solidFill>
                </w14:textFill>
              </w:rPr>
              <w:t>不</w:t>
            </w:r>
            <w:r>
              <w:rPr>
                <w:rFonts w:hint="eastAsia"/>
                <w:color w:val="000000" w:themeColor="text1"/>
                <w:lang w:eastAsia="zh-CN"/>
                <w14:textFill>
                  <w14:solidFill>
                    <w14:schemeClr w14:val="tx1"/>
                  </w14:solidFill>
                </w14:textFill>
              </w:rPr>
              <w:t>属于</w:t>
            </w:r>
            <w:r>
              <w:rPr>
                <w:rFonts w:hint="eastAsia"/>
                <w:color w:val="000000" w:themeColor="text1"/>
                <w14:textFill>
                  <w14:solidFill>
                    <w14:schemeClr w14:val="tx1"/>
                  </w14:solidFill>
                </w14:textFill>
              </w:rPr>
              <w:t>土壤污染特征因子；</w:t>
            </w:r>
            <w:r>
              <w:rPr>
                <w:color w:val="000000" w:themeColor="text1"/>
                <w14:textFill>
                  <w14:solidFill>
                    <w14:schemeClr w14:val="tx1"/>
                  </w14:solidFill>
                </w14:textFill>
              </w:rPr>
              <w:t>识别本项目土壤环境影响类型属于污染影响型，污染</w:t>
            </w:r>
            <w:r>
              <w:rPr>
                <w:rFonts w:hint="eastAsia"/>
                <w:color w:val="000000" w:themeColor="text1"/>
                <w14:textFill>
                  <w14:solidFill>
                    <w14:schemeClr w14:val="tx1"/>
                  </w14:solidFill>
                </w14:textFill>
              </w:rPr>
              <w:t>途径</w:t>
            </w:r>
            <w:r>
              <w:rPr>
                <w:color w:val="000000" w:themeColor="text1"/>
                <w14:textFill>
                  <w14:solidFill>
                    <w14:schemeClr w14:val="tx1"/>
                  </w14:solidFill>
                </w14:textFill>
              </w:rPr>
              <w:t>为垂直入渗、地面漫流、大气沉降。</w:t>
            </w:r>
          </w:p>
          <w:p w14:paraId="144FE16F">
            <w:pPr>
              <w:ind w:firstLine="480"/>
              <w:rPr>
                <w:color w:val="000000" w:themeColor="text1"/>
                <w14:textFill>
                  <w14:solidFill>
                    <w14:schemeClr w14:val="tx1"/>
                  </w14:solidFill>
                </w14:textFill>
              </w:rPr>
            </w:pPr>
            <w:r>
              <w:rPr>
                <w:color w:val="000000" w:themeColor="text1"/>
                <w14:textFill>
                  <w14:solidFill>
                    <w14:schemeClr w14:val="tx1"/>
                  </w14:solidFill>
                </w14:textFill>
              </w:rPr>
              <w:t>垂直入渗型：正常状况下，本项目营运期</w:t>
            </w:r>
            <w:r>
              <w:rPr>
                <w:rFonts w:hint="eastAsia"/>
                <w:color w:val="000000" w:themeColor="text1"/>
                <w14:textFill>
                  <w14:solidFill>
                    <w14:schemeClr w14:val="tx1"/>
                  </w14:solidFill>
                </w14:textFill>
              </w:rPr>
              <w:t>废水经预处理后</w:t>
            </w:r>
            <w:r>
              <w:rPr>
                <w:rFonts w:hint="eastAsia"/>
                <w:color w:val="000000" w:themeColor="text1"/>
                <w:lang w:eastAsia="zh-CN"/>
                <w14:textFill>
                  <w14:solidFill>
                    <w14:schemeClr w14:val="tx1"/>
                  </w14:solidFill>
                </w14:textFill>
              </w:rPr>
              <w:t>排入市政污水管网</w:t>
            </w:r>
            <w:r>
              <w:rPr>
                <w:rFonts w:hint="eastAsia"/>
                <w:color w:val="000000" w:themeColor="text1"/>
                <w14:textFill>
                  <w14:solidFill>
                    <w14:schemeClr w14:val="tx1"/>
                  </w14:solidFill>
                </w14:textFill>
              </w:rPr>
              <w:t>，不</w:t>
            </w:r>
            <w:r>
              <w:rPr>
                <w:rFonts w:hint="eastAsia" w:ascii="Times New Roman" w:hAnsi="Times New Roman" w:eastAsia="宋体" w:cs="Times New Roman"/>
                <w:color w:val="000000" w:themeColor="text1"/>
                <w14:textFill>
                  <w14:solidFill>
                    <w14:schemeClr w14:val="tx1"/>
                  </w14:solidFill>
                </w14:textFill>
              </w:rPr>
              <w:t xml:space="preserve">存在垂直入渗污染。根据本项目工程分析可知，废水污染物主要为 </w:t>
            </w:r>
            <w:r>
              <w:rPr>
                <w:rFonts w:hint="eastAsia" w:ascii="Times New Roman" w:hAnsi="Times New Roman" w:eastAsia="宋体" w:cs="Times New Roman"/>
                <w:color w:val="000000" w:themeColor="text1"/>
                <w:lang w:val="en-US" w:eastAsia="zh-CN"/>
                <w14:textFill>
                  <w14:solidFill>
                    <w14:schemeClr w14:val="tx1"/>
                  </w14:solidFill>
                </w14:textFill>
              </w:rPr>
              <w:t>PH、悬浮物、化学需氧量、BOD</w:t>
            </w:r>
            <w:r>
              <w:rPr>
                <w:rFonts w:hint="eastAsia" w:ascii="Times New Roman" w:hAnsi="Times New Roman" w:eastAsia="宋体" w:cs="Times New Roman"/>
                <w:color w:val="000000" w:themeColor="text1"/>
                <w:vertAlign w:val="subscript"/>
                <w:lang w:val="en-US" w:eastAsia="zh-CN"/>
                <w14:textFill>
                  <w14:solidFill>
                    <w14:schemeClr w14:val="tx1"/>
                  </w14:solidFill>
                </w14:textFill>
              </w:rPr>
              <w:t>5</w:t>
            </w:r>
            <w:r>
              <w:rPr>
                <w:rFonts w:hint="eastAsia" w:ascii="Times New Roman" w:hAnsi="Times New Roman" w:eastAsia="宋体" w:cs="Times New Roman"/>
                <w:color w:val="000000" w:themeColor="text1"/>
                <w:lang w:val="en-US" w:eastAsia="zh-CN"/>
                <w14:textFill>
                  <w14:solidFill>
                    <w14:schemeClr w14:val="tx1"/>
                  </w14:solidFill>
                </w14:textFill>
              </w:rPr>
              <w:t>、石油类、阴离子表面活性剂、氨氮、总磷、总氮</w:t>
            </w:r>
            <w:r>
              <w:rPr>
                <w:rFonts w:hint="eastAsia" w:ascii="Times New Roman" w:hAnsi="Times New Roman" w:eastAsia="宋体" w:cs="Times New Roman"/>
                <w:color w:val="000000" w:themeColor="text1"/>
                <w14:textFill>
                  <w14:solidFill>
                    <w14:schemeClr w14:val="tx1"/>
                  </w14:solidFill>
                </w14:textFill>
              </w:rPr>
              <w:t>，不含</w:t>
            </w:r>
            <w:r>
              <w:rPr>
                <w:rFonts w:hint="eastAsia"/>
                <w:color w:val="000000" w:themeColor="text1"/>
                <w14:textFill>
                  <w14:solidFill>
                    <w14:schemeClr w14:val="tx1"/>
                  </w14:solidFill>
                </w14:textFill>
              </w:rPr>
              <w:t>重金属及难降解有机物。在非正常状况下，废水输送管道和处理池泄露产生的废水渗入土壤，</w:t>
            </w:r>
            <w:r>
              <w:rPr>
                <w:color w:val="000000" w:themeColor="text1"/>
                <w14:textFill>
                  <w14:solidFill>
                    <w14:schemeClr w14:val="tx1"/>
                  </w14:solidFill>
                </w14:textFill>
              </w:rPr>
              <w:t>可能对土壤环境造成影响。</w:t>
            </w:r>
          </w:p>
          <w:p w14:paraId="64009B84">
            <w:pPr>
              <w:ind w:firstLine="480"/>
              <w:rPr>
                <w:color w:val="000000" w:themeColor="text1"/>
                <w14:textFill>
                  <w14:solidFill>
                    <w14:schemeClr w14:val="tx1"/>
                  </w14:solidFill>
                </w14:textFill>
              </w:rPr>
            </w:pPr>
            <w:r>
              <w:rPr>
                <w:color w:val="000000" w:themeColor="text1"/>
                <w14:textFill>
                  <w14:solidFill>
                    <w14:schemeClr w14:val="tx1"/>
                  </w14:solidFill>
                </w14:textFill>
              </w:rPr>
              <w:t>地面漫流型：本项目营运期正常状况下</w:t>
            </w:r>
            <w:r>
              <w:rPr>
                <w:rFonts w:hint="eastAsia"/>
                <w:color w:val="000000" w:themeColor="text1"/>
                <w14:textFill>
                  <w14:solidFill>
                    <w14:schemeClr w14:val="tx1"/>
                  </w14:solidFill>
                </w14:textFill>
              </w:rPr>
              <w:t>废水经预处理后</w:t>
            </w:r>
            <w:r>
              <w:rPr>
                <w:rFonts w:hint="eastAsia"/>
                <w:color w:val="000000" w:themeColor="text1"/>
                <w:lang w:eastAsia="zh-CN"/>
                <w14:textFill>
                  <w14:solidFill>
                    <w14:schemeClr w14:val="tx1"/>
                  </w14:solidFill>
                </w14:textFill>
              </w:rPr>
              <w:t>排入市政污水管网</w:t>
            </w:r>
            <w:r>
              <w:rPr>
                <w:rFonts w:hint="eastAsia"/>
                <w:color w:val="000000" w:themeColor="text1"/>
                <w14:textFill>
                  <w14:solidFill>
                    <w14:schemeClr w14:val="tx1"/>
                  </w14:solidFill>
                </w14:textFill>
              </w:rPr>
              <w:t>，不存在地面漫流污染</w:t>
            </w:r>
            <w:r>
              <w:rPr>
                <w:color w:val="000000" w:themeColor="text1"/>
                <w14:textFill>
                  <w14:solidFill>
                    <w14:schemeClr w14:val="tx1"/>
                  </w14:solidFill>
                </w14:textFill>
              </w:rPr>
              <w:t>。非正常状况</w:t>
            </w:r>
            <w:r>
              <w:rPr>
                <w:rFonts w:hint="eastAsia"/>
                <w:color w:val="000000" w:themeColor="text1"/>
                <w14:textFill>
                  <w14:solidFill>
                    <w14:schemeClr w14:val="tx1"/>
                  </w14:solidFill>
                </w14:textFill>
              </w:rPr>
              <w:t>分析如</w:t>
            </w:r>
            <w:r>
              <w:rPr>
                <w:color w:val="000000" w:themeColor="text1"/>
                <w14:textFill>
                  <w14:solidFill>
                    <w14:schemeClr w14:val="tx1"/>
                  </w14:solidFill>
                </w14:textFill>
              </w:rPr>
              <w:t>下：</w:t>
            </w:r>
          </w:p>
          <w:p w14:paraId="52617142">
            <w:pPr>
              <w:ind w:firstLine="480"/>
              <w:rPr>
                <w:color w:val="000000" w:themeColor="text1"/>
                <w14:textFill>
                  <w14:solidFill>
                    <w14:schemeClr w14:val="tx1"/>
                  </w14:solidFill>
                </w14:textFill>
              </w:rPr>
            </w:pPr>
            <w:r>
              <w:rPr>
                <w:color w:val="000000" w:themeColor="text1"/>
                <w14:textFill>
                  <w14:solidFill>
                    <w14:schemeClr w14:val="tx1"/>
                  </w14:solidFill>
                </w14:textFill>
              </w:rPr>
              <w:t>①若废水管道破裂时，未经处理的废水溢出厂外，影响土壤环境</w:t>
            </w:r>
            <w:r>
              <w:rPr>
                <w:rFonts w:hint="eastAsia"/>
                <w:color w:val="000000" w:themeColor="text1"/>
                <w14:textFill>
                  <w14:solidFill>
                    <w14:schemeClr w14:val="tx1"/>
                  </w14:solidFill>
                </w14:textFill>
              </w:rPr>
              <w:t>；</w:t>
            </w:r>
          </w:p>
          <w:p w14:paraId="29D1A754">
            <w:pPr>
              <w:bidi w:val="0"/>
            </w:pPr>
            <w:r>
              <w:t>②</w:t>
            </w:r>
            <w:r>
              <w:rPr>
                <w:rFonts w:hint="eastAsia"/>
                <w:lang w:val="en-US" w:eastAsia="zh-CN"/>
              </w:rPr>
              <w:t>油漆、废机油</w:t>
            </w:r>
            <w:r>
              <w:rPr>
                <w:rFonts w:hint="eastAsia"/>
              </w:rPr>
              <w:t>等液态原辅材料泄漏</w:t>
            </w:r>
            <w:r>
              <w:t>进入土壤环境；</w:t>
            </w:r>
          </w:p>
          <w:p w14:paraId="6B167F4A">
            <w:pPr>
              <w:bidi w:val="0"/>
              <w:rPr>
                <w:rFonts w:hint="eastAsia"/>
              </w:rPr>
            </w:pPr>
            <w:r>
              <w:t>大气沉降型：本项目营运期主要大气污染物为</w:t>
            </w:r>
            <w:r>
              <w:rPr>
                <w:rFonts w:hint="eastAsia"/>
              </w:rPr>
              <w:t>非甲烷总烃</w:t>
            </w:r>
            <w:r>
              <w:t>，不含重金属和持久性污染物</w:t>
            </w:r>
            <w:r>
              <w:rPr>
                <w:rFonts w:hint="eastAsia"/>
              </w:rPr>
              <w:t>。</w:t>
            </w:r>
          </w:p>
          <w:p w14:paraId="4774CF58">
            <w:pPr>
              <w:bidi w:val="0"/>
            </w:pPr>
            <w:r>
              <w:t>综上所述，本项目废水</w:t>
            </w:r>
            <w:r>
              <w:rPr>
                <w:rFonts w:hint="eastAsia"/>
              </w:rPr>
              <w:t>、</w:t>
            </w:r>
            <w:r>
              <w:rPr>
                <w:rFonts w:hint="eastAsia"/>
                <w:lang w:val="en-US" w:eastAsia="zh-CN"/>
              </w:rPr>
              <w:t>油漆、废机油泄漏</w:t>
            </w:r>
            <w:r>
              <w:t>产生的垂直入渗为主要污染途径</w:t>
            </w:r>
            <w:r>
              <w:rPr>
                <w:rFonts w:hint="eastAsia"/>
              </w:rPr>
              <w:t>。</w:t>
            </w:r>
          </w:p>
          <w:p w14:paraId="75409DC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土壤环境保护措施与对策</w:t>
            </w:r>
          </w:p>
          <w:p w14:paraId="62918518">
            <w:pPr>
              <w:ind w:firstLine="480"/>
              <w:rPr>
                <w:color w:val="000000" w:themeColor="text1"/>
                <w14:textFill>
                  <w14:solidFill>
                    <w14:schemeClr w14:val="tx1"/>
                  </w14:solidFill>
                </w14:textFill>
              </w:rPr>
            </w:pPr>
            <w:r>
              <w:rPr>
                <w:color w:val="000000" w:themeColor="text1"/>
                <w14:textFill>
                  <w14:solidFill>
                    <w14:schemeClr w14:val="tx1"/>
                  </w14:solidFill>
                </w14:textFill>
              </w:rPr>
              <w:t>①源头控制措施</w:t>
            </w:r>
          </w:p>
          <w:p w14:paraId="7A911C35">
            <w:pPr>
              <w:ind w:firstLine="480"/>
              <w:rPr>
                <w:color w:val="000000" w:themeColor="text1"/>
                <w14:textFill>
                  <w14:solidFill>
                    <w14:schemeClr w14:val="tx1"/>
                  </w14:solidFill>
                </w14:textFill>
              </w:rPr>
            </w:pPr>
            <w:r>
              <w:rPr>
                <w:color w:val="000000" w:themeColor="text1"/>
                <w14:textFill>
                  <w14:solidFill>
                    <w14:schemeClr w14:val="tx1"/>
                  </w14:solidFill>
                </w14:textFill>
              </w:rPr>
              <w:t>主要包括在</w:t>
            </w:r>
            <w:r>
              <w:rPr>
                <w:rFonts w:hint="eastAsia"/>
                <w:color w:val="000000" w:themeColor="text1"/>
                <w:lang w:val="en-US" w:eastAsia="zh-CN"/>
                <w14:textFill>
                  <w14:solidFill>
                    <w14:schemeClr w14:val="tx1"/>
                  </w14:solidFill>
                </w14:textFill>
              </w:rPr>
              <w:t>喷漆房</w:t>
            </w:r>
            <w:r>
              <w:rPr>
                <w:color w:val="000000" w:themeColor="text1"/>
                <w14:textFill>
                  <w14:solidFill>
                    <w14:schemeClr w14:val="tx1"/>
                  </w14:solidFill>
                </w14:textFill>
              </w:rPr>
              <w:t>、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w:t>
            </w:r>
          </w:p>
          <w:p w14:paraId="371D80B4">
            <w:pPr>
              <w:ind w:firstLine="480"/>
              <w:rPr>
                <w:color w:val="000000" w:themeColor="text1"/>
                <w14:textFill>
                  <w14:solidFill>
                    <w14:schemeClr w14:val="tx1"/>
                  </w14:solidFill>
                </w14:textFill>
              </w:rPr>
            </w:pPr>
            <w:r>
              <w:rPr>
                <w:color w:val="000000" w:themeColor="text1"/>
                <w14:textFill>
                  <w14:solidFill>
                    <w14:schemeClr w14:val="tx1"/>
                  </w14:solidFill>
                </w14:textFill>
              </w:rPr>
              <w:t>②过程防控措施</w:t>
            </w:r>
          </w:p>
          <w:p w14:paraId="708F9CCB">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本项目在空地和厂房周边种植具有较强吸附能力的树木，通过绿化</w:t>
            </w:r>
            <w:r>
              <w:rPr>
                <w:rFonts w:hint="eastAsia"/>
                <w:color w:val="000000" w:themeColor="text1"/>
                <w14:textFill>
                  <w14:solidFill>
                    <w14:schemeClr w14:val="tx1"/>
                  </w14:solidFill>
                </w14:textFill>
              </w:rPr>
              <w:t>吸附</w:t>
            </w:r>
            <w:r>
              <w:rPr>
                <w:color w:val="000000" w:themeColor="text1"/>
                <w14:textFill>
                  <w14:solidFill>
                    <w14:schemeClr w14:val="tx1"/>
                  </w14:solidFill>
                </w14:textFill>
              </w:rPr>
              <w:t>措施降低</w:t>
            </w:r>
            <w:r>
              <w:rPr>
                <w:rFonts w:hint="eastAsia"/>
                <w:color w:val="000000" w:themeColor="text1"/>
                <w14:textFill>
                  <w14:solidFill>
                    <w14:schemeClr w14:val="tx1"/>
                  </w14:solidFill>
                </w14:textFill>
              </w:rPr>
              <w:t>非甲烷总烃</w:t>
            </w:r>
            <w:r>
              <w:rPr>
                <w:color w:val="000000" w:themeColor="text1"/>
                <w14:textFill>
                  <w14:solidFill>
                    <w14:schemeClr w14:val="tx1"/>
                  </w14:solidFill>
                </w14:textFill>
              </w:rPr>
              <w:t>对周边土壤的影响；</w:t>
            </w:r>
          </w:p>
          <w:p w14:paraId="2AEC1515">
            <w:pPr>
              <w:ind w:firstLine="480"/>
              <w:rPr>
                <w:color w:val="000000" w:themeColor="text1"/>
                <w14:textFill>
                  <w14:solidFill>
                    <w14:schemeClr w14:val="tx1"/>
                  </w14:solidFill>
                </w14:textFill>
              </w:rPr>
            </w:pPr>
            <w:r>
              <w:rPr>
                <w:color w:val="000000" w:themeColor="text1"/>
                <w14:textFill>
                  <w14:solidFill>
                    <w14:schemeClr w14:val="tx1"/>
                  </w14:solidFill>
                </w14:textFill>
              </w:rPr>
              <w:t>1）地面漫流防治措施：若</w:t>
            </w:r>
            <w:r>
              <w:rPr>
                <w:rFonts w:hint="eastAsia"/>
                <w:color w:val="000000" w:themeColor="text1"/>
                <w14:textFill>
                  <w14:solidFill>
                    <w14:schemeClr w14:val="tx1"/>
                  </w14:solidFill>
                </w14:textFill>
              </w:rPr>
              <w:t>原废水</w:t>
            </w:r>
            <w:r>
              <w:rPr>
                <w:color w:val="000000" w:themeColor="text1"/>
                <w14:textFill>
                  <w14:solidFill>
                    <w14:schemeClr w14:val="tx1"/>
                  </w14:solidFill>
                </w14:textFill>
              </w:rPr>
              <w:t>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14:paraId="0A65CC1A">
            <w:pPr>
              <w:ind w:firstLine="480"/>
              <w:rPr>
                <w:color w:val="000000" w:themeColor="text1"/>
                <w14:textFill>
                  <w14:solidFill>
                    <w14:schemeClr w14:val="tx1"/>
                  </w14:solidFill>
                </w14:textFill>
              </w:rPr>
            </w:pPr>
            <w:r>
              <w:rPr>
                <w:color w:val="000000" w:themeColor="text1"/>
                <w14:textFill>
                  <w14:solidFill>
                    <w14:schemeClr w14:val="tx1"/>
                  </w14:solidFill>
                </w14:textFill>
              </w:rPr>
              <w:t>2）垂直入渗防治措施：</w:t>
            </w:r>
            <w:r>
              <w:rPr>
                <w:rFonts w:hint="eastAsia"/>
                <w:color w:val="000000" w:themeColor="text1"/>
                <w:lang w:val="en-US" w:eastAsia="zh-CN"/>
                <w14:textFill>
                  <w14:solidFill>
                    <w14:schemeClr w14:val="tx1"/>
                  </w14:solidFill>
                </w14:textFill>
              </w:rPr>
              <w:t>喷漆房</w:t>
            </w:r>
            <w:r>
              <w:rPr>
                <w:rFonts w:hint="eastAsia"/>
                <w:color w:val="000000" w:themeColor="text1"/>
                <w14:textFill>
                  <w14:solidFill>
                    <w14:schemeClr w14:val="tx1"/>
                  </w14:solidFill>
                </w14:textFill>
              </w:rPr>
              <w:t>、危废间等</w:t>
            </w:r>
            <w:r>
              <w:rPr>
                <w:color w:val="000000" w:themeColor="text1"/>
                <w14:textFill>
                  <w14:solidFill>
                    <w14:schemeClr w14:val="tx1"/>
                  </w14:solidFill>
                </w14:textFill>
              </w:rPr>
              <w:t>均用水泥硬化，并</w:t>
            </w:r>
            <w:r>
              <w:rPr>
                <w:rFonts w:hint="eastAsia"/>
                <w:color w:val="000000" w:themeColor="text1"/>
                <w14:textFill>
                  <w14:solidFill>
                    <w14:schemeClr w14:val="tx1"/>
                  </w14:solidFill>
                </w14:textFill>
              </w:rPr>
              <w:t>进行</w:t>
            </w:r>
            <w:r>
              <w:rPr>
                <w:color w:val="000000" w:themeColor="text1"/>
                <w14:textFill>
                  <w14:solidFill>
                    <w14:schemeClr w14:val="tx1"/>
                  </w14:solidFill>
                </w14:textFill>
              </w:rPr>
              <w:t>防腐、防渗处理，防渗层为至2mm厚高密度聚乙烯，或至少2mm厚的其它人工材料，渗透系数≤10</w:t>
            </w:r>
            <w:r>
              <w:rPr>
                <w:color w:val="000000" w:themeColor="text1"/>
                <w:vertAlign w:val="superscript"/>
                <w14:textFill>
                  <w14:solidFill>
                    <w14:schemeClr w14:val="tx1"/>
                  </w14:solidFill>
                </w14:textFill>
              </w:rPr>
              <w:t>-7</w:t>
            </w:r>
            <w:r>
              <w:rPr>
                <w:color w:val="000000" w:themeColor="text1"/>
                <w14:textFill>
                  <w14:solidFill>
                    <w14:schemeClr w14:val="tx1"/>
                  </w14:solidFill>
                </w14:textFill>
              </w:rPr>
              <w:t>cm/s，因此，项目废水的渗漏对土壤影响较小。</w:t>
            </w:r>
          </w:p>
          <w:p w14:paraId="1FB1AAD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土壤环境影响评价小结</w:t>
            </w:r>
          </w:p>
          <w:p w14:paraId="2DE71BDC">
            <w:pPr>
              <w:ind w:firstLine="480"/>
              <w:rPr>
                <w:rFonts w:ascii="宋体" w:hAnsi="宋体" w:cs="宋体"/>
                <w:b/>
                <w:color w:val="000000" w:themeColor="text1"/>
                <w:kern w:val="0"/>
                <w:lang w:bidi="ar"/>
                <w14:textFill>
                  <w14:solidFill>
                    <w14:schemeClr w14:val="tx1"/>
                  </w14:solidFill>
                </w14:textFill>
              </w:rPr>
            </w:pPr>
            <w:r>
              <w:rPr>
                <w:color w:val="000000" w:themeColor="text1"/>
                <w14:textFill>
                  <w14:solidFill>
                    <w14:schemeClr w14:val="tx1"/>
                  </w14:solidFill>
                </w14:textFill>
              </w:rPr>
              <w:t>综上，本项目</w:t>
            </w:r>
            <w:r>
              <w:rPr>
                <w:rFonts w:hint="eastAsia"/>
                <w:color w:val="000000" w:themeColor="text1"/>
                <w14:textFill>
                  <w14:solidFill>
                    <w14:schemeClr w14:val="tx1"/>
                  </w14:solidFill>
                </w14:textFill>
              </w:rPr>
              <w:t>不存在土壤污染特征因子，</w:t>
            </w:r>
            <w:r>
              <w:rPr>
                <w:color w:val="000000" w:themeColor="text1"/>
                <w14:textFill>
                  <w14:solidFill>
                    <w14:schemeClr w14:val="tx1"/>
                  </w14:solidFill>
                </w14:textFill>
              </w:rPr>
              <w:t>在采取环评提出的措施后，在正常状况下，</w:t>
            </w:r>
            <w:r>
              <w:rPr>
                <w:rFonts w:hint="eastAsia"/>
                <w:color w:val="000000" w:themeColor="text1"/>
                <w14:textFill>
                  <w14:solidFill>
                    <w14:schemeClr w14:val="tx1"/>
                  </w14:solidFill>
                </w14:textFill>
              </w:rPr>
              <w:t>不会对土壤环境造成影响。</w:t>
            </w:r>
          </w:p>
          <w:p w14:paraId="5BD179DB">
            <w:pPr>
              <w:ind w:firstLine="482"/>
              <w:rPr>
                <w:b/>
                <w:bCs/>
                <w:color w:val="000000" w:themeColor="text1"/>
                <w:u w:val="none"/>
                <w14:textFill>
                  <w14:solidFill>
                    <w14:schemeClr w14:val="tx1"/>
                  </w14:solidFill>
                </w14:textFill>
              </w:rPr>
            </w:pPr>
            <w:r>
              <w:rPr>
                <w:rFonts w:hint="eastAsia"/>
                <w:b/>
                <w:bCs/>
                <w:color w:val="000000" w:themeColor="text1"/>
                <w:u w:val="none"/>
                <w14:textFill>
                  <w14:solidFill>
                    <w14:schemeClr w14:val="tx1"/>
                  </w14:solidFill>
                </w14:textFill>
              </w:rPr>
              <w:t>（七）运营期</w:t>
            </w:r>
            <w:r>
              <w:rPr>
                <w:b/>
                <w:bCs/>
                <w:color w:val="000000" w:themeColor="text1"/>
                <w:u w:val="none"/>
                <w14:textFill>
                  <w14:solidFill>
                    <w14:schemeClr w14:val="tx1"/>
                  </w14:solidFill>
                </w14:textFill>
              </w:rPr>
              <w:t>环境风险</w:t>
            </w:r>
            <w:r>
              <w:rPr>
                <w:rFonts w:hint="eastAsia"/>
                <w:b/>
                <w:bCs/>
                <w:color w:val="000000" w:themeColor="text1"/>
                <w:u w:val="none"/>
                <w14:textFill>
                  <w14:solidFill>
                    <w14:schemeClr w14:val="tx1"/>
                  </w14:solidFill>
                </w14:textFill>
              </w:rPr>
              <w:t>影响和防治措施</w:t>
            </w:r>
          </w:p>
          <w:p w14:paraId="7F477815">
            <w:pPr>
              <w:bidi w:val="0"/>
            </w:pPr>
            <w:r>
              <w:t>（1）物质识别</w:t>
            </w:r>
          </w:p>
          <w:p w14:paraId="0DA5C219">
            <w:pPr>
              <w:bidi w:val="0"/>
            </w:pPr>
            <w:r>
              <w:t>本项目涉及的危险物质主要为</w:t>
            </w:r>
            <w:r>
              <w:rPr>
                <w:rFonts w:hint="eastAsia"/>
                <w:lang w:eastAsia="zh-CN"/>
              </w:rPr>
              <w:t>油漆、</w:t>
            </w:r>
            <w:r>
              <w:rPr>
                <w:rFonts w:hint="eastAsia"/>
                <w:lang w:val="en-US" w:eastAsia="zh-CN"/>
              </w:rPr>
              <w:t>稀释剂</w:t>
            </w:r>
            <w:r>
              <w:rPr>
                <w:rFonts w:hint="eastAsia"/>
              </w:rPr>
              <w:t>、废机油等</w:t>
            </w:r>
            <w:r>
              <w:t>，主要分布于</w:t>
            </w:r>
            <w:r>
              <w:rPr>
                <w:rFonts w:hint="eastAsia"/>
                <w:lang w:eastAsia="zh-CN"/>
              </w:rPr>
              <w:t>维修车间、</w:t>
            </w:r>
            <w:r>
              <w:t>危废间</w:t>
            </w:r>
            <w:r>
              <w:rPr>
                <w:rFonts w:hint="eastAsia"/>
              </w:rPr>
              <w:t>。</w:t>
            </w:r>
          </w:p>
          <w:p w14:paraId="61C0C633">
            <w:pPr>
              <w:bidi w:val="0"/>
            </w:pPr>
            <w:r>
              <w:t>（2）评价依据</w:t>
            </w:r>
          </w:p>
          <w:p w14:paraId="4F46D17D">
            <w:pPr>
              <w:bidi w:val="0"/>
            </w:pPr>
            <w:r>
              <w:t>根据《建设项目环境风险评价技术导则》（HJ169-2018），危险物质Q值确定表见表</w:t>
            </w:r>
            <w:r>
              <w:rPr>
                <w:rFonts w:hint="eastAsia"/>
              </w:rPr>
              <w:t>4-</w:t>
            </w:r>
            <w:r>
              <w:rPr>
                <w:rFonts w:hint="eastAsia"/>
                <w:lang w:val="en-US" w:eastAsia="zh-CN"/>
              </w:rPr>
              <w:t>11</w:t>
            </w:r>
            <w:r>
              <w:t>。</w:t>
            </w:r>
          </w:p>
          <w:p w14:paraId="453A6CFE">
            <w:pPr>
              <w:bidi w:val="0"/>
              <w:spacing w:line="240" w:lineRule="auto"/>
              <w:ind w:left="0" w:leftChars="0" w:firstLine="0" w:firstLineChars="0"/>
              <w:jc w:val="center"/>
              <w:rPr>
                <w:b/>
                <w:bCs/>
              </w:rPr>
            </w:pPr>
            <w:r>
              <w:rPr>
                <w:b/>
                <w:bCs/>
              </w:rPr>
              <w:t>表</w:t>
            </w:r>
            <w:r>
              <w:rPr>
                <w:rFonts w:hint="eastAsia"/>
                <w:b/>
                <w:bCs/>
              </w:rPr>
              <w:t>4-</w:t>
            </w:r>
            <w:r>
              <w:rPr>
                <w:rFonts w:hint="eastAsia"/>
                <w:b/>
                <w:bCs/>
                <w:lang w:val="en-US" w:eastAsia="zh-CN"/>
              </w:rPr>
              <w:t>11</w:t>
            </w:r>
            <w:r>
              <w:rPr>
                <w:b/>
                <w:bCs/>
              </w:rPr>
              <w:t xml:space="preserve">  项目危险物质数量与临界量比值Q值确定表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777"/>
              <w:gridCol w:w="1433"/>
              <w:gridCol w:w="1360"/>
              <w:gridCol w:w="1446"/>
              <w:gridCol w:w="1361"/>
            </w:tblGrid>
            <w:tr w14:paraId="0E7E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38" w:type="pct"/>
                  <w:tcBorders>
                    <w:tl2br w:val="nil"/>
                    <w:tr2bl w:val="nil"/>
                  </w:tcBorders>
                  <w:noWrap w:val="0"/>
                  <w:vAlign w:val="center"/>
                </w:tcPr>
                <w:p w14:paraId="479648E3">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序号</w:t>
                  </w:r>
                </w:p>
              </w:tc>
              <w:tc>
                <w:tcPr>
                  <w:tcW w:w="1074" w:type="pct"/>
                  <w:tcBorders>
                    <w:tl2br w:val="nil"/>
                    <w:tr2bl w:val="nil"/>
                  </w:tcBorders>
                  <w:noWrap w:val="0"/>
                  <w:vAlign w:val="center"/>
                </w:tcPr>
                <w:p w14:paraId="3E9CC760">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危险物质</w:t>
                  </w:r>
                </w:p>
              </w:tc>
              <w:tc>
                <w:tcPr>
                  <w:tcW w:w="866" w:type="pct"/>
                  <w:tcBorders>
                    <w:tl2br w:val="nil"/>
                    <w:tr2bl w:val="nil"/>
                  </w:tcBorders>
                  <w:noWrap w:val="0"/>
                  <w:vAlign w:val="center"/>
                </w:tcPr>
                <w:p w14:paraId="00F75FD0">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单元内最大存在量t</w:t>
                  </w:r>
                </w:p>
              </w:tc>
              <w:tc>
                <w:tcPr>
                  <w:tcW w:w="822" w:type="pct"/>
                  <w:tcBorders>
                    <w:tl2br w:val="nil"/>
                    <w:tr2bl w:val="nil"/>
                  </w:tcBorders>
                  <w:noWrap w:val="0"/>
                  <w:vAlign w:val="center"/>
                </w:tcPr>
                <w:p w14:paraId="5BA514F0">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临界量t</w:t>
                  </w:r>
                </w:p>
              </w:tc>
              <w:tc>
                <w:tcPr>
                  <w:tcW w:w="874" w:type="pct"/>
                  <w:tcBorders>
                    <w:tl2br w:val="nil"/>
                    <w:tr2bl w:val="nil"/>
                  </w:tcBorders>
                  <w:noWrap w:val="0"/>
                  <w:vAlign w:val="center"/>
                </w:tcPr>
                <w:p w14:paraId="50294005">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q/Q值</w:t>
                  </w:r>
                </w:p>
              </w:tc>
              <w:tc>
                <w:tcPr>
                  <w:tcW w:w="823" w:type="pct"/>
                  <w:tcBorders>
                    <w:tl2br w:val="nil"/>
                    <w:tr2bl w:val="nil"/>
                  </w:tcBorders>
                  <w:noWrap w:val="0"/>
                  <w:vAlign w:val="center"/>
                </w:tcPr>
                <w:p w14:paraId="0B5B50F5">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Q值划分</w:t>
                  </w:r>
                </w:p>
              </w:tc>
            </w:tr>
            <w:tr w14:paraId="4336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38" w:type="pct"/>
                  <w:tcBorders>
                    <w:tl2br w:val="nil"/>
                    <w:tr2bl w:val="nil"/>
                  </w:tcBorders>
                  <w:noWrap w:val="0"/>
                  <w:vAlign w:val="center"/>
                </w:tcPr>
                <w:p w14:paraId="57BC25FC">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w:t>
                  </w:r>
                </w:p>
              </w:tc>
              <w:tc>
                <w:tcPr>
                  <w:tcW w:w="1074" w:type="pct"/>
                  <w:tcBorders>
                    <w:tl2br w:val="nil"/>
                    <w:tr2bl w:val="nil"/>
                  </w:tcBorders>
                  <w:noWrap w:val="0"/>
                  <w:vAlign w:val="center"/>
                </w:tcPr>
                <w:p w14:paraId="34C77436">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油漆</w:t>
                  </w:r>
                </w:p>
              </w:tc>
              <w:tc>
                <w:tcPr>
                  <w:tcW w:w="866" w:type="pct"/>
                  <w:tcBorders>
                    <w:tl2br w:val="nil"/>
                    <w:tr2bl w:val="nil"/>
                  </w:tcBorders>
                  <w:noWrap w:val="0"/>
                  <w:vAlign w:val="center"/>
                </w:tcPr>
                <w:p w14:paraId="6815138D">
                  <w:pPr>
                    <w:pStyle w:val="33"/>
                    <w:widowControl w:val="0"/>
                    <w:tabs>
                      <w:tab w:val="left" w:pos="-2848"/>
                      <w:tab w:val="left" w:pos="2422"/>
                    </w:tabs>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w:t>
                  </w:r>
                  <w:r>
                    <w:rPr>
                      <w:rFonts w:hint="eastAsia" w:eastAsia="宋体" w:cs="Times New Roman"/>
                      <w:color w:val="000000" w:themeColor="text1"/>
                      <w:szCs w:val="21"/>
                      <w:lang w:val="en-US" w:eastAsia="zh-CN"/>
                      <w14:textFill>
                        <w14:solidFill>
                          <w14:schemeClr w14:val="tx1"/>
                        </w14:solidFill>
                      </w14:textFill>
                    </w:rPr>
                    <w:t>2</w:t>
                  </w:r>
                </w:p>
              </w:tc>
              <w:tc>
                <w:tcPr>
                  <w:tcW w:w="822" w:type="pct"/>
                  <w:tcBorders>
                    <w:tl2br w:val="nil"/>
                    <w:tr2bl w:val="nil"/>
                  </w:tcBorders>
                  <w:noWrap w:val="0"/>
                  <w:vAlign w:val="center"/>
                </w:tcPr>
                <w:p w14:paraId="3F65D66A">
                  <w:pPr>
                    <w:pStyle w:val="33"/>
                    <w:widowControl w:val="0"/>
                    <w:tabs>
                      <w:tab w:val="left" w:pos="-2848"/>
                      <w:tab w:val="left" w:pos="2422"/>
                    </w:tabs>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w:t>
                  </w:r>
                </w:p>
              </w:tc>
              <w:tc>
                <w:tcPr>
                  <w:tcW w:w="874" w:type="pct"/>
                  <w:tcBorders>
                    <w:tl2br w:val="nil"/>
                    <w:tr2bl w:val="nil"/>
                  </w:tcBorders>
                  <w:noWrap w:val="0"/>
                  <w:vAlign w:val="center"/>
                </w:tcPr>
                <w:p w14:paraId="6A708765">
                  <w:pPr>
                    <w:pStyle w:val="33"/>
                    <w:widowControl w:val="0"/>
                    <w:tabs>
                      <w:tab w:val="left" w:pos="-2848"/>
                      <w:tab w:val="left" w:pos="2422"/>
                    </w:tabs>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w:t>
                  </w:r>
                  <w:r>
                    <w:rPr>
                      <w:rFonts w:hint="eastAsia" w:eastAsia="宋体" w:cs="Times New Roman"/>
                      <w:color w:val="000000" w:themeColor="text1"/>
                      <w:szCs w:val="21"/>
                      <w:lang w:val="en-US" w:eastAsia="zh-CN"/>
                      <w14:textFill>
                        <w14:solidFill>
                          <w14:schemeClr w14:val="tx1"/>
                        </w14:solidFill>
                      </w14:textFill>
                    </w:rPr>
                    <w:t>2</w:t>
                  </w:r>
                </w:p>
              </w:tc>
              <w:tc>
                <w:tcPr>
                  <w:tcW w:w="823" w:type="pct"/>
                  <w:vMerge w:val="restart"/>
                  <w:tcBorders>
                    <w:tl2br w:val="nil"/>
                    <w:tr2bl w:val="nil"/>
                  </w:tcBorders>
                  <w:noWrap w:val="0"/>
                  <w:vAlign w:val="center"/>
                </w:tcPr>
                <w:p w14:paraId="086A1B31">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Q</w:t>
                  </w:r>
                  <w:r>
                    <w:rPr>
                      <w:rFonts w:hint="eastAsia" w:ascii="Times New Roman" w:hAnsi="Times New Roman" w:eastAsia="宋体" w:cs="Times New Roman"/>
                      <w:color w:val="000000" w:themeColor="text1"/>
                      <w:szCs w:val="21"/>
                      <w:lang w:val="en-US" w:eastAsia="zh-CN"/>
                      <w14:textFill>
                        <w14:solidFill>
                          <w14:schemeClr w14:val="tx1"/>
                        </w14:solidFill>
                      </w14:textFill>
                    </w:rPr>
                    <w:t>=0.02</w:t>
                  </w:r>
                  <w:r>
                    <w:rPr>
                      <w:rFonts w:hint="eastAsia" w:eastAsia="宋体" w:cs="Times New Roman"/>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eastAsia" w:ascii="Times New Roman" w:hAnsi="Times New Roman" w:eastAsia="宋体" w:cs="Times New Roman"/>
                      <w:color w:val="000000" w:themeColor="text1"/>
                      <w:szCs w:val="21"/>
                      <w14:textFill>
                        <w14:solidFill>
                          <w14:schemeClr w14:val="tx1"/>
                        </w14:solidFill>
                      </w14:textFill>
                    </w:rPr>
                    <w:t>＜1</w:t>
                  </w:r>
                </w:p>
              </w:tc>
            </w:tr>
            <w:tr w14:paraId="6672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38" w:type="pct"/>
                  <w:tcBorders>
                    <w:tl2br w:val="nil"/>
                    <w:tr2bl w:val="nil"/>
                  </w:tcBorders>
                  <w:noWrap w:val="0"/>
                  <w:vAlign w:val="center"/>
                </w:tcPr>
                <w:p w14:paraId="5F90A101">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w:t>
                  </w:r>
                </w:p>
              </w:tc>
              <w:tc>
                <w:tcPr>
                  <w:tcW w:w="1074" w:type="pct"/>
                  <w:tcBorders>
                    <w:tl2br w:val="nil"/>
                    <w:tr2bl w:val="nil"/>
                  </w:tcBorders>
                  <w:noWrap w:val="0"/>
                  <w:vAlign w:val="center"/>
                </w:tcPr>
                <w:p w14:paraId="0DE8FF6C">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稀释剂</w:t>
                  </w:r>
                </w:p>
              </w:tc>
              <w:tc>
                <w:tcPr>
                  <w:tcW w:w="866" w:type="pct"/>
                  <w:tcBorders>
                    <w:tl2br w:val="nil"/>
                    <w:tr2bl w:val="nil"/>
                  </w:tcBorders>
                  <w:noWrap w:val="0"/>
                  <w:vAlign w:val="center"/>
                </w:tcPr>
                <w:p w14:paraId="3CDBF805">
                  <w:pPr>
                    <w:pStyle w:val="33"/>
                    <w:widowControl w:val="0"/>
                    <w:tabs>
                      <w:tab w:val="left" w:pos="-2848"/>
                      <w:tab w:val="left" w:pos="2422"/>
                    </w:tabs>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0.075</w:t>
                  </w:r>
                </w:p>
              </w:tc>
              <w:tc>
                <w:tcPr>
                  <w:tcW w:w="822" w:type="pct"/>
                  <w:tcBorders>
                    <w:tl2br w:val="nil"/>
                    <w:tr2bl w:val="nil"/>
                  </w:tcBorders>
                  <w:noWrap w:val="0"/>
                  <w:vAlign w:val="center"/>
                </w:tcPr>
                <w:p w14:paraId="1AE99CEE">
                  <w:pPr>
                    <w:pStyle w:val="33"/>
                    <w:widowControl w:val="0"/>
                    <w:tabs>
                      <w:tab w:val="left" w:pos="-2848"/>
                      <w:tab w:val="left" w:pos="2422"/>
                    </w:tabs>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w:t>
                  </w:r>
                </w:p>
              </w:tc>
              <w:tc>
                <w:tcPr>
                  <w:tcW w:w="874" w:type="pct"/>
                  <w:tcBorders>
                    <w:tl2br w:val="nil"/>
                    <w:tr2bl w:val="nil"/>
                  </w:tcBorders>
                  <w:noWrap w:val="0"/>
                  <w:vAlign w:val="center"/>
                </w:tcPr>
                <w:p w14:paraId="2D578F3F">
                  <w:pPr>
                    <w:pStyle w:val="33"/>
                    <w:widowControl w:val="0"/>
                    <w:tabs>
                      <w:tab w:val="left" w:pos="-2848"/>
                      <w:tab w:val="left" w:pos="2422"/>
                    </w:tabs>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0.0075</w:t>
                  </w:r>
                </w:p>
              </w:tc>
              <w:tc>
                <w:tcPr>
                  <w:tcW w:w="823" w:type="pct"/>
                  <w:vMerge w:val="continue"/>
                  <w:tcBorders>
                    <w:tl2br w:val="nil"/>
                    <w:tr2bl w:val="nil"/>
                  </w:tcBorders>
                  <w:noWrap w:val="0"/>
                  <w:vAlign w:val="center"/>
                </w:tcPr>
                <w:p w14:paraId="1A8B83DA">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p>
              </w:tc>
            </w:tr>
            <w:tr w14:paraId="65AB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38" w:type="pct"/>
                  <w:tcBorders>
                    <w:tl2br w:val="nil"/>
                    <w:tr2bl w:val="nil"/>
                  </w:tcBorders>
                  <w:noWrap w:val="0"/>
                  <w:vAlign w:val="center"/>
                </w:tcPr>
                <w:p w14:paraId="0BEFD13B">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w:t>
                  </w:r>
                </w:p>
              </w:tc>
              <w:tc>
                <w:tcPr>
                  <w:tcW w:w="1074" w:type="pct"/>
                  <w:tcBorders>
                    <w:tl2br w:val="nil"/>
                    <w:tr2bl w:val="nil"/>
                  </w:tcBorders>
                  <w:noWrap w:val="0"/>
                  <w:vAlign w:val="center"/>
                </w:tcPr>
                <w:p w14:paraId="0027BE55">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机油</w:t>
                  </w:r>
                  <w:r>
                    <w:rPr>
                      <w:rFonts w:hint="eastAsia" w:ascii="Times New Roman" w:hAnsi="Times New Roman" w:eastAsia="宋体" w:cs="Times New Roman"/>
                      <w:color w:val="000000" w:themeColor="text1"/>
                      <w:szCs w:val="21"/>
                      <w:lang w:eastAsia="zh-CN"/>
                      <w14:textFill>
                        <w14:solidFill>
                          <w14:schemeClr w14:val="tx1"/>
                        </w14:solidFill>
                      </w14:textFill>
                    </w:rPr>
                    <w:t>（矿物油）</w:t>
                  </w:r>
                </w:p>
              </w:tc>
              <w:tc>
                <w:tcPr>
                  <w:tcW w:w="866" w:type="pct"/>
                  <w:tcBorders>
                    <w:tl2br w:val="nil"/>
                    <w:tr2bl w:val="nil"/>
                  </w:tcBorders>
                  <w:noWrap w:val="0"/>
                  <w:vAlign w:val="center"/>
                </w:tcPr>
                <w:p w14:paraId="5855AD05">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822" w:type="pct"/>
                  <w:tcBorders>
                    <w:tl2br w:val="nil"/>
                    <w:tr2bl w:val="nil"/>
                  </w:tcBorders>
                  <w:noWrap w:val="0"/>
                  <w:vAlign w:val="center"/>
                </w:tcPr>
                <w:p w14:paraId="2D624D55">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2500</w:t>
                  </w:r>
                </w:p>
              </w:tc>
              <w:tc>
                <w:tcPr>
                  <w:tcW w:w="874" w:type="pct"/>
                  <w:tcBorders>
                    <w:tl2br w:val="nil"/>
                    <w:tr2bl w:val="nil"/>
                  </w:tcBorders>
                  <w:noWrap w:val="0"/>
                  <w:vAlign w:val="center"/>
                </w:tcPr>
                <w:p w14:paraId="28862C86">
                  <w:pPr>
                    <w:pStyle w:val="33"/>
                    <w:widowControl w:val="0"/>
                    <w:tabs>
                      <w:tab w:val="left" w:pos="-2848"/>
                      <w:tab w:val="left" w:pos="2422"/>
                    </w:tabs>
                    <w:snapToGrid/>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0.0016</w:t>
                  </w:r>
                </w:p>
              </w:tc>
              <w:tc>
                <w:tcPr>
                  <w:tcW w:w="823" w:type="pct"/>
                  <w:vMerge w:val="continue"/>
                  <w:tcBorders>
                    <w:tl2br w:val="nil"/>
                    <w:tr2bl w:val="nil"/>
                  </w:tcBorders>
                  <w:noWrap w:val="0"/>
                  <w:vAlign w:val="center"/>
                </w:tcPr>
                <w:p w14:paraId="02A37EDA">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14:textFill>
                        <w14:solidFill>
                          <w14:schemeClr w14:val="tx1"/>
                        </w14:solidFill>
                      </w14:textFill>
                    </w:rPr>
                  </w:pPr>
                </w:p>
              </w:tc>
            </w:tr>
          </w:tbl>
          <w:p w14:paraId="75D3F4CC">
            <w:pPr>
              <w:bidi w:val="0"/>
            </w:pPr>
            <w:r>
              <w:t>注：＜1时，该项目环境风险潜势为</w:t>
            </w:r>
            <w:r>
              <w:rPr>
                <w:rFonts w:hint="eastAsia"/>
              </w:rPr>
              <w:t>Ⅰ</w:t>
            </w:r>
            <w:r>
              <w:t>。</w:t>
            </w:r>
          </w:p>
          <w:p w14:paraId="7445772C">
            <w:pPr>
              <w:bidi w:val="0"/>
            </w:pPr>
            <w:r>
              <w:t>按照《建设项目环境风险评价技术导则》导则要求，Q</w:t>
            </w:r>
            <w:r>
              <w:rPr>
                <w:rFonts w:hint="eastAsia"/>
              </w:rPr>
              <w:t>=</w:t>
            </w:r>
            <w:r>
              <w:rPr>
                <w:rFonts w:hint="eastAsia"/>
                <w:lang w:val="en-US" w:eastAsia="zh-CN"/>
              </w:rPr>
              <w:t>0.0291</w:t>
            </w:r>
            <w:r>
              <w:t>＜1时，风险潜势为I，进行简单分析。该项目Q值＜1，故该项目环境风险评价等级为简单分析。</w:t>
            </w:r>
          </w:p>
          <w:p w14:paraId="7B75CAC4">
            <w:pPr>
              <w:bidi w:val="0"/>
            </w:pPr>
            <w:bookmarkStart w:id="18" w:name="_Toc4835424"/>
            <w:bookmarkStart w:id="19" w:name="_Toc7246170"/>
            <w:r>
              <w:t>（</w:t>
            </w:r>
            <w:r>
              <w:rPr>
                <w:rFonts w:hint="eastAsia"/>
              </w:rPr>
              <w:t>3</w:t>
            </w:r>
            <w:r>
              <w:t>）</w:t>
            </w:r>
            <w:bookmarkEnd w:id="18"/>
            <w:bookmarkEnd w:id="19"/>
            <w:r>
              <w:t>环境风险分析</w:t>
            </w:r>
          </w:p>
          <w:p w14:paraId="6947B46D">
            <w:pPr>
              <w:bidi w:val="0"/>
            </w:pPr>
            <w:r>
              <w:t>在事故状态下，</w:t>
            </w:r>
            <w:r>
              <w:rPr>
                <w:rFonts w:hint="eastAsia"/>
              </w:rPr>
              <w:t>危险物质会</w:t>
            </w:r>
            <w:r>
              <w:t>引起事故泄漏，遇明火引发火灾、爆炸伴生/次生污染物排放及中毒。</w:t>
            </w:r>
            <w:r>
              <w:rPr>
                <w:rFonts w:hint="eastAsia"/>
                <w:lang w:eastAsia="zh-CN"/>
              </w:rPr>
              <w:t>油漆、稀释剂、</w:t>
            </w:r>
            <w:r>
              <w:rPr>
                <w:rFonts w:hint="eastAsia"/>
              </w:rPr>
              <w:t>废机油、废抹布、废过滤棉和</w:t>
            </w:r>
            <w:r>
              <w:t>废活性炭</w:t>
            </w:r>
            <w:r>
              <w:rPr>
                <w:rFonts w:hint="eastAsia"/>
              </w:rPr>
              <w:t>等</w:t>
            </w:r>
            <w:r>
              <w:t>遇热源和明火燃烧引起火灾事故后，</w:t>
            </w:r>
            <w:r>
              <w:rPr>
                <w:rFonts w:hint="eastAsia"/>
              </w:rPr>
              <w:t>会发生</w:t>
            </w:r>
            <w:r>
              <w:t>爆炸</w:t>
            </w:r>
            <w:r>
              <w:rPr>
                <w:rFonts w:hint="eastAsia"/>
              </w:rPr>
              <w:t>并伴随</w:t>
            </w:r>
            <w:r>
              <w:t>伴生/次生污染物</w:t>
            </w:r>
            <w:r>
              <w:rPr>
                <w:rFonts w:hint="eastAsia"/>
              </w:rPr>
              <w:t>CO</w:t>
            </w:r>
            <w:r>
              <w:t>排放</w:t>
            </w:r>
            <w:r>
              <w:rPr>
                <w:rFonts w:hint="eastAsia"/>
              </w:rPr>
              <w:t>，会产生</w:t>
            </w:r>
            <w:r>
              <w:t>中毒</w:t>
            </w:r>
            <w:r>
              <w:rPr>
                <w:rFonts w:hint="eastAsia"/>
              </w:rPr>
              <w:t>现象，项目</w:t>
            </w:r>
            <w:r>
              <w:t>仅在事故刚发生时会产生少量有毒气体，且很快就能扩散，不会长期影响空气质量</w:t>
            </w:r>
            <w:r>
              <w:rPr>
                <w:rFonts w:hint="eastAsia"/>
              </w:rPr>
              <w:t>；</w:t>
            </w:r>
            <w:r>
              <w:t>对项目拟建地周围环境不会造成较大污染。</w:t>
            </w:r>
          </w:p>
          <w:p w14:paraId="03A9879B">
            <w:pPr>
              <w:bidi w:val="0"/>
            </w:pPr>
            <w:r>
              <w:t>本项目一旦发生危险物质泄漏事故，对</w:t>
            </w:r>
            <w:r>
              <w:rPr>
                <w:rFonts w:hint="eastAsia"/>
                <w:lang w:eastAsia="zh-CN"/>
              </w:rPr>
              <w:t>4S店</w:t>
            </w:r>
            <w:r>
              <w:t>及周边工作人员造成一定影响，所以，发生事故后，应立即采取相应的应急预案，要求在10分钟内采取堵漏措施，并对周围受影响的人员进行疏散，避免人员伤亡。故不会对附近居住区居民产生明显影响。</w:t>
            </w:r>
          </w:p>
          <w:p w14:paraId="75D855C8">
            <w:pPr>
              <w:bidi w:val="0"/>
              <w:rPr>
                <w:rFonts w:hint="eastAsia"/>
              </w:rPr>
            </w:pPr>
            <w:r>
              <w:rPr>
                <w:rFonts w:hint="eastAsia"/>
              </w:rPr>
              <w:t>（4）环境风险措施</w:t>
            </w:r>
          </w:p>
          <w:p w14:paraId="44510DB6">
            <w:pPr>
              <w:bidi w:val="0"/>
            </w:pPr>
            <w:r>
              <w:rPr>
                <w:rFonts w:hint="eastAsia"/>
              </w:rPr>
              <w:t>①</w:t>
            </w:r>
            <w:r>
              <w:t>加强风险管理</w:t>
            </w:r>
          </w:p>
          <w:p w14:paraId="2F7F5DC9">
            <w:pPr>
              <w:bidi w:val="0"/>
            </w:pPr>
            <w:r>
              <w:t>a.必须将“安全第一、预防为主”作为企业经营的基本原则。</w:t>
            </w:r>
          </w:p>
          <w:p w14:paraId="6F861F94">
            <w:pPr>
              <w:bidi w:val="0"/>
            </w:pPr>
            <w:r>
              <w:t>b.必须进行广泛系统的培训，使所有工作人员熟悉自己的岗位要求，树立严谨规范的工作作风，并且在紧急状况下，能及时、准确的实施相关应急措施和自我保护措施。</w:t>
            </w:r>
          </w:p>
          <w:p w14:paraId="695AB32D">
            <w:pPr>
              <w:bidi w:val="0"/>
            </w:pPr>
            <w:r>
              <w:t>c.设立环保安全专岗，由具有丰富经验的人任职，负责环保、安全管理。</w:t>
            </w:r>
          </w:p>
          <w:p w14:paraId="6D30152D">
            <w:pPr>
              <w:bidi w:val="0"/>
            </w:pPr>
            <w:r>
              <w:t>d.建立完备的应急组织体系。建立风险应急领导小组，落实厂内应急防范措施，并及时将发生的事故上报当地政府、安全、消防、环保、应急办等相关部门。</w:t>
            </w:r>
          </w:p>
          <w:p w14:paraId="210B6C64">
            <w:pPr>
              <w:bidi w:val="0"/>
            </w:pPr>
            <w:r>
              <w:t>e.要严格遵守《仓库防火安全管理规则》和《建筑设计防火规范》中有关危险废物贮存的安全规定。</w:t>
            </w:r>
          </w:p>
          <w:p w14:paraId="3B763905">
            <w:pPr>
              <w:bidi w:val="0"/>
            </w:pPr>
            <w:r>
              <w:t>f.配备必要的应急装备（急救箱、紧急洗眼器、防毒面具）。</w:t>
            </w:r>
          </w:p>
          <w:p w14:paraId="0068BAA4">
            <w:pPr>
              <w:bidi w:val="0"/>
            </w:pPr>
            <w:r>
              <w:rPr>
                <w:rFonts w:hint="eastAsia"/>
              </w:rPr>
              <w:t>②</w:t>
            </w:r>
            <w:r>
              <w:rPr>
                <w:rFonts w:hint="eastAsia"/>
                <w:lang w:eastAsia="zh-CN"/>
              </w:rPr>
              <w:t>泄漏</w:t>
            </w:r>
            <w:r>
              <w:t>风险防范措施</w:t>
            </w:r>
          </w:p>
          <w:p w14:paraId="1C99FAF6">
            <w:pPr>
              <w:bidi w:val="0"/>
            </w:pPr>
            <w:r>
              <w:t>a.加强</w:t>
            </w:r>
            <w:r>
              <w:rPr>
                <w:rFonts w:hint="eastAsia"/>
                <w:lang w:eastAsia="zh-CN"/>
              </w:rPr>
              <w:t>危险废物贮存库</w:t>
            </w:r>
            <w:r>
              <w:t>的监控，如发现</w:t>
            </w:r>
            <w:r>
              <w:rPr>
                <w:rFonts w:hint="eastAsia"/>
                <w:lang w:eastAsia="zh-CN"/>
              </w:rPr>
              <w:t>泄漏</w:t>
            </w:r>
            <w:r>
              <w:t>及时将</w:t>
            </w:r>
            <w:r>
              <w:rPr>
                <w:rFonts w:hint="eastAsia"/>
                <w:lang w:eastAsia="zh-CN"/>
              </w:rPr>
              <w:t>泄漏</w:t>
            </w:r>
            <w:r>
              <w:t>液收集回收到新的油桶中存储，处理事故产生的废抹布、废手套等固体废物暂存于</w:t>
            </w:r>
            <w:r>
              <w:rPr>
                <w:rFonts w:hint="eastAsia"/>
              </w:rPr>
              <w:t>废机油及废液压油暂存区</w:t>
            </w:r>
            <w:r>
              <w:t>设置的专用收集桶内，定期委托有资质单位处理。</w:t>
            </w:r>
          </w:p>
          <w:p w14:paraId="54BB0E16">
            <w:pPr>
              <w:bidi w:val="0"/>
            </w:pPr>
            <w:r>
              <w:t>b.</w:t>
            </w:r>
            <w:r>
              <w:rPr>
                <w:rFonts w:hint="eastAsia"/>
              </w:rPr>
              <w:t>危险废物</w:t>
            </w:r>
            <w:r>
              <w:t>的装卸、搬运、存储过程，工人注意规范操作，轻拿轻放，防止发生倾斜碰撞发生破损。</w:t>
            </w:r>
          </w:p>
          <w:p w14:paraId="4ACEC728">
            <w:pPr>
              <w:bidi w:val="0"/>
            </w:pPr>
            <w:r>
              <w:t>c.储存库内设置安全照明设施和观察窗口用于日常检查，设置监控系统2套，若发生</w:t>
            </w:r>
            <w:r>
              <w:rPr>
                <w:rFonts w:hint="eastAsia"/>
                <w:lang w:eastAsia="zh-CN"/>
              </w:rPr>
              <w:t>泄漏</w:t>
            </w:r>
            <w:r>
              <w:t>事故，通过监控系统值班人员能够及时发现并处理。</w:t>
            </w:r>
          </w:p>
          <w:p w14:paraId="7A9BFFF9">
            <w:pPr>
              <w:bidi w:val="0"/>
            </w:pPr>
            <w:r>
              <w:t>d.项目</w:t>
            </w:r>
            <w:r>
              <w:rPr>
                <w:rFonts w:hint="eastAsia"/>
              </w:rPr>
              <w:t>液态危险废物如废机油、废液压油等</w:t>
            </w:r>
            <w:r>
              <w:t>存储</w:t>
            </w:r>
            <w:r>
              <w:rPr>
                <w:rFonts w:hint="eastAsia"/>
              </w:rPr>
              <w:t>均</w:t>
            </w:r>
            <w:r>
              <w:t>采用桶装</w:t>
            </w:r>
            <w:r>
              <w:rPr>
                <w:rFonts w:hint="eastAsia"/>
              </w:rPr>
              <w:t>盛放</w:t>
            </w:r>
            <w:r>
              <w:t>，</w:t>
            </w:r>
            <w:r>
              <w:rPr>
                <w:rFonts w:hint="eastAsia"/>
              </w:rPr>
              <w:t>四周设置截流</w:t>
            </w:r>
            <w:r>
              <w:t>槽</w:t>
            </w:r>
            <w:r>
              <w:rPr>
                <w:rFonts w:hint="eastAsia"/>
              </w:rPr>
              <w:t>，</w:t>
            </w:r>
            <w:r>
              <w:t>若发生</w:t>
            </w:r>
            <w:r>
              <w:rPr>
                <w:rFonts w:hint="eastAsia"/>
                <w:lang w:eastAsia="zh-CN"/>
              </w:rPr>
              <w:t>泄漏</w:t>
            </w:r>
            <w:r>
              <w:t>，可接收</w:t>
            </w:r>
            <w:r>
              <w:rPr>
                <w:rFonts w:hint="eastAsia"/>
                <w:lang w:eastAsia="zh-CN"/>
              </w:rPr>
              <w:t>泄漏</w:t>
            </w:r>
            <w:r>
              <w:t>的废液，</w:t>
            </w:r>
            <w:r>
              <w:rPr>
                <w:rFonts w:hint="eastAsia"/>
              </w:rPr>
              <w:t>截流</w:t>
            </w:r>
            <w:r>
              <w:t>槽高度0.2m。</w:t>
            </w:r>
          </w:p>
          <w:p w14:paraId="200034FA">
            <w:pPr>
              <w:bidi w:val="0"/>
            </w:pPr>
            <w:r>
              <w:rPr>
                <w:rFonts w:hint="eastAsia"/>
              </w:rPr>
              <w:t>③</w:t>
            </w:r>
            <w:r>
              <w:t>火灾风险防范措施</w:t>
            </w:r>
          </w:p>
          <w:p w14:paraId="3D8D30F7">
            <w:pPr>
              <w:bidi w:val="0"/>
            </w:pPr>
            <w:r>
              <w:t>a.按规定建设消防设施，划分禁火区域，消防设施配置</w:t>
            </w:r>
            <w:r>
              <w:rPr>
                <w:rFonts w:hint="eastAsia"/>
                <w:lang w:val="en-US" w:eastAsia="zh-CN"/>
              </w:rPr>
              <w:t>了若干</w:t>
            </w:r>
            <w:r>
              <w:t>灭火器、消防沙、消防栓等消防设施。消防给水压力低压给水时，水压应不低于0.2MPa，高压给水时，水压宜在0.7～1.2Mpa；水量应能保证连续供应最大需水量4h。</w:t>
            </w:r>
          </w:p>
          <w:p w14:paraId="1C100835">
            <w:pPr>
              <w:bidi w:val="0"/>
            </w:pPr>
            <w:r>
              <w:t>b.</w:t>
            </w:r>
            <w:r>
              <w:rPr>
                <w:rFonts w:hint="eastAsia"/>
                <w:lang w:eastAsia="zh-CN"/>
              </w:rPr>
              <w:t>危险废物贮存库</w:t>
            </w:r>
            <w:r>
              <w:t>内严禁吸烟、严禁携带火种进入。</w:t>
            </w:r>
          </w:p>
          <w:p w14:paraId="0AEEB518">
            <w:pPr>
              <w:bidi w:val="0"/>
            </w:pPr>
            <w:r>
              <w:t>c.按照消防管理的要求设施避雷装置，避免因雷击等因素引发火灾。</w:t>
            </w:r>
          </w:p>
          <w:p w14:paraId="5B34C1F1">
            <w:pPr>
              <w:bidi w:val="0"/>
            </w:pPr>
            <w:r>
              <w:t>d.</w:t>
            </w:r>
            <w:r>
              <w:rPr>
                <w:rFonts w:hint="eastAsia"/>
                <w:lang w:eastAsia="zh-CN"/>
              </w:rPr>
              <w:t>危险废物贮存库</w:t>
            </w:r>
            <w:r>
              <w:t>设有可燃气体探测器，对可燃气体进行报警，并设监控系统。</w:t>
            </w:r>
          </w:p>
          <w:p w14:paraId="33FC6B78">
            <w:pPr>
              <w:bidi w:val="0"/>
              <w:rPr>
                <w:rFonts w:hint="eastAsia"/>
              </w:rPr>
            </w:pPr>
            <w:r>
              <w:rPr>
                <w:rFonts w:hint="eastAsia"/>
              </w:rPr>
              <w:t>④环境风险事故应急预案</w:t>
            </w:r>
          </w:p>
          <w:p w14:paraId="10257A02">
            <w:pPr>
              <w:bidi w:val="0"/>
            </w:pPr>
            <w:r>
              <w:t>对于重大或不可接受的风险，制定应急响应方案，建立应急反应体系，当事件一旦发生时可迅速加以控制，使危害和损失降低到尽可能低的程度。应急预案主要内容见表</w:t>
            </w:r>
            <w:r>
              <w:rPr>
                <w:rFonts w:hint="eastAsia"/>
              </w:rPr>
              <w:t>4-</w:t>
            </w:r>
            <w:r>
              <w:rPr>
                <w:rFonts w:hint="eastAsia"/>
                <w:lang w:val="en-US" w:eastAsia="zh-CN"/>
              </w:rPr>
              <w:t>12</w:t>
            </w:r>
            <w:r>
              <w:t>。</w:t>
            </w:r>
          </w:p>
          <w:p w14:paraId="24BAF849">
            <w:pPr>
              <w:bidi w:val="0"/>
              <w:spacing w:line="240" w:lineRule="auto"/>
              <w:ind w:left="0" w:leftChars="0" w:firstLine="0" w:firstLineChars="0"/>
              <w:jc w:val="center"/>
              <w:rPr>
                <w:b/>
                <w:bCs/>
              </w:rPr>
            </w:pPr>
            <w:r>
              <w:rPr>
                <w:b/>
                <w:bCs/>
              </w:rPr>
              <w:t>表</w:t>
            </w:r>
            <w:r>
              <w:rPr>
                <w:rFonts w:hint="eastAsia"/>
                <w:b/>
                <w:bCs/>
              </w:rPr>
              <w:t>4-</w:t>
            </w:r>
            <w:r>
              <w:rPr>
                <w:rFonts w:hint="eastAsia"/>
                <w:b/>
                <w:bCs/>
                <w:lang w:val="en-US" w:eastAsia="zh-CN"/>
              </w:rPr>
              <w:t>12</w:t>
            </w:r>
            <w:r>
              <w:rPr>
                <w:rFonts w:hint="eastAsia"/>
                <w:b/>
                <w:bCs/>
              </w:rPr>
              <w:t xml:space="preserve">   </w:t>
            </w:r>
            <w:r>
              <w:rPr>
                <w:b/>
                <w:bCs/>
              </w:rPr>
              <w:t>本项目突发性事故的应急预案</w:t>
            </w:r>
          </w:p>
          <w:tbl>
            <w:tblPr>
              <w:tblStyle w:val="26"/>
              <w:tblW w:w="4999" w:type="pct"/>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2046"/>
              <w:gridCol w:w="5514"/>
            </w:tblGrid>
            <w:tr w14:paraId="724C316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4" w:type="pct"/>
                  <w:tcBorders>
                    <w:tl2br w:val="nil"/>
                    <w:tr2bl w:val="nil"/>
                  </w:tcBorders>
                  <w:noWrap w:val="0"/>
                  <w:vAlign w:val="center"/>
                </w:tcPr>
                <w:p w14:paraId="32E568D9">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序号</w:t>
                  </w:r>
                </w:p>
              </w:tc>
              <w:tc>
                <w:tcPr>
                  <w:tcW w:w="1238" w:type="pct"/>
                  <w:tcBorders>
                    <w:tl2br w:val="nil"/>
                    <w:tr2bl w:val="nil"/>
                  </w:tcBorders>
                  <w:noWrap w:val="0"/>
                  <w:vAlign w:val="center"/>
                </w:tcPr>
                <w:p w14:paraId="617B5BD6">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项目</w:t>
                  </w:r>
                </w:p>
              </w:tc>
              <w:tc>
                <w:tcPr>
                  <w:tcW w:w="3336" w:type="pct"/>
                  <w:tcBorders>
                    <w:tl2br w:val="nil"/>
                    <w:tr2bl w:val="nil"/>
                  </w:tcBorders>
                  <w:noWrap w:val="0"/>
                  <w:vAlign w:val="center"/>
                </w:tcPr>
                <w:p w14:paraId="519B959A">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内容及要求</w:t>
                  </w:r>
                </w:p>
              </w:tc>
            </w:tr>
            <w:tr w14:paraId="3D5D25E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4" w:type="pct"/>
                  <w:tcBorders>
                    <w:tl2br w:val="nil"/>
                    <w:tr2bl w:val="nil"/>
                  </w:tcBorders>
                  <w:noWrap w:val="0"/>
                  <w:vAlign w:val="center"/>
                </w:tcPr>
                <w:p w14:paraId="67ECADE8">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1</w:t>
                  </w:r>
                </w:p>
              </w:tc>
              <w:tc>
                <w:tcPr>
                  <w:tcW w:w="1238" w:type="pct"/>
                  <w:tcBorders>
                    <w:tl2br w:val="nil"/>
                    <w:tr2bl w:val="nil"/>
                  </w:tcBorders>
                  <w:noWrap w:val="0"/>
                  <w:vAlign w:val="center"/>
                </w:tcPr>
                <w:p w14:paraId="118FA8A9">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应急计划区</w:t>
                  </w:r>
                </w:p>
              </w:tc>
              <w:tc>
                <w:tcPr>
                  <w:tcW w:w="3336" w:type="pct"/>
                  <w:tcBorders>
                    <w:tl2br w:val="nil"/>
                    <w:tr2bl w:val="nil"/>
                  </w:tcBorders>
                  <w:noWrap w:val="0"/>
                  <w:vAlign w:val="center"/>
                </w:tcPr>
                <w:p w14:paraId="13612A7B">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危险源（危险废物贮存库）</w:t>
                  </w:r>
                </w:p>
              </w:tc>
            </w:tr>
            <w:tr w14:paraId="3C1A60D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24" w:type="pct"/>
                  <w:tcBorders>
                    <w:tl2br w:val="nil"/>
                    <w:tr2bl w:val="nil"/>
                  </w:tcBorders>
                  <w:noWrap w:val="0"/>
                  <w:vAlign w:val="center"/>
                </w:tcPr>
                <w:p w14:paraId="69A546FE">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2</w:t>
                  </w:r>
                </w:p>
              </w:tc>
              <w:tc>
                <w:tcPr>
                  <w:tcW w:w="1238" w:type="pct"/>
                  <w:tcBorders>
                    <w:tl2br w:val="nil"/>
                    <w:tr2bl w:val="nil"/>
                  </w:tcBorders>
                  <w:noWrap w:val="0"/>
                  <w:vAlign w:val="center"/>
                </w:tcPr>
                <w:p w14:paraId="7C2EC76B">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应急组织机构、人员</w:t>
                  </w:r>
                </w:p>
              </w:tc>
              <w:tc>
                <w:tcPr>
                  <w:tcW w:w="3336" w:type="pct"/>
                  <w:tcBorders>
                    <w:tl2br w:val="nil"/>
                    <w:tr2bl w:val="nil"/>
                  </w:tcBorders>
                  <w:noWrap w:val="0"/>
                  <w:vAlign w:val="center"/>
                </w:tcPr>
                <w:p w14:paraId="034B7F28">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实施三级应急组职机构，各级别主要负责人为应急计划、协调第一人，应急人员必须为培训上岗熟练工；区域应急组织结构由当地政府、相关行业专家、卫生安全相关单位组成，并由当地政府进行统一调度</w:t>
                  </w:r>
                </w:p>
              </w:tc>
            </w:tr>
            <w:tr w14:paraId="6ED7EE7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24" w:type="pct"/>
                  <w:tcBorders>
                    <w:tl2br w:val="nil"/>
                    <w:tr2bl w:val="nil"/>
                  </w:tcBorders>
                  <w:noWrap w:val="0"/>
                  <w:vAlign w:val="center"/>
                </w:tcPr>
                <w:p w14:paraId="1F98D353">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3</w:t>
                  </w:r>
                </w:p>
              </w:tc>
              <w:tc>
                <w:tcPr>
                  <w:tcW w:w="1238" w:type="pct"/>
                  <w:tcBorders>
                    <w:tl2br w:val="nil"/>
                    <w:tr2bl w:val="nil"/>
                  </w:tcBorders>
                  <w:noWrap w:val="0"/>
                  <w:vAlign w:val="center"/>
                </w:tcPr>
                <w:p w14:paraId="7265E198">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预案分级响应条件</w:t>
                  </w:r>
                </w:p>
              </w:tc>
              <w:tc>
                <w:tcPr>
                  <w:tcW w:w="3336" w:type="pct"/>
                  <w:tcBorders>
                    <w:tl2br w:val="nil"/>
                    <w:tr2bl w:val="nil"/>
                  </w:tcBorders>
                  <w:noWrap w:val="0"/>
                  <w:vAlign w:val="center"/>
                </w:tcPr>
                <w:p w14:paraId="2D10FC6D">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根据事故的严重程度制定相应级别的应急预案，以及适合相应情况的处理措施</w:t>
                  </w:r>
                </w:p>
              </w:tc>
            </w:tr>
            <w:tr w14:paraId="3342569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4" w:type="pct"/>
                  <w:tcBorders>
                    <w:tl2br w:val="nil"/>
                    <w:tr2bl w:val="nil"/>
                  </w:tcBorders>
                  <w:noWrap w:val="0"/>
                  <w:vAlign w:val="center"/>
                </w:tcPr>
                <w:p w14:paraId="0B53C928">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4</w:t>
                  </w:r>
                </w:p>
              </w:tc>
              <w:tc>
                <w:tcPr>
                  <w:tcW w:w="1238" w:type="pct"/>
                  <w:tcBorders>
                    <w:tl2br w:val="nil"/>
                    <w:tr2bl w:val="nil"/>
                  </w:tcBorders>
                  <w:noWrap w:val="0"/>
                  <w:vAlign w:val="center"/>
                </w:tcPr>
                <w:p w14:paraId="420F0777">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应急救援保障</w:t>
                  </w:r>
                </w:p>
              </w:tc>
              <w:tc>
                <w:tcPr>
                  <w:tcW w:w="3336" w:type="pct"/>
                  <w:tcBorders>
                    <w:tl2br w:val="nil"/>
                    <w:tr2bl w:val="nil"/>
                  </w:tcBorders>
                  <w:noWrap w:val="0"/>
                  <w:vAlign w:val="center"/>
                </w:tcPr>
                <w:p w14:paraId="5D033AEA">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应急设施，设备与器材等</w:t>
                  </w:r>
                </w:p>
              </w:tc>
            </w:tr>
            <w:tr w14:paraId="72407A5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24" w:type="pct"/>
                  <w:tcBorders>
                    <w:tl2br w:val="nil"/>
                    <w:tr2bl w:val="nil"/>
                  </w:tcBorders>
                  <w:noWrap w:val="0"/>
                  <w:vAlign w:val="center"/>
                </w:tcPr>
                <w:p w14:paraId="49FDB4E9">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5</w:t>
                  </w:r>
                </w:p>
              </w:tc>
              <w:tc>
                <w:tcPr>
                  <w:tcW w:w="1238" w:type="pct"/>
                  <w:tcBorders>
                    <w:tl2br w:val="nil"/>
                    <w:tr2bl w:val="nil"/>
                  </w:tcBorders>
                  <w:noWrap w:val="0"/>
                  <w:vAlign w:val="center"/>
                </w:tcPr>
                <w:p w14:paraId="29979094">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报警、通讯联络方式</w:t>
                  </w:r>
                </w:p>
              </w:tc>
              <w:tc>
                <w:tcPr>
                  <w:tcW w:w="3336" w:type="pct"/>
                  <w:tcBorders>
                    <w:tl2br w:val="nil"/>
                    <w:tr2bl w:val="nil"/>
                  </w:tcBorders>
                  <w:noWrap w:val="0"/>
                  <w:vAlign w:val="center"/>
                </w:tcPr>
                <w:p w14:paraId="18B383DF">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逐一细化应急状态下各主要负责单位的报警通讯方式、地点、电话号码以及相关配套的交通保障、管制联络方法，涉及跨区域的还应与相关区域环境保护部门和上级环保部门保持联系，及时通报事故处理情况，以获得区域性支援</w:t>
                  </w:r>
                </w:p>
              </w:tc>
            </w:tr>
            <w:tr w14:paraId="123023C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24" w:type="pct"/>
                  <w:tcBorders>
                    <w:tl2br w:val="nil"/>
                    <w:tr2bl w:val="nil"/>
                  </w:tcBorders>
                  <w:noWrap w:val="0"/>
                  <w:vAlign w:val="center"/>
                </w:tcPr>
                <w:p w14:paraId="36C8B99C">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6</w:t>
                  </w:r>
                </w:p>
              </w:tc>
              <w:tc>
                <w:tcPr>
                  <w:tcW w:w="1238" w:type="pct"/>
                  <w:tcBorders>
                    <w:tl2br w:val="nil"/>
                    <w:tr2bl w:val="nil"/>
                  </w:tcBorders>
                  <w:noWrap w:val="0"/>
                  <w:vAlign w:val="center"/>
                </w:tcPr>
                <w:p w14:paraId="7C7332EF">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应急环境监测、抢险救援及控制措施</w:t>
                  </w:r>
                </w:p>
              </w:tc>
              <w:tc>
                <w:tcPr>
                  <w:tcW w:w="3336" w:type="pct"/>
                  <w:tcBorders>
                    <w:tl2br w:val="nil"/>
                    <w:tr2bl w:val="nil"/>
                  </w:tcBorders>
                  <w:noWrap w:val="0"/>
                  <w:vAlign w:val="center"/>
                </w:tcPr>
                <w:p w14:paraId="09E9170C">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由专业队伍负责对事故现场进行侦察监测，对事故性质、参数与后果进行评估，为指挥部门提供决策依据</w:t>
                  </w:r>
                </w:p>
              </w:tc>
            </w:tr>
            <w:tr w14:paraId="21FF1D3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24" w:type="pct"/>
                  <w:tcBorders>
                    <w:tl2br w:val="nil"/>
                    <w:tr2bl w:val="nil"/>
                  </w:tcBorders>
                  <w:noWrap w:val="0"/>
                  <w:vAlign w:val="center"/>
                </w:tcPr>
                <w:p w14:paraId="43532940">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7</w:t>
                  </w:r>
                </w:p>
              </w:tc>
              <w:tc>
                <w:tcPr>
                  <w:tcW w:w="1238" w:type="pct"/>
                  <w:tcBorders>
                    <w:tl2br w:val="nil"/>
                    <w:tr2bl w:val="nil"/>
                  </w:tcBorders>
                  <w:noWrap w:val="0"/>
                  <w:vAlign w:val="center"/>
                </w:tcPr>
                <w:p w14:paraId="17D958A1">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应急检测、防护措施、清除泄漏措施和器材</w:t>
                  </w:r>
                </w:p>
              </w:tc>
              <w:tc>
                <w:tcPr>
                  <w:tcW w:w="3336" w:type="pct"/>
                  <w:tcBorders>
                    <w:tl2br w:val="nil"/>
                    <w:tr2bl w:val="nil"/>
                  </w:tcBorders>
                  <w:noWrap w:val="0"/>
                  <w:vAlign w:val="center"/>
                </w:tcPr>
                <w:p w14:paraId="5992D8B5">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事故现场邻近区域、控制区域，控制和清除污染措施及相应设备的数量、使用方法、使用人员</w:t>
                  </w:r>
                </w:p>
              </w:tc>
            </w:tr>
            <w:tr w14:paraId="62A3675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24" w:type="pct"/>
                  <w:tcBorders>
                    <w:tl2br w:val="nil"/>
                    <w:tr2bl w:val="nil"/>
                  </w:tcBorders>
                  <w:noWrap w:val="0"/>
                  <w:vAlign w:val="center"/>
                </w:tcPr>
                <w:p w14:paraId="3E112AC5">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8</w:t>
                  </w:r>
                </w:p>
              </w:tc>
              <w:tc>
                <w:tcPr>
                  <w:tcW w:w="1238" w:type="pct"/>
                  <w:tcBorders>
                    <w:tl2br w:val="nil"/>
                    <w:tr2bl w:val="nil"/>
                  </w:tcBorders>
                  <w:noWrap w:val="0"/>
                  <w:vAlign w:val="center"/>
                </w:tcPr>
                <w:p w14:paraId="02399411">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人员紧急撤离、疏散，应急剂量控制、撤离组织计划</w:t>
                  </w:r>
                </w:p>
              </w:tc>
              <w:tc>
                <w:tcPr>
                  <w:tcW w:w="3336" w:type="pct"/>
                  <w:tcBorders>
                    <w:tl2br w:val="nil"/>
                    <w:tr2bl w:val="nil"/>
                  </w:tcBorders>
                  <w:noWrap w:val="0"/>
                  <w:vAlign w:val="center"/>
                </w:tcPr>
                <w:p w14:paraId="3D80128C">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事故现场、邻近区、受事故影响区域人员及公众的应急响应，撤离组织计划及救护，医疗救护与公众健康</w:t>
                  </w:r>
                </w:p>
              </w:tc>
            </w:tr>
            <w:tr w14:paraId="65EE1A8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24" w:type="pct"/>
                  <w:tcBorders>
                    <w:tl2br w:val="nil"/>
                    <w:tr2bl w:val="nil"/>
                  </w:tcBorders>
                  <w:noWrap w:val="0"/>
                  <w:vAlign w:val="center"/>
                </w:tcPr>
                <w:p w14:paraId="1A908061">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9</w:t>
                  </w:r>
                </w:p>
              </w:tc>
              <w:tc>
                <w:tcPr>
                  <w:tcW w:w="1238" w:type="pct"/>
                  <w:tcBorders>
                    <w:tl2br w:val="nil"/>
                    <w:tr2bl w:val="nil"/>
                  </w:tcBorders>
                  <w:noWrap w:val="0"/>
                  <w:vAlign w:val="center"/>
                </w:tcPr>
                <w:p w14:paraId="0DFC6FED">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事故应急救援关闭程序与恢复措施</w:t>
                  </w:r>
                </w:p>
              </w:tc>
              <w:tc>
                <w:tcPr>
                  <w:tcW w:w="3336" w:type="pct"/>
                  <w:tcBorders>
                    <w:tl2br w:val="nil"/>
                    <w:tr2bl w:val="nil"/>
                  </w:tcBorders>
                  <w:noWrap w:val="0"/>
                  <w:vAlign w:val="center"/>
                </w:tcPr>
                <w:p w14:paraId="406D3452">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规定应急状态终止程序、事故现场上后处理，恢复措施、邻近区域解除事故警戒及善后恢复措施、制定有关的环境恢复措施、组织专业人员对事故后的环境变化进行监测，对事故应急措施的环境可行性进行后影响评价</w:t>
                  </w:r>
                </w:p>
              </w:tc>
            </w:tr>
            <w:tr w14:paraId="7119884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4" w:type="pct"/>
                  <w:tcBorders>
                    <w:tl2br w:val="nil"/>
                    <w:tr2bl w:val="nil"/>
                  </w:tcBorders>
                  <w:noWrap w:val="0"/>
                  <w:vAlign w:val="center"/>
                </w:tcPr>
                <w:p w14:paraId="250B5097">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10</w:t>
                  </w:r>
                </w:p>
              </w:tc>
              <w:tc>
                <w:tcPr>
                  <w:tcW w:w="1238" w:type="pct"/>
                  <w:tcBorders>
                    <w:tl2br w:val="nil"/>
                    <w:tr2bl w:val="nil"/>
                  </w:tcBorders>
                  <w:noWrap w:val="0"/>
                  <w:vAlign w:val="center"/>
                </w:tcPr>
                <w:p w14:paraId="1DA793E3">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应急培训计划</w:t>
                  </w:r>
                </w:p>
              </w:tc>
              <w:tc>
                <w:tcPr>
                  <w:tcW w:w="3336" w:type="pct"/>
                  <w:tcBorders>
                    <w:tl2br w:val="nil"/>
                    <w:tr2bl w:val="nil"/>
                  </w:tcBorders>
                  <w:noWrap w:val="0"/>
                  <w:vAlign w:val="center"/>
                </w:tcPr>
                <w:p w14:paraId="3DE37758">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应急计划制定后，平时安排人员培训与演练</w:t>
                  </w:r>
                </w:p>
              </w:tc>
            </w:tr>
            <w:tr w14:paraId="2B55168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4" w:type="pct"/>
                  <w:tcBorders>
                    <w:tl2br w:val="nil"/>
                    <w:tr2bl w:val="nil"/>
                  </w:tcBorders>
                  <w:noWrap w:val="0"/>
                  <w:vAlign w:val="center"/>
                </w:tcPr>
                <w:p w14:paraId="3E04B830">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11</w:t>
                  </w:r>
                </w:p>
              </w:tc>
              <w:tc>
                <w:tcPr>
                  <w:tcW w:w="1238" w:type="pct"/>
                  <w:tcBorders>
                    <w:tl2br w:val="nil"/>
                    <w:tr2bl w:val="nil"/>
                  </w:tcBorders>
                  <w:noWrap w:val="0"/>
                  <w:vAlign w:val="center"/>
                </w:tcPr>
                <w:p w14:paraId="673E29A1">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公众教育和信息</w:t>
                  </w:r>
                </w:p>
              </w:tc>
              <w:tc>
                <w:tcPr>
                  <w:tcW w:w="3336" w:type="pct"/>
                  <w:tcBorders>
                    <w:tl2br w:val="nil"/>
                    <w:tr2bl w:val="nil"/>
                  </w:tcBorders>
                  <w:noWrap w:val="0"/>
                  <w:vAlign w:val="center"/>
                </w:tcPr>
                <w:p w14:paraId="4BEBB926">
                  <w:pPr>
                    <w:pStyle w:val="33"/>
                    <w:widowControl w:val="0"/>
                    <w:tabs>
                      <w:tab w:val="left" w:pos="-2848"/>
                      <w:tab w:val="left" w:pos="2422"/>
                    </w:tabs>
                    <w:snapToGrid/>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对邻近地区开展公众教育、培训和发布有关信息</w:t>
                  </w:r>
                </w:p>
              </w:tc>
            </w:tr>
          </w:tbl>
          <w:p w14:paraId="5EF55FCA">
            <w:pPr>
              <w:ind w:firstLine="482"/>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（八）环境管理</w:t>
            </w:r>
          </w:p>
          <w:p w14:paraId="22D6A814">
            <w:pPr>
              <w:bidi w:val="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本项目环境管理应由</w:t>
            </w:r>
            <w:r>
              <w:rPr>
                <w:rFonts w:hint="eastAsia"/>
                <w:color w:val="000000" w:themeColor="text1"/>
                <w:u w:val="single"/>
                <w:lang w:eastAsia="zh-CN"/>
                <w14:textFill>
                  <w14:solidFill>
                    <w14:schemeClr w14:val="tx1"/>
                  </w14:solidFill>
                </w14:textFill>
              </w:rPr>
              <w:t>永州永通华悦汽车销售服务有限公司</w:t>
            </w:r>
            <w:r>
              <w:rPr>
                <w:rFonts w:hint="eastAsia"/>
                <w:color w:val="000000" w:themeColor="text1"/>
                <w:u w:val="single"/>
                <w14:textFill>
                  <w14:solidFill>
                    <w14:schemeClr w14:val="tx1"/>
                  </w14:solidFill>
                </w14:textFill>
              </w:rPr>
              <w:t>负责，下设环保科，由专职环保人员具体实施环境管理工作。</w:t>
            </w:r>
          </w:p>
          <w:p w14:paraId="4AE4E22F">
            <w:pPr>
              <w:bidi w:val="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环境管理的具体内容如下：</w:t>
            </w:r>
          </w:p>
          <w:p w14:paraId="24323D25">
            <w:pPr>
              <w:bidi w:val="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（1）组织编制企业环境管理条例及日常监测计划。实施有效的质量控制，</w:t>
            </w:r>
            <w:r>
              <w:rPr>
                <w:color w:val="000000" w:themeColor="text1"/>
                <w:u w:val="single"/>
                <w14:textFill>
                  <w14:solidFill>
                    <w14:schemeClr w14:val="tx1"/>
                  </w14:solidFill>
                </w14:textFill>
              </w:rPr>
              <w:t>贯彻落实国家和地方的环境保护法律、法规、政策和标准，直接接受环保主管部门的监督、领导，配合环境保护主管部门作好环保工作</w:t>
            </w:r>
            <w:r>
              <w:rPr>
                <w:rFonts w:hint="eastAsia"/>
                <w:color w:val="000000" w:themeColor="text1"/>
                <w:u w:val="single"/>
                <w14:textFill>
                  <w14:solidFill>
                    <w14:schemeClr w14:val="tx1"/>
                  </w14:solidFill>
                </w14:textFill>
              </w:rPr>
              <w:t>。</w:t>
            </w:r>
          </w:p>
          <w:p w14:paraId="4DDD63F8">
            <w:pPr>
              <w:bidi w:val="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（2）加强运行期生产管理，严格实行岗位责任制。定期进行环保设备检查、维修和保养工作，确保环保设施长期、稳定、达标运转，杜绝事故性排放的发生。</w:t>
            </w:r>
          </w:p>
          <w:p w14:paraId="79E419F2">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（3）建设规范化排污口</w:t>
            </w:r>
          </w:p>
          <w:p w14:paraId="2C62106F">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依据国家标准《环境保护图形标志—排放口（源）》和国家环保局《排污口规范化整治技术要求（试行）》的技术要求，所有排污口，必须按照“便于采样、便于计量监测、便于日常现场监督检查”的原则和规范化要求，设置与之相适应的环境保护图形标志牌，绘制企业排污口分布图。排污口的规范化要求如下：</w:t>
            </w:r>
          </w:p>
          <w:p w14:paraId="642FF83F">
            <w:pPr>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①废水排放口</w:t>
            </w:r>
            <w:r>
              <w:rPr>
                <w:rFonts w:hint="eastAsia"/>
                <w:color w:val="000000" w:themeColor="text1"/>
                <w:u w:val="single"/>
                <w14:textFill>
                  <w14:solidFill>
                    <w14:schemeClr w14:val="tx1"/>
                  </w14:solidFill>
                </w14:textFill>
              </w:rPr>
              <w:tab/>
            </w:r>
          </w:p>
          <w:p w14:paraId="06D9500C">
            <w:pPr>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废水排污口原则上只设一个，排污口位置根据实际地形位置和污染物的种类情况确定；本项目</w:t>
            </w:r>
            <w:r>
              <w:rPr>
                <w:rFonts w:hint="eastAsia"/>
                <w:color w:val="000000" w:themeColor="text1"/>
                <w:u w:val="single"/>
                <w:lang w:val="en-US" w:eastAsia="zh-CN"/>
                <w14:textFill>
                  <w14:solidFill>
                    <w14:schemeClr w14:val="tx1"/>
                  </w14:solidFill>
                </w14:textFill>
              </w:rPr>
              <w:t>共设置一个</w:t>
            </w:r>
            <w:r>
              <w:rPr>
                <w:rFonts w:hint="eastAsia"/>
                <w:color w:val="000000" w:themeColor="text1"/>
                <w:u w:val="single"/>
                <w14:textFill>
                  <w14:solidFill>
                    <w14:schemeClr w14:val="tx1"/>
                  </w14:solidFill>
                </w14:textFill>
              </w:rPr>
              <w:t>污水排放口</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属于一般污水排放口。</w:t>
            </w:r>
          </w:p>
          <w:p w14:paraId="5DA7CE0F">
            <w:pPr>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②废气排放口</w:t>
            </w:r>
          </w:p>
          <w:p w14:paraId="24139183">
            <w:pPr>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本项目设</w:t>
            </w:r>
            <w:r>
              <w:rPr>
                <w:rFonts w:hint="eastAsia"/>
                <w:color w:val="000000" w:themeColor="text1"/>
                <w:u w:val="single"/>
                <w:lang w:val="en-US" w:eastAsia="zh-CN"/>
                <w14:textFill>
                  <w14:solidFill>
                    <w14:schemeClr w14:val="tx1"/>
                  </w14:solidFill>
                </w14:textFill>
              </w:rPr>
              <w:t>1</w:t>
            </w:r>
            <w:r>
              <w:rPr>
                <w:rFonts w:hint="eastAsia"/>
                <w:color w:val="000000" w:themeColor="text1"/>
                <w:u w:val="single"/>
                <w14:textFill>
                  <w14:solidFill>
                    <w14:schemeClr w14:val="tx1"/>
                  </w14:solidFill>
                </w14:textFill>
              </w:rPr>
              <w:t>个废气排放口：</w:t>
            </w:r>
            <w:r>
              <w:rPr>
                <w:rFonts w:hint="eastAsia"/>
                <w:color w:val="000000" w:themeColor="text1"/>
                <w:u w:val="single"/>
                <w:lang w:val="en-US" w:eastAsia="zh-CN"/>
                <w14:textFill>
                  <w14:solidFill>
                    <w14:schemeClr w14:val="tx1"/>
                  </w14:solidFill>
                </w14:textFill>
              </w:rPr>
              <w:t>喷漆</w:t>
            </w:r>
            <w:r>
              <w:rPr>
                <w:rFonts w:hint="eastAsia"/>
                <w:color w:val="000000" w:themeColor="text1"/>
                <w:u w:val="single"/>
                <w14:textFill>
                  <w14:solidFill>
                    <w14:schemeClr w14:val="tx1"/>
                  </w14:solidFill>
                </w14:textFill>
              </w:rPr>
              <w:t>废气排气筒</w:t>
            </w:r>
            <w:r>
              <w:rPr>
                <w:rFonts w:hint="eastAsia"/>
                <w:color w:val="000000" w:themeColor="text1"/>
                <w:u w:val="single"/>
                <w:lang w:val="en-US" w:eastAsia="zh-CN"/>
                <w14:textFill>
                  <w14:solidFill>
                    <w14:schemeClr w14:val="tx1"/>
                  </w14:solidFill>
                </w14:textFill>
              </w:rPr>
              <w:t>DA001</w:t>
            </w:r>
            <w:r>
              <w:rPr>
                <w:rFonts w:hint="eastAsia"/>
                <w:color w:val="000000" w:themeColor="text1"/>
                <w:u w:val="single"/>
                <w14:textFill>
                  <w14:solidFill>
                    <w14:schemeClr w14:val="tx1"/>
                  </w14:solidFill>
                </w14:textFill>
              </w:rPr>
              <w:t>，高</w:t>
            </w:r>
            <w:r>
              <w:rPr>
                <w:rFonts w:hint="eastAsia"/>
                <w:color w:val="000000" w:themeColor="text1"/>
                <w:u w:val="single"/>
                <w:lang w:val="en-US" w:eastAsia="zh-CN"/>
                <w14:textFill>
                  <w14:solidFill>
                    <w14:schemeClr w14:val="tx1"/>
                  </w14:solidFill>
                </w14:textFill>
              </w:rPr>
              <w:t>15</w:t>
            </w:r>
            <w:r>
              <w:rPr>
                <w:rFonts w:hint="eastAsia"/>
                <w:color w:val="000000" w:themeColor="text1"/>
                <w:u w:val="single"/>
                <w14:textFill>
                  <w14:solidFill>
                    <w14:schemeClr w14:val="tx1"/>
                  </w14:solidFill>
                </w14:textFill>
              </w:rPr>
              <w:t>m、内径0.</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m。</w:t>
            </w:r>
          </w:p>
          <w:p w14:paraId="297D8353">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③固定噪声排放源</w:t>
            </w:r>
          </w:p>
          <w:p w14:paraId="445CADCC">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按规定对固定噪声源进行治理，并在边界噪声敏感点且对外界影响最大处设置标志牌。</w:t>
            </w:r>
          </w:p>
          <w:p w14:paraId="4986A603">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④固体废弃物贮存（处置）场</w:t>
            </w:r>
          </w:p>
          <w:p w14:paraId="7B1E30F3">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固体废物如一般固废、生活垃圾等应统一收集堆放，危险废物应设置专用的堆放场地。</w:t>
            </w:r>
          </w:p>
          <w:p w14:paraId="2E89BDD8">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⑤设置标志牌要求</w:t>
            </w:r>
          </w:p>
          <w:p w14:paraId="58A9C5E0">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境保护标志牌由国家环保局统一定点制作，并由县区环境监察部门根据企业排污情况统一订购。排放一般污染物排放口（源），设置提示性标志牌，排放有毒有害等污染物的排污口设置警告性标志牌。提示性标志牌和警告性标志牌样图如下表：</w:t>
            </w:r>
          </w:p>
          <w:p w14:paraId="5B46C9C8">
            <w:pPr>
              <w:spacing w:line="240" w:lineRule="auto"/>
              <w:ind w:firstLine="422"/>
              <w:jc w:val="center"/>
              <w:rPr>
                <w:rFonts w:hAnsi="宋体"/>
                <w:b/>
                <w:color w:val="000000" w:themeColor="text1"/>
                <w:sz w:val="21"/>
                <w:szCs w:val="21"/>
                <w:u w:val="single"/>
                <w14:textFill>
                  <w14:solidFill>
                    <w14:schemeClr w14:val="tx1"/>
                  </w14:solidFill>
                </w14:textFill>
              </w:rPr>
            </w:pPr>
            <w:r>
              <w:rPr>
                <w:rFonts w:hint="eastAsia" w:hAnsi="宋体"/>
                <w:b/>
                <w:color w:val="000000" w:themeColor="text1"/>
                <w:sz w:val="21"/>
                <w:szCs w:val="21"/>
                <w:u w:val="single"/>
                <w14:textFill>
                  <w14:solidFill>
                    <w14:schemeClr w14:val="tx1"/>
                  </w14:solidFill>
                </w14:textFill>
              </w:rPr>
              <w:t>表4-1</w:t>
            </w:r>
            <w:r>
              <w:rPr>
                <w:rFonts w:hint="eastAsia" w:hAnsi="宋体"/>
                <w:b/>
                <w:color w:val="000000" w:themeColor="text1"/>
                <w:sz w:val="21"/>
                <w:szCs w:val="21"/>
                <w:u w:val="single"/>
                <w:lang w:val="en-US" w:eastAsia="zh-CN"/>
                <w14:textFill>
                  <w14:solidFill>
                    <w14:schemeClr w14:val="tx1"/>
                  </w14:solidFill>
                </w14:textFill>
              </w:rPr>
              <w:t>3</w:t>
            </w:r>
            <w:r>
              <w:rPr>
                <w:rFonts w:hint="eastAsia" w:hAnsi="宋体"/>
                <w:b/>
                <w:color w:val="000000" w:themeColor="text1"/>
                <w:sz w:val="21"/>
                <w:szCs w:val="21"/>
                <w:u w:val="single"/>
                <w14:textFill>
                  <w14:solidFill>
                    <w14:schemeClr w14:val="tx1"/>
                  </w14:solidFill>
                </w14:textFill>
              </w:rPr>
              <w:t xml:space="preserve">  提示性标志牌和警告性标志牌说明表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357"/>
              <w:gridCol w:w="1364"/>
              <w:gridCol w:w="1376"/>
              <w:gridCol w:w="1470"/>
              <w:gridCol w:w="2309"/>
            </w:tblGrid>
            <w:tr w14:paraId="3069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 w:type="pct"/>
                  <w:noWrap w:val="0"/>
                  <w:vAlign w:val="center"/>
                </w:tcPr>
                <w:p w14:paraId="18BABD6E">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排放口</w:t>
                  </w:r>
                </w:p>
              </w:tc>
              <w:tc>
                <w:tcPr>
                  <w:tcW w:w="820" w:type="pct"/>
                  <w:noWrap w:val="0"/>
                  <w:vAlign w:val="center"/>
                </w:tcPr>
                <w:p w14:paraId="04E8AB45">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废水排放口</w:t>
                  </w:r>
                </w:p>
              </w:tc>
              <w:tc>
                <w:tcPr>
                  <w:tcW w:w="825" w:type="pct"/>
                  <w:noWrap w:val="0"/>
                  <w:vAlign w:val="center"/>
                </w:tcPr>
                <w:p w14:paraId="0DFFD00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废气排放口</w:t>
                  </w:r>
                </w:p>
              </w:tc>
              <w:tc>
                <w:tcPr>
                  <w:tcW w:w="832" w:type="pct"/>
                  <w:noWrap w:val="0"/>
                  <w:vAlign w:val="center"/>
                </w:tcPr>
                <w:p w14:paraId="6994E297">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噪声源</w:t>
                  </w:r>
                </w:p>
              </w:tc>
              <w:tc>
                <w:tcPr>
                  <w:tcW w:w="888" w:type="pct"/>
                  <w:noWrap w:val="0"/>
                  <w:vAlign w:val="center"/>
                </w:tcPr>
                <w:p w14:paraId="099A0C24">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固体废物堆场</w:t>
                  </w:r>
                </w:p>
              </w:tc>
              <w:tc>
                <w:tcPr>
                  <w:tcW w:w="1395" w:type="pct"/>
                  <w:noWrap w:val="0"/>
                  <w:vAlign w:val="center"/>
                </w:tcPr>
                <w:p w14:paraId="1A771A1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危险废物暂存间</w:t>
                  </w:r>
                </w:p>
              </w:tc>
            </w:tr>
            <w:tr w14:paraId="194E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 w:type="pct"/>
                  <w:noWrap w:val="0"/>
                  <w:vAlign w:val="center"/>
                </w:tcPr>
                <w:p w14:paraId="70258F3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提示图形符号</w:t>
                  </w:r>
                </w:p>
              </w:tc>
              <w:tc>
                <w:tcPr>
                  <w:tcW w:w="820" w:type="pct"/>
                  <w:noWrap w:val="0"/>
                  <w:vAlign w:val="center"/>
                </w:tcPr>
                <w:p w14:paraId="3C16E98F">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843280" cy="831215"/>
                        <wp:effectExtent l="0" t="0" r="13970" b="6985"/>
                        <wp:docPr id="2"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7"/>
                                <pic:cNvPicPr>
                                  <a:picLocks noChangeAspect="1"/>
                                </pic:cNvPicPr>
                              </pic:nvPicPr>
                              <pic:blipFill>
                                <a:blip r:embed="rId12"/>
                                <a:stretch>
                                  <a:fillRect/>
                                </a:stretch>
                              </pic:blipFill>
                              <pic:spPr>
                                <a:xfrm>
                                  <a:off x="0" y="0"/>
                                  <a:ext cx="843280" cy="831215"/>
                                </a:xfrm>
                                <a:prstGeom prst="rect">
                                  <a:avLst/>
                                </a:prstGeom>
                                <a:noFill/>
                                <a:ln>
                                  <a:noFill/>
                                </a:ln>
                              </pic:spPr>
                            </pic:pic>
                          </a:graphicData>
                        </a:graphic>
                      </wp:inline>
                    </w:drawing>
                  </w:r>
                </w:p>
              </w:tc>
              <w:tc>
                <w:tcPr>
                  <w:tcW w:w="825" w:type="pct"/>
                  <w:noWrap w:val="0"/>
                  <w:vAlign w:val="center"/>
                </w:tcPr>
                <w:p w14:paraId="640368F9">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831215" cy="831215"/>
                        <wp:effectExtent l="0" t="0" r="6985" b="6985"/>
                        <wp:docPr id="3"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8"/>
                                <pic:cNvPicPr>
                                  <a:picLocks noChangeAspect="1"/>
                                </pic:cNvPicPr>
                              </pic:nvPicPr>
                              <pic:blipFill>
                                <a:blip r:embed="rId13"/>
                                <a:stretch>
                                  <a:fillRect/>
                                </a:stretch>
                              </pic:blipFill>
                              <pic:spPr>
                                <a:xfrm>
                                  <a:off x="0" y="0"/>
                                  <a:ext cx="831215" cy="831215"/>
                                </a:xfrm>
                                <a:prstGeom prst="rect">
                                  <a:avLst/>
                                </a:prstGeom>
                                <a:noFill/>
                                <a:ln>
                                  <a:noFill/>
                                </a:ln>
                              </pic:spPr>
                            </pic:pic>
                          </a:graphicData>
                        </a:graphic>
                      </wp:inline>
                    </w:drawing>
                  </w:r>
                </w:p>
              </w:tc>
              <w:tc>
                <w:tcPr>
                  <w:tcW w:w="832" w:type="pct"/>
                  <w:noWrap w:val="0"/>
                  <w:vAlign w:val="center"/>
                </w:tcPr>
                <w:p w14:paraId="58018BE2">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843280" cy="819150"/>
                        <wp:effectExtent l="0" t="0" r="13970" b="0"/>
                        <wp:docPr id="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9"/>
                                <pic:cNvPicPr>
                                  <a:picLocks noChangeAspect="1"/>
                                </pic:cNvPicPr>
                              </pic:nvPicPr>
                              <pic:blipFill>
                                <a:blip r:embed="rId14"/>
                                <a:stretch>
                                  <a:fillRect/>
                                </a:stretch>
                              </pic:blipFill>
                              <pic:spPr>
                                <a:xfrm>
                                  <a:off x="0" y="0"/>
                                  <a:ext cx="843280" cy="819150"/>
                                </a:xfrm>
                                <a:prstGeom prst="rect">
                                  <a:avLst/>
                                </a:prstGeom>
                                <a:noFill/>
                                <a:ln>
                                  <a:noFill/>
                                </a:ln>
                              </pic:spPr>
                            </pic:pic>
                          </a:graphicData>
                        </a:graphic>
                      </wp:inline>
                    </w:drawing>
                  </w:r>
                </w:p>
              </w:tc>
              <w:tc>
                <w:tcPr>
                  <w:tcW w:w="888" w:type="pct"/>
                  <w:noWrap w:val="0"/>
                  <w:vAlign w:val="center"/>
                </w:tcPr>
                <w:p w14:paraId="1C53D8EF">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843280" cy="831215"/>
                        <wp:effectExtent l="0" t="0" r="13970" b="6985"/>
                        <wp:docPr id="5"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0"/>
                                <pic:cNvPicPr>
                                  <a:picLocks noChangeAspect="1"/>
                                </pic:cNvPicPr>
                              </pic:nvPicPr>
                              <pic:blipFill>
                                <a:blip r:embed="rId15"/>
                                <a:stretch>
                                  <a:fillRect/>
                                </a:stretch>
                              </pic:blipFill>
                              <pic:spPr>
                                <a:xfrm>
                                  <a:off x="0" y="0"/>
                                  <a:ext cx="843280" cy="831215"/>
                                </a:xfrm>
                                <a:prstGeom prst="rect">
                                  <a:avLst/>
                                </a:prstGeom>
                                <a:noFill/>
                                <a:ln>
                                  <a:noFill/>
                                </a:ln>
                              </pic:spPr>
                            </pic:pic>
                          </a:graphicData>
                        </a:graphic>
                      </wp:inline>
                    </w:drawing>
                  </w:r>
                </w:p>
              </w:tc>
              <w:tc>
                <w:tcPr>
                  <w:tcW w:w="1395" w:type="pct"/>
                  <w:vMerge w:val="restart"/>
                  <w:noWrap w:val="0"/>
                  <w:vAlign w:val="center"/>
                </w:tcPr>
                <w:p w14:paraId="284715FC">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u w:val="single"/>
                      <w14:textFill>
                        <w14:solidFill>
                          <w14:schemeClr w14:val="tx1"/>
                        </w14:solidFill>
                      </w14:textFill>
                    </w:rPr>
                    <w:drawing>
                      <wp:inline distT="0" distB="0" distL="114300" distR="114300">
                        <wp:extent cx="1457960" cy="843280"/>
                        <wp:effectExtent l="0" t="0" r="8890" b="1397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6"/>
                                <a:stretch>
                                  <a:fillRect/>
                                </a:stretch>
                              </pic:blipFill>
                              <pic:spPr>
                                <a:xfrm>
                                  <a:off x="0" y="0"/>
                                  <a:ext cx="1457960" cy="843280"/>
                                </a:xfrm>
                                <a:prstGeom prst="rect">
                                  <a:avLst/>
                                </a:prstGeom>
                                <a:noFill/>
                                <a:ln>
                                  <a:noFill/>
                                </a:ln>
                              </pic:spPr>
                            </pic:pic>
                          </a:graphicData>
                        </a:graphic>
                      </wp:inline>
                    </w:drawing>
                  </w:r>
                </w:p>
              </w:tc>
            </w:tr>
            <w:tr w14:paraId="1A04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 w:type="pct"/>
                  <w:noWrap w:val="0"/>
                  <w:vAlign w:val="center"/>
                </w:tcPr>
                <w:p w14:paraId="107270B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警告图形标志</w:t>
                  </w:r>
                </w:p>
              </w:tc>
              <w:tc>
                <w:tcPr>
                  <w:tcW w:w="820" w:type="pct"/>
                  <w:noWrap w:val="0"/>
                  <w:vAlign w:val="center"/>
                </w:tcPr>
                <w:p w14:paraId="6E236129">
                  <w:pPr>
                    <w:spacing w:line="240" w:lineRule="auto"/>
                    <w:ind w:firstLine="0" w:firstLineChars="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866775" cy="772160"/>
                        <wp:effectExtent l="0" t="0" r="9525" b="8890"/>
                        <wp:docPr id="7"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1"/>
                                <pic:cNvPicPr>
                                  <a:picLocks noChangeAspect="1"/>
                                </pic:cNvPicPr>
                              </pic:nvPicPr>
                              <pic:blipFill>
                                <a:blip r:embed="rId17"/>
                                <a:stretch>
                                  <a:fillRect/>
                                </a:stretch>
                              </pic:blipFill>
                              <pic:spPr>
                                <a:xfrm>
                                  <a:off x="0" y="0"/>
                                  <a:ext cx="866775" cy="772160"/>
                                </a:xfrm>
                                <a:prstGeom prst="rect">
                                  <a:avLst/>
                                </a:prstGeom>
                                <a:noFill/>
                                <a:ln>
                                  <a:noFill/>
                                </a:ln>
                              </pic:spPr>
                            </pic:pic>
                          </a:graphicData>
                        </a:graphic>
                      </wp:inline>
                    </w:drawing>
                  </w:r>
                </w:p>
              </w:tc>
              <w:tc>
                <w:tcPr>
                  <w:tcW w:w="825" w:type="pct"/>
                  <w:noWrap w:val="0"/>
                  <w:vAlign w:val="center"/>
                </w:tcPr>
                <w:p w14:paraId="0E674E1B">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831215" cy="735330"/>
                        <wp:effectExtent l="0" t="0" r="6985" b="7620"/>
                        <wp:docPr id="8"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2"/>
                                <pic:cNvPicPr>
                                  <a:picLocks noChangeAspect="1"/>
                                </pic:cNvPicPr>
                              </pic:nvPicPr>
                              <pic:blipFill>
                                <a:blip r:embed="rId18"/>
                                <a:stretch>
                                  <a:fillRect/>
                                </a:stretch>
                              </pic:blipFill>
                              <pic:spPr>
                                <a:xfrm>
                                  <a:off x="0" y="0"/>
                                  <a:ext cx="831215" cy="735330"/>
                                </a:xfrm>
                                <a:prstGeom prst="rect">
                                  <a:avLst/>
                                </a:prstGeom>
                                <a:noFill/>
                                <a:ln>
                                  <a:noFill/>
                                </a:ln>
                              </pic:spPr>
                            </pic:pic>
                          </a:graphicData>
                        </a:graphic>
                      </wp:inline>
                    </w:drawing>
                  </w:r>
                </w:p>
              </w:tc>
              <w:tc>
                <w:tcPr>
                  <w:tcW w:w="832" w:type="pct"/>
                  <w:noWrap w:val="0"/>
                  <w:vAlign w:val="center"/>
                </w:tcPr>
                <w:p w14:paraId="2E4A0B7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807720" cy="748030"/>
                        <wp:effectExtent l="0" t="0" r="11430" b="13970"/>
                        <wp:docPr id="9"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3"/>
                                <pic:cNvPicPr>
                                  <a:picLocks noChangeAspect="1"/>
                                </pic:cNvPicPr>
                              </pic:nvPicPr>
                              <pic:blipFill>
                                <a:blip r:embed="rId19"/>
                                <a:stretch>
                                  <a:fillRect/>
                                </a:stretch>
                              </pic:blipFill>
                              <pic:spPr>
                                <a:xfrm>
                                  <a:off x="0" y="0"/>
                                  <a:ext cx="807720" cy="748030"/>
                                </a:xfrm>
                                <a:prstGeom prst="rect">
                                  <a:avLst/>
                                </a:prstGeom>
                                <a:noFill/>
                                <a:ln>
                                  <a:noFill/>
                                </a:ln>
                              </pic:spPr>
                            </pic:pic>
                          </a:graphicData>
                        </a:graphic>
                      </wp:inline>
                    </w:drawing>
                  </w:r>
                </w:p>
              </w:tc>
              <w:tc>
                <w:tcPr>
                  <w:tcW w:w="888" w:type="pct"/>
                  <w:noWrap w:val="0"/>
                  <w:vAlign w:val="center"/>
                </w:tcPr>
                <w:p w14:paraId="0C2657A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drawing>
                      <wp:inline distT="0" distB="0" distL="114300" distR="114300">
                        <wp:extent cx="795020" cy="748030"/>
                        <wp:effectExtent l="0" t="0" r="5080" b="13970"/>
                        <wp:docPr id="10"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4"/>
                                <pic:cNvPicPr>
                                  <a:picLocks noChangeAspect="1"/>
                                </pic:cNvPicPr>
                              </pic:nvPicPr>
                              <pic:blipFill>
                                <a:blip r:embed="rId20"/>
                                <a:stretch>
                                  <a:fillRect/>
                                </a:stretch>
                              </pic:blipFill>
                              <pic:spPr>
                                <a:xfrm>
                                  <a:off x="0" y="0"/>
                                  <a:ext cx="795020" cy="748030"/>
                                </a:xfrm>
                                <a:prstGeom prst="rect">
                                  <a:avLst/>
                                </a:prstGeom>
                                <a:noFill/>
                                <a:ln>
                                  <a:noFill/>
                                </a:ln>
                              </pic:spPr>
                            </pic:pic>
                          </a:graphicData>
                        </a:graphic>
                      </wp:inline>
                    </w:drawing>
                  </w:r>
                </w:p>
              </w:tc>
              <w:tc>
                <w:tcPr>
                  <w:tcW w:w="1395" w:type="pct"/>
                  <w:vMerge w:val="continue"/>
                  <w:noWrap w:val="0"/>
                  <w:vAlign w:val="center"/>
                </w:tcPr>
                <w:p w14:paraId="7F78EDDD">
                  <w:pPr>
                    <w:spacing w:line="240" w:lineRule="auto"/>
                    <w:ind w:firstLine="0" w:firstLineChars="0"/>
                    <w:jc w:val="center"/>
                    <w:rPr>
                      <w:color w:val="000000" w:themeColor="text1"/>
                      <w:sz w:val="21"/>
                      <w:szCs w:val="21"/>
                      <w:u w:val="single"/>
                      <w14:textFill>
                        <w14:solidFill>
                          <w14:schemeClr w14:val="tx1"/>
                        </w14:solidFill>
                      </w14:textFill>
                    </w:rPr>
                  </w:pPr>
                </w:p>
              </w:tc>
            </w:tr>
          </w:tbl>
          <w:p w14:paraId="1894E184">
            <w:pPr>
              <w:pStyle w:val="65"/>
              <w:rPr>
                <w:color w:val="000000" w:themeColor="text1"/>
                <w:kern w:val="0"/>
                <w:szCs w:val="20"/>
                <w:u w:val="single"/>
                <w14:textFill>
                  <w14:solidFill>
                    <w14:schemeClr w14:val="tx1"/>
                  </w14:solidFill>
                </w14:textFill>
              </w:rPr>
            </w:pPr>
            <w:r>
              <w:rPr>
                <w:rFonts w:hint="eastAsia"/>
                <w:color w:val="000000" w:themeColor="text1"/>
                <w:kern w:val="0"/>
                <w:szCs w:val="20"/>
                <w:u w:val="single"/>
                <w14:textFill>
                  <w14:solidFill>
                    <w14:schemeClr w14:val="tx1"/>
                  </w14:solidFill>
                </w14:textFill>
              </w:rPr>
              <w:t>表4-1</w:t>
            </w:r>
            <w:r>
              <w:rPr>
                <w:rFonts w:hint="eastAsia"/>
                <w:color w:val="000000" w:themeColor="text1"/>
                <w:kern w:val="0"/>
                <w:szCs w:val="20"/>
                <w:u w:val="single"/>
                <w:lang w:val="en-US" w:eastAsia="zh-CN"/>
                <w14:textFill>
                  <w14:solidFill>
                    <w14:schemeClr w14:val="tx1"/>
                  </w14:solidFill>
                </w14:textFill>
              </w:rPr>
              <w:t>4</w:t>
            </w:r>
            <w:r>
              <w:rPr>
                <w:rFonts w:hint="eastAsia"/>
                <w:color w:val="000000" w:themeColor="text1"/>
                <w:kern w:val="0"/>
                <w:szCs w:val="20"/>
                <w:u w:val="single"/>
                <w14:textFill>
                  <w14:solidFill>
                    <w14:schemeClr w14:val="tx1"/>
                  </w14:solidFill>
                </w14:textFill>
              </w:rPr>
              <w:t xml:space="preserve">  标志形状及颜色</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9"/>
              <w:gridCol w:w="2130"/>
              <w:gridCol w:w="2130"/>
              <w:gridCol w:w="2132"/>
            </w:tblGrid>
            <w:tr w14:paraId="6A54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9" w:type="dxa"/>
                  <w:noWrap w:val="0"/>
                  <w:vAlign w:val="center"/>
                </w:tcPr>
                <w:p w14:paraId="5D7F6824">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标志类型</w:t>
                  </w:r>
                </w:p>
              </w:tc>
              <w:tc>
                <w:tcPr>
                  <w:tcW w:w="2130" w:type="dxa"/>
                  <w:noWrap w:val="0"/>
                  <w:vAlign w:val="center"/>
                </w:tcPr>
                <w:p w14:paraId="49282BD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形状</w:t>
                  </w:r>
                </w:p>
              </w:tc>
              <w:tc>
                <w:tcPr>
                  <w:tcW w:w="2130" w:type="dxa"/>
                  <w:noWrap w:val="0"/>
                  <w:vAlign w:val="center"/>
                </w:tcPr>
                <w:p w14:paraId="34777382">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背景颜色</w:t>
                  </w:r>
                </w:p>
              </w:tc>
              <w:tc>
                <w:tcPr>
                  <w:tcW w:w="2132" w:type="dxa"/>
                  <w:noWrap w:val="0"/>
                  <w:vAlign w:val="center"/>
                </w:tcPr>
                <w:p w14:paraId="477624F7">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图形颜色</w:t>
                  </w:r>
                </w:p>
              </w:tc>
            </w:tr>
            <w:tr w14:paraId="4777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9" w:type="dxa"/>
                  <w:noWrap w:val="0"/>
                  <w:vAlign w:val="center"/>
                </w:tcPr>
                <w:p w14:paraId="6F5106B7">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警告</w:t>
                  </w:r>
                </w:p>
              </w:tc>
              <w:tc>
                <w:tcPr>
                  <w:tcW w:w="2130" w:type="dxa"/>
                  <w:noWrap w:val="0"/>
                  <w:vAlign w:val="center"/>
                </w:tcPr>
                <w:p w14:paraId="41F9FFC4">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三角形边框</w:t>
                  </w:r>
                </w:p>
              </w:tc>
              <w:tc>
                <w:tcPr>
                  <w:tcW w:w="2130" w:type="dxa"/>
                  <w:noWrap w:val="0"/>
                  <w:vAlign w:val="center"/>
                </w:tcPr>
                <w:p w14:paraId="50302E7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黄色</w:t>
                  </w:r>
                </w:p>
              </w:tc>
              <w:tc>
                <w:tcPr>
                  <w:tcW w:w="2132" w:type="dxa"/>
                  <w:noWrap w:val="0"/>
                  <w:vAlign w:val="center"/>
                </w:tcPr>
                <w:p w14:paraId="5117F2D2">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黑色</w:t>
                  </w:r>
                </w:p>
              </w:tc>
            </w:tr>
            <w:tr w14:paraId="5DAA6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9" w:type="dxa"/>
                  <w:noWrap w:val="0"/>
                  <w:vAlign w:val="center"/>
                </w:tcPr>
                <w:p w14:paraId="4CE33A6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提示标志</w:t>
                  </w:r>
                </w:p>
              </w:tc>
              <w:tc>
                <w:tcPr>
                  <w:tcW w:w="2130" w:type="dxa"/>
                  <w:noWrap w:val="0"/>
                  <w:vAlign w:val="center"/>
                </w:tcPr>
                <w:p w14:paraId="524E52C9">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正方形边框</w:t>
                  </w:r>
                </w:p>
              </w:tc>
              <w:tc>
                <w:tcPr>
                  <w:tcW w:w="2130" w:type="dxa"/>
                  <w:noWrap w:val="0"/>
                  <w:vAlign w:val="center"/>
                </w:tcPr>
                <w:p w14:paraId="23E2661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绿化</w:t>
                  </w:r>
                </w:p>
              </w:tc>
              <w:tc>
                <w:tcPr>
                  <w:tcW w:w="2132" w:type="dxa"/>
                  <w:noWrap w:val="0"/>
                  <w:vAlign w:val="center"/>
                </w:tcPr>
                <w:p w14:paraId="30FA7397">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白色</w:t>
                  </w:r>
                </w:p>
              </w:tc>
            </w:tr>
          </w:tbl>
          <w:p w14:paraId="6D84F803">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标志牌设置位置在排污口（采样点）附近且醒目处，高度为标志牌上缘离地面2米。排污口附近1米范围内有建筑物的，设平面式标志牌，无建筑物的设立式标志牌。</w:t>
            </w:r>
          </w:p>
          <w:p w14:paraId="5073A63C">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⑥ 排污口建档要求</w:t>
            </w:r>
          </w:p>
          <w:p w14:paraId="5D824F21">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要求使用生态环境部统一印刷的《中华人民共和国规范化排污口标志登记证》，并按要求填写有关内容；根据排污口管理档案内容要求，项目建成后，应将主要污染物种类、数量、浓度、排放去向、达标情况及设施运行情况纪录于档案。</w:t>
            </w:r>
          </w:p>
          <w:p w14:paraId="355A2FCB">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（4）负责项目环境保护竣工验收工作。</w:t>
            </w:r>
          </w:p>
          <w:p w14:paraId="19893233">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按照《建设项目竣工环境保护验收暂行办法》（国环规环评[2017]4号）要求组织本项目竣工环境保护验收工作，验收合格方可投入生产；本工程应建立以企业总经理领导，专职环保职能科室负责企业的环境档案管理，制定各项环保计划并监督实施，对厂区排污实行全程控制的监管，确保环保计划的实施和各项污染物的达标排放。</w:t>
            </w:r>
          </w:p>
          <w:p w14:paraId="65A66F9D">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（5）建立环境管理台账</w:t>
            </w:r>
          </w:p>
          <w:p w14:paraId="4ABC381B">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环境管理台账，指排污单位根据排污许可证的规定，对自行监测、落实各项环境管理要求等行为的具体记录。</w:t>
            </w:r>
          </w:p>
          <w:p w14:paraId="5F8BBAA6">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排污单位应建立环境管理台账记录制度，设置专职人员进行台账的记录、整理、维护和管理，并对环境管理台账的真实性、完整性和规范性负责。</w:t>
            </w:r>
          </w:p>
          <w:p w14:paraId="6563B8F1">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环境管理台账的编制要求按照《排污单位环境管理台账及排污许可证执行报告技术规范 总则(试行)》（HJ944-2018）执行，该技术规范规定了排污单位环境管理台账记录形式、记录内容、记录频次和记录保存的一般要求。</w:t>
            </w:r>
          </w:p>
          <w:p w14:paraId="30EA9AC8">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环境管理台账记录形式分为电子台账和纸质台账两种形式，保存时间原则上不低于3年。</w:t>
            </w:r>
          </w:p>
          <w:p w14:paraId="6D3B992B">
            <w:pPr>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环境管理台账记录内容包括基本信息、生产设施运行管理信息、污染防治设施运行管理信息、监测记录信息及其他环境管理信息等。生产设施、污染防治设施、排放口编码应与排污许可证副本中载明的编码一致。记录频次和记录内容要满足排污许可证的各项环境管理要求。</w:t>
            </w:r>
          </w:p>
          <w:p w14:paraId="2920E3E9">
            <w:pPr>
              <w:ind w:firstLine="482"/>
              <w:rPr>
                <w:rFonts w:hint="eastAsia"/>
                <w:b/>
                <w:bCs/>
                <w:color w:val="000000"/>
              </w:rPr>
            </w:pPr>
            <w:r>
              <w:rPr>
                <w:rFonts w:hint="eastAsia"/>
                <w:b/>
                <w:bCs/>
                <w:color w:val="000000"/>
              </w:rPr>
              <w:t>（九）应急预案</w:t>
            </w:r>
          </w:p>
          <w:p w14:paraId="4FDF51D6">
            <w:pPr>
              <w:ind w:firstLine="480"/>
            </w:pPr>
            <w:r>
              <w:rPr>
                <w:rFonts w:hint="eastAsia"/>
              </w:rPr>
              <w:t>评价要求项目按照《突发环境事件应急预案管理暂行办法》（环发</w:t>
            </w:r>
            <w:r>
              <w:t>[2010]113</w:t>
            </w:r>
            <w:r>
              <w:rPr>
                <w:rFonts w:hint="eastAsia"/>
              </w:rPr>
              <w:t>号）有关规定编制主要危险源应急预案，该应急预案主要内容汇总见表4-</w:t>
            </w:r>
            <w:r>
              <w:rPr>
                <w:rFonts w:hint="eastAsia"/>
                <w:lang w:val="en-US" w:eastAsia="zh-CN"/>
              </w:rPr>
              <w:t>15</w:t>
            </w:r>
            <w:r>
              <w:rPr>
                <w:rFonts w:hint="eastAsia"/>
              </w:rPr>
              <w:t>。</w:t>
            </w:r>
          </w:p>
          <w:p w14:paraId="24358B97">
            <w:pPr>
              <w:spacing w:line="240" w:lineRule="auto"/>
              <w:ind w:firstLine="422"/>
              <w:jc w:val="center"/>
              <w:rPr>
                <w:b/>
                <w:bCs/>
                <w:sz w:val="21"/>
                <w:szCs w:val="21"/>
              </w:rPr>
            </w:pPr>
            <w:r>
              <w:rPr>
                <w:rFonts w:hint="eastAsia"/>
                <w:b/>
                <w:bCs/>
                <w:sz w:val="21"/>
                <w:szCs w:val="21"/>
              </w:rPr>
              <w:t>表4-</w:t>
            </w:r>
            <w:r>
              <w:rPr>
                <w:rFonts w:hint="eastAsia"/>
                <w:b/>
                <w:bCs/>
                <w:sz w:val="21"/>
                <w:szCs w:val="21"/>
                <w:lang w:val="en-US" w:eastAsia="zh-CN"/>
              </w:rPr>
              <w:t>15</w:t>
            </w:r>
            <w:r>
              <w:rPr>
                <w:rFonts w:hint="eastAsia"/>
                <w:b/>
                <w:bCs/>
                <w:sz w:val="21"/>
                <w:szCs w:val="21"/>
              </w:rPr>
              <w:t xml:space="preserve">   应急预案主要内容汇总表</w:t>
            </w:r>
          </w:p>
          <w:tbl>
            <w:tblPr>
              <w:tblStyle w:val="26"/>
              <w:tblW w:w="8306"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6"/>
              <w:gridCol w:w="2212"/>
              <w:gridCol w:w="5528"/>
            </w:tblGrid>
            <w:tr w14:paraId="57BA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5C1DBDF1">
                  <w:pPr>
                    <w:spacing w:line="240" w:lineRule="auto"/>
                    <w:ind w:firstLine="0" w:firstLineChars="0"/>
                    <w:jc w:val="center"/>
                    <w:rPr>
                      <w:rFonts w:hint="eastAsia"/>
                      <w:sz w:val="21"/>
                      <w:szCs w:val="21"/>
                    </w:rPr>
                  </w:pPr>
                  <w:r>
                    <w:rPr>
                      <w:rFonts w:hint="eastAsia"/>
                      <w:sz w:val="21"/>
                      <w:szCs w:val="21"/>
                    </w:rPr>
                    <w:t>序号</w:t>
                  </w:r>
                </w:p>
              </w:tc>
              <w:tc>
                <w:tcPr>
                  <w:tcW w:w="2212" w:type="dxa"/>
                  <w:noWrap w:val="0"/>
                  <w:vAlign w:val="center"/>
                </w:tcPr>
                <w:p w14:paraId="6956B280">
                  <w:pPr>
                    <w:spacing w:line="240" w:lineRule="auto"/>
                    <w:ind w:firstLine="0" w:firstLineChars="0"/>
                    <w:jc w:val="center"/>
                    <w:rPr>
                      <w:rFonts w:hint="eastAsia"/>
                      <w:sz w:val="21"/>
                      <w:szCs w:val="21"/>
                    </w:rPr>
                  </w:pPr>
                  <w:r>
                    <w:rPr>
                      <w:rFonts w:hint="eastAsia"/>
                      <w:sz w:val="21"/>
                      <w:szCs w:val="21"/>
                    </w:rPr>
                    <w:t>项目</w:t>
                  </w:r>
                </w:p>
              </w:tc>
              <w:tc>
                <w:tcPr>
                  <w:tcW w:w="5528" w:type="dxa"/>
                  <w:noWrap w:val="0"/>
                  <w:vAlign w:val="center"/>
                </w:tcPr>
                <w:p w14:paraId="4E7E957E">
                  <w:pPr>
                    <w:spacing w:line="240" w:lineRule="auto"/>
                    <w:ind w:firstLine="0" w:firstLineChars="0"/>
                    <w:jc w:val="center"/>
                    <w:rPr>
                      <w:rFonts w:hint="eastAsia"/>
                      <w:sz w:val="21"/>
                      <w:szCs w:val="21"/>
                    </w:rPr>
                  </w:pPr>
                  <w:r>
                    <w:rPr>
                      <w:rFonts w:hint="eastAsia"/>
                      <w:sz w:val="21"/>
                      <w:szCs w:val="21"/>
                    </w:rPr>
                    <w:t>内容及要求</w:t>
                  </w:r>
                </w:p>
              </w:tc>
            </w:tr>
            <w:tr w14:paraId="3841D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43A3330C">
                  <w:pPr>
                    <w:spacing w:line="240" w:lineRule="auto"/>
                    <w:ind w:firstLine="0" w:firstLineChars="0"/>
                    <w:jc w:val="center"/>
                    <w:rPr>
                      <w:rFonts w:hint="eastAsia"/>
                      <w:sz w:val="21"/>
                      <w:szCs w:val="21"/>
                    </w:rPr>
                  </w:pPr>
                  <w:r>
                    <w:rPr>
                      <w:rFonts w:hint="eastAsia"/>
                      <w:sz w:val="21"/>
                      <w:szCs w:val="21"/>
                    </w:rPr>
                    <w:t>1</w:t>
                  </w:r>
                </w:p>
              </w:tc>
              <w:tc>
                <w:tcPr>
                  <w:tcW w:w="2212" w:type="dxa"/>
                  <w:noWrap w:val="0"/>
                  <w:vAlign w:val="center"/>
                </w:tcPr>
                <w:p w14:paraId="7988E916">
                  <w:pPr>
                    <w:spacing w:line="240" w:lineRule="auto"/>
                    <w:ind w:firstLine="0" w:firstLineChars="0"/>
                    <w:jc w:val="center"/>
                    <w:rPr>
                      <w:rFonts w:hint="eastAsia"/>
                      <w:sz w:val="21"/>
                      <w:szCs w:val="21"/>
                    </w:rPr>
                  </w:pPr>
                  <w:r>
                    <w:rPr>
                      <w:rFonts w:hint="eastAsia"/>
                      <w:sz w:val="21"/>
                      <w:szCs w:val="21"/>
                    </w:rPr>
                    <w:t>应急计划区</w:t>
                  </w:r>
                </w:p>
              </w:tc>
              <w:tc>
                <w:tcPr>
                  <w:tcW w:w="5528" w:type="dxa"/>
                  <w:noWrap w:val="0"/>
                  <w:vAlign w:val="center"/>
                </w:tcPr>
                <w:p w14:paraId="160FAC88">
                  <w:pPr>
                    <w:spacing w:line="240" w:lineRule="auto"/>
                    <w:ind w:firstLine="0" w:firstLineChars="0"/>
                    <w:jc w:val="center"/>
                    <w:rPr>
                      <w:rFonts w:hint="eastAsia"/>
                      <w:sz w:val="21"/>
                      <w:szCs w:val="21"/>
                    </w:rPr>
                  </w:pPr>
                  <w:r>
                    <w:rPr>
                      <w:rFonts w:hint="eastAsia"/>
                      <w:sz w:val="21"/>
                      <w:szCs w:val="21"/>
                    </w:rPr>
                    <w:t>危险目标：仓库区、生产车间、环境保护目标</w:t>
                  </w:r>
                </w:p>
                <w:p w14:paraId="1BB33B2A">
                  <w:pPr>
                    <w:spacing w:line="240" w:lineRule="auto"/>
                    <w:ind w:firstLine="0" w:firstLineChars="0"/>
                    <w:jc w:val="center"/>
                    <w:rPr>
                      <w:rFonts w:hint="eastAsia"/>
                      <w:sz w:val="21"/>
                      <w:szCs w:val="21"/>
                    </w:rPr>
                  </w:pPr>
                  <w:r>
                    <w:rPr>
                      <w:rFonts w:hint="eastAsia"/>
                      <w:sz w:val="21"/>
                      <w:szCs w:val="21"/>
                    </w:rPr>
                    <w:t>厂内：仓库、车间、检测室、配电房等</w:t>
                  </w:r>
                </w:p>
                <w:p w14:paraId="0F102902">
                  <w:pPr>
                    <w:spacing w:line="240" w:lineRule="auto"/>
                    <w:ind w:firstLine="0" w:firstLineChars="0"/>
                    <w:jc w:val="center"/>
                    <w:rPr>
                      <w:rFonts w:hint="eastAsia"/>
                      <w:sz w:val="21"/>
                      <w:szCs w:val="21"/>
                    </w:rPr>
                  </w:pPr>
                  <w:r>
                    <w:rPr>
                      <w:rFonts w:hint="eastAsia"/>
                      <w:sz w:val="21"/>
                      <w:szCs w:val="21"/>
                    </w:rPr>
                    <w:t>厂外：交通要道等</w:t>
                  </w:r>
                </w:p>
              </w:tc>
            </w:tr>
            <w:tr w14:paraId="2DD8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6E1185E0">
                  <w:pPr>
                    <w:spacing w:line="240" w:lineRule="auto"/>
                    <w:ind w:firstLine="0" w:firstLineChars="0"/>
                    <w:jc w:val="center"/>
                    <w:rPr>
                      <w:rFonts w:hint="eastAsia"/>
                      <w:sz w:val="21"/>
                      <w:szCs w:val="21"/>
                    </w:rPr>
                  </w:pPr>
                  <w:r>
                    <w:rPr>
                      <w:rFonts w:hint="eastAsia"/>
                      <w:sz w:val="21"/>
                      <w:szCs w:val="21"/>
                    </w:rPr>
                    <w:t>2</w:t>
                  </w:r>
                </w:p>
              </w:tc>
              <w:tc>
                <w:tcPr>
                  <w:tcW w:w="2212" w:type="dxa"/>
                  <w:noWrap w:val="0"/>
                  <w:vAlign w:val="center"/>
                </w:tcPr>
                <w:p w14:paraId="2EFD7B51">
                  <w:pPr>
                    <w:spacing w:line="240" w:lineRule="auto"/>
                    <w:ind w:firstLine="0" w:firstLineChars="0"/>
                    <w:jc w:val="center"/>
                    <w:rPr>
                      <w:rFonts w:hint="eastAsia"/>
                      <w:sz w:val="21"/>
                      <w:szCs w:val="21"/>
                    </w:rPr>
                  </w:pPr>
                  <w:r>
                    <w:rPr>
                      <w:rFonts w:hint="eastAsia"/>
                      <w:sz w:val="21"/>
                      <w:szCs w:val="21"/>
                    </w:rPr>
                    <w:t>应急组织机构、人员</w:t>
                  </w:r>
                </w:p>
              </w:tc>
              <w:tc>
                <w:tcPr>
                  <w:tcW w:w="5528" w:type="dxa"/>
                  <w:noWrap w:val="0"/>
                  <w:vAlign w:val="center"/>
                </w:tcPr>
                <w:p w14:paraId="2D5AC8F6">
                  <w:pPr>
                    <w:spacing w:line="240" w:lineRule="auto"/>
                    <w:ind w:firstLine="0" w:firstLineChars="0"/>
                    <w:jc w:val="center"/>
                    <w:rPr>
                      <w:rFonts w:hint="eastAsia"/>
                      <w:sz w:val="21"/>
                      <w:szCs w:val="21"/>
                    </w:rPr>
                  </w:pPr>
                  <w:r>
                    <w:rPr>
                      <w:rFonts w:hint="eastAsia"/>
                      <w:sz w:val="21"/>
                      <w:szCs w:val="21"/>
                    </w:rPr>
                    <w:t>工厂应急组织机构、人员</w:t>
                  </w:r>
                </w:p>
              </w:tc>
            </w:tr>
            <w:tr w14:paraId="44DE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3C14C6AD">
                  <w:pPr>
                    <w:spacing w:line="240" w:lineRule="auto"/>
                    <w:ind w:firstLine="0" w:firstLineChars="0"/>
                    <w:jc w:val="center"/>
                    <w:rPr>
                      <w:rFonts w:hint="eastAsia"/>
                      <w:sz w:val="21"/>
                      <w:szCs w:val="21"/>
                    </w:rPr>
                  </w:pPr>
                  <w:r>
                    <w:rPr>
                      <w:rFonts w:hint="eastAsia"/>
                      <w:sz w:val="21"/>
                      <w:szCs w:val="21"/>
                    </w:rPr>
                    <w:t>3</w:t>
                  </w:r>
                </w:p>
              </w:tc>
              <w:tc>
                <w:tcPr>
                  <w:tcW w:w="2212" w:type="dxa"/>
                  <w:noWrap w:val="0"/>
                  <w:vAlign w:val="center"/>
                </w:tcPr>
                <w:p w14:paraId="28C05A91">
                  <w:pPr>
                    <w:spacing w:line="240" w:lineRule="auto"/>
                    <w:ind w:firstLine="0" w:firstLineChars="0"/>
                    <w:jc w:val="center"/>
                    <w:rPr>
                      <w:rFonts w:hint="eastAsia"/>
                      <w:sz w:val="21"/>
                      <w:szCs w:val="21"/>
                    </w:rPr>
                  </w:pPr>
                  <w:r>
                    <w:rPr>
                      <w:rFonts w:hint="eastAsia"/>
                      <w:sz w:val="21"/>
                      <w:szCs w:val="21"/>
                    </w:rPr>
                    <w:t>预案分级响应条件</w:t>
                  </w:r>
                </w:p>
              </w:tc>
              <w:tc>
                <w:tcPr>
                  <w:tcW w:w="5528" w:type="dxa"/>
                  <w:noWrap w:val="0"/>
                  <w:vAlign w:val="center"/>
                </w:tcPr>
                <w:p w14:paraId="5345B084">
                  <w:pPr>
                    <w:spacing w:line="240" w:lineRule="auto"/>
                    <w:ind w:firstLine="0" w:firstLineChars="0"/>
                    <w:jc w:val="center"/>
                    <w:rPr>
                      <w:rFonts w:hint="eastAsia"/>
                      <w:sz w:val="21"/>
                      <w:szCs w:val="21"/>
                    </w:rPr>
                  </w:pPr>
                  <w:r>
                    <w:rPr>
                      <w:rFonts w:hint="eastAsia"/>
                      <w:sz w:val="21"/>
                      <w:szCs w:val="21"/>
                    </w:rPr>
                    <w:t>规定预案级别分级响应程序</w:t>
                  </w:r>
                </w:p>
              </w:tc>
            </w:tr>
            <w:tr w14:paraId="4ABBC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6330A314">
                  <w:pPr>
                    <w:spacing w:line="240" w:lineRule="auto"/>
                    <w:ind w:firstLine="0" w:firstLineChars="0"/>
                    <w:jc w:val="center"/>
                    <w:rPr>
                      <w:rFonts w:hint="eastAsia"/>
                      <w:sz w:val="21"/>
                      <w:szCs w:val="21"/>
                    </w:rPr>
                  </w:pPr>
                  <w:r>
                    <w:rPr>
                      <w:rFonts w:hint="eastAsia"/>
                      <w:sz w:val="21"/>
                      <w:szCs w:val="21"/>
                    </w:rPr>
                    <w:t>4</w:t>
                  </w:r>
                </w:p>
              </w:tc>
              <w:tc>
                <w:tcPr>
                  <w:tcW w:w="2212" w:type="dxa"/>
                  <w:noWrap w:val="0"/>
                  <w:vAlign w:val="center"/>
                </w:tcPr>
                <w:p w14:paraId="1C67DC95">
                  <w:pPr>
                    <w:spacing w:line="240" w:lineRule="auto"/>
                    <w:ind w:firstLine="0" w:firstLineChars="0"/>
                    <w:jc w:val="center"/>
                    <w:rPr>
                      <w:rFonts w:hint="eastAsia"/>
                      <w:sz w:val="21"/>
                      <w:szCs w:val="21"/>
                    </w:rPr>
                  </w:pPr>
                  <w:r>
                    <w:rPr>
                      <w:rFonts w:hint="eastAsia"/>
                      <w:sz w:val="21"/>
                      <w:szCs w:val="21"/>
                    </w:rPr>
                    <w:t>应急救援保障</w:t>
                  </w:r>
                </w:p>
              </w:tc>
              <w:tc>
                <w:tcPr>
                  <w:tcW w:w="5528" w:type="dxa"/>
                  <w:noWrap w:val="0"/>
                  <w:vAlign w:val="center"/>
                </w:tcPr>
                <w:p w14:paraId="0819DEB8">
                  <w:pPr>
                    <w:spacing w:line="240" w:lineRule="auto"/>
                    <w:ind w:firstLine="0" w:firstLineChars="0"/>
                    <w:jc w:val="center"/>
                    <w:rPr>
                      <w:rFonts w:hint="eastAsia"/>
                      <w:sz w:val="21"/>
                      <w:szCs w:val="21"/>
                    </w:rPr>
                  </w:pPr>
                  <w:r>
                    <w:rPr>
                      <w:rFonts w:hint="eastAsia"/>
                      <w:sz w:val="21"/>
                      <w:szCs w:val="21"/>
                    </w:rPr>
                    <w:t>应急设施、设备与器材</w:t>
                  </w:r>
                </w:p>
              </w:tc>
            </w:tr>
            <w:tr w14:paraId="07F48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27BEC3A7">
                  <w:pPr>
                    <w:spacing w:line="240" w:lineRule="auto"/>
                    <w:ind w:firstLine="0" w:firstLineChars="0"/>
                    <w:jc w:val="center"/>
                    <w:rPr>
                      <w:rFonts w:hint="eastAsia"/>
                      <w:sz w:val="21"/>
                      <w:szCs w:val="21"/>
                    </w:rPr>
                  </w:pPr>
                  <w:r>
                    <w:rPr>
                      <w:rFonts w:hint="eastAsia"/>
                      <w:sz w:val="21"/>
                      <w:szCs w:val="21"/>
                    </w:rPr>
                    <w:t>5</w:t>
                  </w:r>
                </w:p>
              </w:tc>
              <w:tc>
                <w:tcPr>
                  <w:tcW w:w="2212" w:type="dxa"/>
                  <w:noWrap w:val="0"/>
                  <w:vAlign w:val="center"/>
                </w:tcPr>
                <w:p w14:paraId="7370B34E">
                  <w:pPr>
                    <w:spacing w:line="240" w:lineRule="auto"/>
                    <w:ind w:firstLine="0" w:firstLineChars="0"/>
                    <w:jc w:val="center"/>
                    <w:rPr>
                      <w:rFonts w:hint="eastAsia"/>
                      <w:sz w:val="21"/>
                      <w:szCs w:val="21"/>
                    </w:rPr>
                  </w:pPr>
                  <w:r>
                    <w:rPr>
                      <w:rFonts w:hint="eastAsia"/>
                      <w:sz w:val="21"/>
                      <w:szCs w:val="21"/>
                    </w:rPr>
                    <w:t>报警、通讯联络方式</w:t>
                  </w:r>
                </w:p>
              </w:tc>
              <w:tc>
                <w:tcPr>
                  <w:tcW w:w="5528" w:type="dxa"/>
                  <w:noWrap w:val="0"/>
                  <w:vAlign w:val="center"/>
                </w:tcPr>
                <w:p w14:paraId="6F771B75">
                  <w:pPr>
                    <w:spacing w:line="240" w:lineRule="auto"/>
                    <w:ind w:firstLine="0" w:firstLineChars="0"/>
                    <w:jc w:val="center"/>
                    <w:rPr>
                      <w:rFonts w:hint="eastAsia"/>
                      <w:sz w:val="21"/>
                      <w:szCs w:val="21"/>
                    </w:rPr>
                  </w:pPr>
                  <w:r>
                    <w:rPr>
                      <w:rFonts w:hint="eastAsia"/>
                      <w:sz w:val="21"/>
                      <w:szCs w:val="21"/>
                    </w:rPr>
                    <w:t>规定应急状态下的报警方式、通知方式和交通保障、管制等相关内容</w:t>
                  </w:r>
                </w:p>
              </w:tc>
            </w:tr>
            <w:tr w14:paraId="48D91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7D0D38C9">
                  <w:pPr>
                    <w:spacing w:line="240" w:lineRule="auto"/>
                    <w:ind w:firstLine="0" w:firstLineChars="0"/>
                    <w:jc w:val="center"/>
                    <w:rPr>
                      <w:rFonts w:hint="eastAsia"/>
                      <w:sz w:val="21"/>
                      <w:szCs w:val="21"/>
                    </w:rPr>
                  </w:pPr>
                  <w:r>
                    <w:rPr>
                      <w:rFonts w:hint="eastAsia"/>
                      <w:sz w:val="21"/>
                      <w:szCs w:val="21"/>
                    </w:rPr>
                    <w:t>6</w:t>
                  </w:r>
                </w:p>
              </w:tc>
              <w:tc>
                <w:tcPr>
                  <w:tcW w:w="2212" w:type="dxa"/>
                  <w:noWrap w:val="0"/>
                  <w:vAlign w:val="center"/>
                </w:tcPr>
                <w:p w14:paraId="545C819E">
                  <w:pPr>
                    <w:spacing w:line="240" w:lineRule="auto"/>
                    <w:ind w:firstLine="0" w:firstLineChars="0"/>
                    <w:jc w:val="center"/>
                    <w:rPr>
                      <w:rFonts w:hint="eastAsia"/>
                      <w:sz w:val="21"/>
                      <w:szCs w:val="21"/>
                    </w:rPr>
                  </w:pPr>
                  <w:r>
                    <w:rPr>
                      <w:rFonts w:hint="eastAsia"/>
                      <w:sz w:val="21"/>
                      <w:szCs w:val="21"/>
                    </w:rPr>
                    <w:t>应急环境监测、抢险、救援及控制措施</w:t>
                  </w:r>
                </w:p>
              </w:tc>
              <w:tc>
                <w:tcPr>
                  <w:tcW w:w="5528" w:type="dxa"/>
                  <w:noWrap w:val="0"/>
                  <w:vAlign w:val="center"/>
                </w:tcPr>
                <w:p w14:paraId="2649034B">
                  <w:pPr>
                    <w:spacing w:line="240" w:lineRule="auto"/>
                    <w:ind w:firstLine="0" w:firstLineChars="0"/>
                    <w:jc w:val="center"/>
                    <w:rPr>
                      <w:rFonts w:hint="eastAsia"/>
                      <w:sz w:val="21"/>
                      <w:szCs w:val="21"/>
                    </w:rPr>
                  </w:pPr>
                  <w:r>
                    <w:rPr>
                      <w:rFonts w:hint="eastAsia"/>
                      <w:sz w:val="21"/>
                      <w:szCs w:val="21"/>
                    </w:rPr>
                    <w:t>由专业队伍负责对事故现场进行监测，对事故性质、参数与后果进行评估，为指挥部门提供决策依据</w:t>
                  </w:r>
                </w:p>
              </w:tc>
            </w:tr>
            <w:tr w14:paraId="5020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20C74F00">
                  <w:pPr>
                    <w:spacing w:line="240" w:lineRule="auto"/>
                    <w:ind w:firstLine="0" w:firstLineChars="0"/>
                    <w:jc w:val="center"/>
                    <w:rPr>
                      <w:rFonts w:hint="eastAsia"/>
                      <w:sz w:val="21"/>
                      <w:szCs w:val="21"/>
                    </w:rPr>
                  </w:pPr>
                  <w:r>
                    <w:rPr>
                      <w:rFonts w:hint="eastAsia"/>
                      <w:sz w:val="21"/>
                      <w:szCs w:val="21"/>
                    </w:rPr>
                    <w:t>7</w:t>
                  </w:r>
                </w:p>
              </w:tc>
              <w:tc>
                <w:tcPr>
                  <w:tcW w:w="2212" w:type="dxa"/>
                  <w:noWrap w:val="0"/>
                  <w:vAlign w:val="center"/>
                </w:tcPr>
                <w:p w14:paraId="7AE3C93D">
                  <w:pPr>
                    <w:spacing w:line="240" w:lineRule="auto"/>
                    <w:ind w:firstLine="0" w:firstLineChars="0"/>
                    <w:jc w:val="center"/>
                    <w:rPr>
                      <w:rFonts w:hint="eastAsia"/>
                      <w:sz w:val="21"/>
                      <w:szCs w:val="21"/>
                    </w:rPr>
                  </w:pPr>
                  <w:r>
                    <w:rPr>
                      <w:rFonts w:hint="eastAsia"/>
                      <w:sz w:val="21"/>
                      <w:szCs w:val="21"/>
                    </w:rPr>
                    <w:t>应急检测、防护措施、清除泄漏措施和器材</w:t>
                  </w:r>
                </w:p>
              </w:tc>
              <w:tc>
                <w:tcPr>
                  <w:tcW w:w="5528" w:type="dxa"/>
                  <w:noWrap w:val="0"/>
                  <w:vAlign w:val="center"/>
                </w:tcPr>
                <w:p w14:paraId="6F5EA8A3">
                  <w:pPr>
                    <w:spacing w:line="240" w:lineRule="auto"/>
                    <w:ind w:firstLine="0" w:firstLineChars="0"/>
                    <w:jc w:val="center"/>
                    <w:rPr>
                      <w:rFonts w:hint="eastAsia"/>
                      <w:sz w:val="21"/>
                      <w:szCs w:val="21"/>
                    </w:rPr>
                  </w:pPr>
                  <w:r>
                    <w:rPr>
                      <w:rFonts w:hint="eastAsia"/>
                      <w:sz w:val="21"/>
                      <w:szCs w:val="21"/>
                    </w:rPr>
                    <w:t>防火区域控制：事故现场邻近区域</w:t>
                  </w:r>
                </w:p>
                <w:p w14:paraId="61F1FEE5">
                  <w:pPr>
                    <w:spacing w:line="240" w:lineRule="auto"/>
                    <w:ind w:firstLine="0" w:firstLineChars="0"/>
                    <w:jc w:val="center"/>
                    <w:rPr>
                      <w:rFonts w:hint="eastAsia"/>
                      <w:sz w:val="21"/>
                      <w:szCs w:val="21"/>
                    </w:rPr>
                  </w:pPr>
                  <w:r>
                    <w:rPr>
                      <w:rFonts w:hint="eastAsia"/>
                      <w:sz w:val="21"/>
                      <w:szCs w:val="21"/>
                    </w:rPr>
                    <w:t>清除污染措施：事故现场邻近区域</w:t>
                  </w:r>
                </w:p>
                <w:p w14:paraId="128D5C8B">
                  <w:pPr>
                    <w:spacing w:line="240" w:lineRule="auto"/>
                    <w:ind w:firstLine="0" w:firstLineChars="0"/>
                    <w:jc w:val="center"/>
                    <w:rPr>
                      <w:rFonts w:hint="eastAsia"/>
                      <w:sz w:val="21"/>
                      <w:szCs w:val="21"/>
                    </w:rPr>
                  </w:pPr>
                  <w:r>
                    <w:rPr>
                      <w:rFonts w:hint="eastAsia"/>
                      <w:sz w:val="21"/>
                      <w:szCs w:val="21"/>
                    </w:rPr>
                    <w:t>清除污染设备 及配置</w:t>
                  </w:r>
                </w:p>
              </w:tc>
            </w:tr>
            <w:tr w14:paraId="7CF30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4DE7300A">
                  <w:pPr>
                    <w:spacing w:line="240" w:lineRule="auto"/>
                    <w:ind w:firstLine="0" w:firstLineChars="0"/>
                    <w:jc w:val="center"/>
                    <w:rPr>
                      <w:rFonts w:hint="eastAsia"/>
                      <w:sz w:val="21"/>
                      <w:szCs w:val="21"/>
                    </w:rPr>
                  </w:pPr>
                  <w:r>
                    <w:rPr>
                      <w:rFonts w:hint="eastAsia"/>
                      <w:sz w:val="21"/>
                      <w:szCs w:val="21"/>
                    </w:rPr>
                    <w:t>8</w:t>
                  </w:r>
                </w:p>
              </w:tc>
              <w:tc>
                <w:tcPr>
                  <w:tcW w:w="2212" w:type="dxa"/>
                  <w:noWrap w:val="0"/>
                  <w:vAlign w:val="center"/>
                </w:tcPr>
                <w:p w14:paraId="0EC6631C">
                  <w:pPr>
                    <w:spacing w:line="240" w:lineRule="auto"/>
                    <w:ind w:firstLine="0" w:firstLineChars="0"/>
                    <w:jc w:val="center"/>
                    <w:rPr>
                      <w:rFonts w:hint="eastAsia"/>
                      <w:sz w:val="21"/>
                      <w:szCs w:val="21"/>
                    </w:rPr>
                  </w:pPr>
                  <w:r>
                    <w:rPr>
                      <w:rFonts w:hint="eastAsia"/>
                      <w:sz w:val="21"/>
                      <w:szCs w:val="21"/>
                    </w:rPr>
                    <w:t>人员紧急撤离、疏散、应急剂量控制、撤离组织计划</w:t>
                  </w:r>
                </w:p>
              </w:tc>
              <w:tc>
                <w:tcPr>
                  <w:tcW w:w="5528" w:type="dxa"/>
                  <w:noWrap w:val="0"/>
                  <w:vAlign w:val="center"/>
                </w:tcPr>
                <w:p w14:paraId="782E305F">
                  <w:pPr>
                    <w:spacing w:line="240" w:lineRule="auto"/>
                    <w:ind w:firstLine="0" w:firstLineChars="0"/>
                    <w:jc w:val="center"/>
                    <w:rPr>
                      <w:rFonts w:hint="eastAsia"/>
                      <w:sz w:val="21"/>
                      <w:szCs w:val="21"/>
                    </w:rPr>
                  </w:pPr>
                  <w:r>
                    <w:rPr>
                      <w:rFonts w:hint="eastAsia"/>
                      <w:sz w:val="21"/>
                      <w:szCs w:val="21"/>
                    </w:rPr>
                    <w:t>毒物应急剂量控制规定：事故现场、工厂、邻近区</w:t>
                  </w:r>
                </w:p>
                <w:p w14:paraId="469C1485">
                  <w:pPr>
                    <w:spacing w:line="240" w:lineRule="auto"/>
                    <w:ind w:firstLine="0" w:firstLineChars="0"/>
                    <w:jc w:val="center"/>
                    <w:rPr>
                      <w:rFonts w:hint="eastAsia"/>
                      <w:sz w:val="21"/>
                      <w:szCs w:val="21"/>
                    </w:rPr>
                  </w:pPr>
                  <w:r>
                    <w:rPr>
                      <w:rFonts w:hint="eastAsia"/>
                      <w:sz w:val="21"/>
                      <w:szCs w:val="21"/>
                    </w:rPr>
                    <w:t>撤离组织计划医疗救护公众健康</w:t>
                  </w:r>
                </w:p>
              </w:tc>
            </w:tr>
            <w:tr w14:paraId="37881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3290E62F">
                  <w:pPr>
                    <w:spacing w:line="240" w:lineRule="auto"/>
                    <w:ind w:firstLine="0" w:firstLineChars="0"/>
                    <w:jc w:val="center"/>
                    <w:rPr>
                      <w:rFonts w:hint="eastAsia"/>
                      <w:sz w:val="21"/>
                      <w:szCs w:val="21"/>
                    </w:rPr>
                  </w:pPr>
                  <w:r>
                    <w:rPr>
                      <w:rFonts w:hint="eastAsia"/>
                      <w:sz w:val="21"/>
                      <w:szCs w:val="21"/>
                    </w:rPr>
                    <w:t>9</w:t>
                  </w:r>
                </w:p>
              </w:tc>
              <w:tc>
                <w:tcPr>
                  <w:tcW w:w="2212" w:type="dxa"/>
                  <w:noWrap w:val="0"/>
                  <w:vAlign w:val="center"/>
                </w:tcPr>
                <w:p w14:paraId="73BF3903">
                  <w:pPr>
                    <w:spacing w:line="240" w:lineRule="auto"/>
                    <w:ind w:firstLine="0" w:firstLineChars="0"/>
                    <w:jc w:val="center"/>
                    <w:rPr>
                      <w:rFonts w:hint="eastAsia"/>
                      <w:sz w:val="21"/>
                      <w:szCs w:val="21"/>
                    </w:rPr>
                  </w:pPr>
                  <w:r>
                    <w:rPr>
                      <w:rFonts w:hint="eastAsia"/>
                      <w:sz w:val="21"/>
                      <w:szCs w:val="21"/>
                    </w:rPr>
                    <w:t>事故应急救援关闭程序</w:t>
                  </w:r>
                </w:p>
              </w:tc>
              <w:tc>
                <w:tcPr>
                  <w:tcW w:w="5528" w:type="dxa"/>
                  <w:noWrap w:val="0"/>
                  <w:vAlign w:val="center"/>
                </w:tcPr>
                <w:p w14:paraId="22A3D432">
                  <w:pPr>
                    <w:spacing w:line="240" w:lineRule="auto"/>
                    <w:ind w:firstLine="0" w:firstLineChars="0"/>
                    <w:jc w:val="center"/>
                    <w:rPr>
                      <w:rFonts w:hint="eastAsia"/>
                      <w:sz w:val="21"/>
                      <w:szCs w:val="21"/>
                    </w:rPr>
                  </w:pPr>
                  <w:r>
                    <w:rPr>
                      <w:rFonts w:hint="eastAsia"/>
                      <w:sz w:val="21"/>
                      <w:szCs w:val="21"/>
                    </w:rPr>
                    <w:t>规定应急状态终止程序事故现场善后处理，恢复措施基地、邻近区域解除事故警戒及善后恢复措施</w:t>
                  </w:r>
                </w:p>
              </w:tc>
            </w:tr>
            <w:tr w14:paraId="0D48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3C0B5017">
                  <w:pPr>
                    <w:spacing w:line="240" w:lineRule="auto"/>
                    <w:ind w:firstLine="0" w:firstLineChars="0"/>
                    <w:jc w:val="center"/>
                    <w:rPr>
                      <w:rFonts w:hint="eastAsia"/>
                      <w:sz w:val="21"/>
                      <w:szCs w:val="21"/>
                    </w:rPr>
                  </w:pPr>
                  <w:r>
                    <w:rPr>
                      <w:rFonts w:hint="eastAsia"/>
                      <w:sz w:val="21"/>
                      <w:szCs w:val="21"/>
                    </w:rPr>
                    <w:t>10</w:t>
                  </w:r>
                </w:p>
              </w:tc>
              <w:tc>
                <w:tcPr>
                  <w:tcW w:w="2212" w:type="dxa"/>
                  <w:noWrap w:val="0"/>
                  <w:vAlign w:val="center"/>
                </w:tcPr>
                <w:p w14:paraId="6E132132">
                  <w:pPr>
                    <w:spacing w:line="240" w:lineRule="auto"/>
                    <w:ind w:firstLine="0" w:firstLineChars="0"/>
                    <w:jc w:val="center"/>
                    <w:rPr>
                      <w:rFonts w:hint="eastAsia"/>
                      <w:sz w:val="21"/>
                      <w:szCs w:val="21"/>
                    </w:rPr>
                  </w:pPr>
                  <w:r>
                    <w:rPr>
                      <w:rFonts w:hint="eastAsia"/>
                      <w:sz w:val="21"/>
                      <w:szCs w:val="21"/>
                    </w:rPr>
                    <w:t>应急培训计划</w:t>
                  </w:r>
                </w:p>
              </w:tc>
              <w:tc>
                <w:tcPr>
                  <w:tcW w:w="5528" w:type="dxa"/>
                  <w:noWrap w:val="0"/>
                  <w:vAlign w:val="center"/>
                </w:tcPr>
                <w:p w14:paraId="1B9A09B7">
                  <w:pPr>
                    <w:spacing w:line="240" w:lineRule="auto"/>
                    <w:ind w:firstLine="0" w:firstLineChars="0"/>
                    <w:jc w:val="center"/>
                    <w:rPr>
                      <w:rFonts w:hint="eastAsia"/>
                      <w:sz w:val="21"/>
                      <w:szCs w:val="21"/>
                    </w:rPr>
                  </w:pPr>
                  <w:r>
                    <w:rPr>
                      <w:rFonts w:hint="eastAsia"/>
                      <w:sz w:val="21"/>
                      <w:szCs w:val="21"/>
                    </w:rPr>
                    <w:t>人员培训应急预案演练</w:t>
                  </w:r>
                </w:p>
              </w:tc>
            </w:tr>
            <w:tr w14:paraId="03A3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566" w:type="dxa"/>
                  <w:noWrap w:val="0"/>
                  <w:vAlign w:val="center"/>
                </w:tcPr>
                <w:p w14:paraId="409C0BDD">
                  <w:pPr>
                    <w:spacing w:line="240" w:lineRule="auto"/>
                    <w:ind w:firstLine="0" w:firstLineChars="0"/>
                    <w:jc w:val="center"/>
                    <w:rPr>
                      <w:rFonts w:hint="eastAsia"/>
                      <w:sz w:val="21"/>
                      <w:szCs w:val="21"/>
                    </w:rPr>
                  </w:pPr>
                  <w:r>
                    <w:rPr>
                      <w:rFonts w:hint="eastAsia"/>
                      <w:sz w:val="21"/>
                      <w:szCs w:val="21"/>
                    </w:rPr>
                    <w:t>11</w:t>
                  </w:r>
                </w:p>
              </w:tc>
              <w:tc>
                <w:tcPr>
                  <w:tcW w:w="2212" w:type="dxa"/>
                  <w:noWrap w:val="0"/>
                  <w:vAlign w:val="center"/>
                </w:tcPr>
                <w:p w14:paraId="646814C7">
                  <w:pPr>
                    <w:spacing w:line="240" w:lineRule="auto"/>
                    <w:ind w:firstLine="0" w:firstLineChars="0"/>
                    <w:jc w:val="center"/>
                    <w:rPr>
                      <w:rFonts w:hint="eastAsia"/>
                      <w:sz w:val="21"/>
                      <w:szCs w:val="21"/>
                    </w:rPr>
                  </w:pPr>
                  <w:r>
                    <w:rPr>
                      <w:rFonts w:hint="eastAsia"/>
                      <w:sz w:val="21"/>
                      <w:szCs w:val="21"/>
                    </w:rPr>
                    <w:t>公众教育和信息</w:t>
                  </w:r>
                </w:p>
              </w:tc>
              <w:tc>
                <w:tcPr>
                  <w:tcW w:w="5528" w:type="dxa"/>
                  <w:noWrap w:val="0"/>
                  <w:vAlign w:val="center"/>
                </w:tcPr>
                <w:p w14:paraId="777E41A1">
                  <w:pPr>
                    <w:spacing w:line="240" w:lineRule="auto"/>
                    <w:ind w:firstLine="0" w:firstLineChars="0"/>
                    <w:jc w:val="center"/>
                    <w:rPr>
                      <w:rFonts w:hint="eastAsia"/>
                      <w:sz w:val="21"/>
                      <w:szCs w:val="21"/>
                    </w:rPr>
                  </w:pPr>
                  <w:r>
                    <w:rPr>
                      <w:rFonts w:hint="eastAsia"/>
                      <w:sz w:val="21"/>
                      <w:szCs w:val="21"/>
                    </w:rPr>
                    <w:t>和公众教育及发布</w:t>
                  </w:r>
                </w:p>
              </w:tc>
            </w:tr>
          </w:tbl>
          <w:p w14:paraId="1260D284">
            <w:pPr>
              <w:ind w:firstLine="482"/>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r>
              <w:rPr>
                <w:rFonts w:hint="eastAsia"/>
                <w:b/>
                <w:bCs/>
                <w:color w:val="000000" w:themeColor="text1"/>
                <w:lang w:eastAsia="zh-CN"/>
                <w14:textFill>
                  <w14:solidFill>
                    <w14:schemeClr w14:val="tx1"/>
                  </w14:solidFill>
                </w14:textFill>
              </w:rPr>
              <w:t>十</w:t>
            </w:r>
            <w:r>
              <w:rPr>
                <w:rFonts w:hint="eastAsia"/>
                <w:b/>
                <w:bCs/>
                <w:color w:val="000000" w:themeColor="text1"/>
                <w14:textFill>
                  <w14:solidFill>
                    <w14:schemeClr w14:val="tx1"/>
                  </w14:solidFill>
                </w14:textFill>
              </w:rPr>
              <w:t>）环保投资</w:t>
            </w:r>
          </w:p>
          <w:p w14:paraId="3BDDC50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项目总投资</w:t>
            </w:r>
            <w:r>
              <w:rPr>
                <w:rFonts w:hint="eastAsia"/>
                <w:color w:val="000000" w:themeColor="text1"/>
                <w:lang w:val="en-US" w:eastAsia="zh-CN"/>
                <w14:textFill>
                  <w14:solidFill>
                    <w14:schemeClr w14:val="tx1"/>
                  </w14:solidFill>
                </w14:textFill>
              </w:rPr>
              <w:t>650</w:t>
            </w:r>
            <w:r>
              <w:rPr>
                <w:rFonts w:hint="eastAsia"/>
                <w:color w:val="000000" w:themeColor="text1"/>
                <w14:textFill>
                  <w14:solidFill>
                    <w14:schemeClr w14:val="tx1"/>
                  </w14:solidFill>
                </w14:textFill>
              </w:rPr>
              <w:t>万元，其中用于本项目污染防治的投资约</w:t>
            </w:r>
            <w:r>
              <w:rPr>
                <w:rFonts w:hint="eastAsia"/>
                <w:color w:val="000000" w:themeColor="text1"/>
                <w:lang w:val="en-US" w:eastAsia="zh-CN"/>
                <w14:textFill>
                  <w14:solidFill>
                    <w14:schemeClr w14:val="tx1"/>
                  </w14:solidFill>
                </w14:textFill>
              </w:rPr>
              <w:t>47</w:t>
            </w:r>
            <w:r>
              <w:rPr>
                <w:rFonts w:hint="eastAsia"/>
                <w:color w:val="000000" w:themeColor="text1"/>
                <w14:textFill>
                  <w14:solidFill>
                    <w14:schemeClr w14:val="tx1"/>
                  </w14:solidFill>
                </w14:textFill>
              </w:rPr>
              <w:t>万，占总投资的</w:t>
            </w:r>
            <w:r>
              <w:rPr>
                <w:rFonts w:hint="eastAsia"/>
                <w:color w:val="000000" w:themeColor="text1"/>
                <w:lang w:val="en-US" w:eastAsia="zh-CN"/>
                <w14:textFill>
                  <w14:solidFill>
                    <w14:schemeClr w14:val="tx1"/>
                  </w14:solidFill>
                </w14:textFill>
              </w:rPr>
              <w:t>7.23</w:t>
            </w:r>
            <w:r>
              <w:rPr>
                <w:rFonts w:hint="eastAsia"/>
                <w:color w:val="000000" w:themeColor="text1"/>
                <w14:textFill>
                  <w14:solidFill>
                    <w14:schemeClr w14:val="tx1"/>
                  </w14:solidFill>
                </w14:textFill>
              </w:rPr>
              <w:t>%，具体分析如下：</w:t>
            </w:r>
          </w:p>
          <w:p w14:paraId="1837BD1C">
            <w:pPr>
              <w:spacing w:line="240" w:lineRule="auto"/>
              <w:ind w:firstLine="422"/>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14:textFill>
                  <w14:solidFill>
                    <w14:schemeClr w14:val="tx1"/>
                  </w14:solidFill>
                </w14:textFill>
              </w:rPr>
              <w:t>4-1</w:t>
            </w:r>
            <w:r>
              <w:rPr>
                <w:rFonts w:hint="eastAsia"/>
                <w:b/>
                <w:bCs/>
                <w:color w:val="000000" w:themeColor="text1"/>
                <w:sz w:val="21"/>
                <w:szCs w:val="21"/>
                <w:lang w:val="en-US" w:eastAsia="zh-CN"/>
                <w14:textFill>
                  <w14:solidFill>
                    <w14:schemeClr w14:val="tx1"/>
                  </w14:solidFill>
                </w14:textFill>
              </w:rPr>
              <w:t>6</w:t>
            </w:r>
            <w:r>
              <w:rPr>
                <w:rFonts w:hint="eastAsia"/>
                <w:b/>
                <w:bCs/>
                <w:color w:val="000000" w:themeColor="text1"/>
                <w:sz w:val="21"/>
                <w:szCs w:val="21"/>
                <w14:textFill>
                  <w14:solidFill>
                    <w14:schemeClr w14:val="tx1"/>
                  </w14:solidFill>
                </w14:textFill>
              </w:rPr>
              <w:t xml:space="preserve">  </w:t>
            </w:r>
            <w:r>
              <w:rPr>
                <w:b/>
                <w:bCs/>
                <w:color w:val="000000" w:themeColor="text1"/>
                <w:sz w:val="21"/>
                <w:szCs w:val="21"/>
                <w14:textFill>
                  <w14:solidFill>
                    <w14:schemeClr w14:val="tx1"/>
                  </w14:solidFill>
                </w14:textFill>
              </w:rPr>
              <w:t>项目环保投资一览表</w:t>
            </w:r>
            <w:r>
              <w:rPr>
                <w:rFonts w:hint="eastAsia"/>
                <w:b/>
                <w:bCs/>
                <w:color w:val="000000" w:themeColor="text1"/>
                <w:sz w:val="21"/>
                <w:szCs w:val="21"/>
                <w14:textFill>
                  <w14:solidFill>
                    <w14:schemeClr w14:val="tx1"/>
                  </w14:solidFill>
                </w14:textFill>
              </w:rPr>
              <w:t xml:space="preserve">  </w:t>
            </w:r>
            <w:r>
              <w:rPr>
                <w:b/>
                <w:bCs/>
                <w:color w:val="000000" w:themeColor="text1"/>
                <w:sz w:val="21"/>
                <w:szCs w:val="21"/>
                <w14:textFill>
                  <w14:solidFill>
                    <w14:schemeClr w14:val="tx1"/>
                  </w14:solidFill>
                </w14:textFill>
              </w:rPr>
              <w:t>单位：万元</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2034"/>
              <w:gridCol w:w="2843"/>
              <w:gridCol w:w="1118"/>
              <w:gridCol w:w="1156"/>
            </w:tblGrid>
            <w:tr w14:paraId="7106AE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674" w:type="pct"/>
                  <w:noWrap w:val="0"/>
                  <w:vAlign w:val="center"/>
                </w:tcPr>
                <w:p w14:paraId="16B576A5">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治理项目</w:t>
                  </w:r>
                </w:p>
              </w:tc>
              <w:tc>
                <w:tcPr>
                  <w:tcW w:w="1230" w:type="pct"/>
                  <w:noWrap w:val="0"/>
                  <w:vAlign w:val="center"/>
                </w:tcPr>
                <w:p w14:paraId="58C966FA">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w:t>
                  </w:r>
                </w:p>
              </w:tc>
              <w:tc>
                <w:tcPr>
                  <w:tcW w:w="1719" w:type="pct"/>
                  <w:noWrap w:val="0"/>
                  <w:vAlign w:val="center"/>
                </w:tcPr>
                <w:p w14:paraId="4AD4C28A">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环保设施</w:t>
                  </w:r>
                </w:p>
              </w:tc>
              <w:tc>
                <w:tcPr>
                  <w:tcW w:w="676" w:type="pct"/>
                  <w:tcBorders>
                    <w:right w:val="single" w:color="000000" w:sz="6" w:space="0"/>
                  </w:tcBorders>
                  <w:noWrap w:val="0"/>
                  <w:vAlign w:val="center"/>
                </w:tcPr>
                <w:p w14:paraId="6276FEDB">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环保投资（万元）</w:t>
                  </w:r>
                </w:p>
              </w:tc>
              <w:tc>
                <w:tcPr>
                  <w:tcW w:w="699" w:type="pct"/>
                  <w:tcBorders>
                    <w:left w:val="single" w:color="000000" w:sz="6" w:space="0"/>
                  </w:tcBorders>
                  <w:noWrap w:val="0"/>
                  <w:vAlign w:val="center"/>
                </w:tcPr>
                <w:p w14:paraId="76BC9E33">
                  <w:pPr>
                    <w:widowControl/>
                    <w:spacing w:line="276"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备注</w:t>
                  </w:r>
                </w:p>
              </w:tc>
            </w:tr>
            <w:tr w14:paraId="17F484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674" w:type="pct"/>
                  <w:vMerge w:val="restart"/>
                  <w:noWrap w:val="0"/>
                  <w:vAlign w:val="center"/>
                </w:tcPr>
                <w:p w14:paraId="6CCCB3F2">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废气</w:t>
                  </w:r>
                </w:p>
              </w:tc>
              <w:tc>
                <w:tcPr>
                  <w:tcW w:w="1230" w:type="pct"/>
                  <w:tcBorders>
                    <w:bottom w:val="single" w:color="auto" w:sz="4" w:space="0"/>
                  </w:tcBorders>
                  <w:noWrap w:val="0"/>
                  <w:vAlign w:val="center"/>
                </w:tcPr>
                <w:p w14:paraId="788412F7">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喷漆</w:t>
                  </w:r>
                  <w:r>
                    <w:rPr>
                      <w:rFonts w:hint="eastAsia"/>
                      <w:color w:val="000000" w:themeColor="text1"/>
                      <w:sz w:val="21"/>
                      <w:szCs w:val="21"/>
                      <w14:textFill>
                        <w14:solidFill>
                          <w14:schemeClr w14:val="tx1"/>
                        </w14:solidFill>
                      </w14:textFill>
                    </w:rPr>
                    <w:t>废气</w:t>
                  </w:r>
                </w:p>
              </w:tc>
              <w:tc>
                <w:tcPr>
                  <w:tcW w:w="1719" w:type="pct"/>
                  <w:tcBorders>
                    <w:bottom w:val="single" w:color="auto" w:sz="4" w:space="0"/>
                  </w:tcBorders>
                  <w:noWrap w:val="0"/>
                  <w:vAlign w:val="center"/>
                </w:tcPr>
                <w:p w14:paraId="45769E03">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过滤棉</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活性炭吸附装置</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15</w:t>
                  </w:r>
                  <w:r>
                    <w:rPr>
                      <w:rFonts w:hint="eastAsia"/>
                      <w:color w:val="000000" w:themeColor="text1"/>
                      <w:sz w:val="21"/>
                      <w:szCs w:val="21"/>
                      <w14:textFill>
                        <w14:solidFill>
                          <w14:schemeClr w14:val="tx1"/>
                        </w14:solidFill>
                      </w14:textFill>
                    </w:rPr>
                    <w:t>m排气筒</w:t>
                  </w:r>
                </w:p>
              </w:tc>
              <w:tc>
                <w:tcPr>
                  <w:tcW w:w="676" w:type="pct"/>
                  <w:tcBorders>
                    <w:bottom w:val="single" w:color="auto" w:sz="4" w:space="0"/>
                    <w:right w:val="single" w:color="000000" w:sz="6" w:space="0"/>
                  </w:tcBorders>
                  <w:noWrap w:val="0"/>
                  <w:vAlign w:val="center"/>
                </w:tcPr>
                <w:p w14:paraId="02EEC8CA">
                  <w:pPr>
                    <w:widowControl/>
                    <w:spacing w:line="276"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699" w:type="pct"/>
                  <w:tcBorders>
                    <w:left w:val="single" w:color="000000" w:sz="6" w:space="0"/>
                    <w:bottom w:val="single" w:color="auto" w:sz="4" w:space="0"/>
                  </w:tcBorders>
                  <w:noWrap w:val="0"/>
                  <w:vAlign w:val="center"/>
                </w:tcPr>
                <w:p w14:paraId="066D44F7">
                  <w:pPr>
                    <w:widowControl/>
                    <w:spacing w:line="276"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依托现有，完善</w:t>
                  </w:r>
                </w:p>
              </w:tc>
            </w:tr>
            <w:tr w14:paraId="70C38E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674" w:type="pct"/>
                  <w:vMerge w:val="continue"/>
                  <w:noWrap w:val="0"/>
                  <w:vAlign w:val="center"/>
                </w:tcPr>
                <w:p w14:paraId="44661B7E">
                  <w:pPr>
                    <w:widowControl/>
                    <w:spacing w:line="276" w:lineRule="auto"/>
                    <w:ind w:firstLine="0" w:firstLineChars="0"/>
                    <w:jc w:val="center"/>
                    <w:rPr>
                      <w:rFonts w:hint="eastAsia"/>
                      <w:color w:val="000000" w:themeColor="text1"/>
                      <w:sz w:val="21"/>
                      <w:szCs w:val="21"/>
                      <w14:textFill>
                        <w14:solidFill>
                          <w14:schemeClr w14:val="tx1"/>
                        </w14:solidFill>
                      </w14:textFill>
                    </w:rPr>
                  </w:pPr>
                </w:p>
              </w:tc>
              <w:tc>
                <w:tcPr>
                  <w:tcW w:w="1230" w:type="pct"/>
                  <w:tcBorders>
                    <w:top w:val="single" w:color="auto" w:sz="4" w:space="0"/>
                    <w:bottom w:val="single" w:color="000000" w:sz="6" w:space="0"/>
                  </w:tcBorders>
                  <w:noWrap w:val="0"/>
                  <w:vAlign w:val="center"/>
                </w:tcPr>
                <w:p w14:paraId="7EE12596">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切割、打磨</w:t>
                  </w:r>
                  <w:r>
                    <w:rPr>
                      <w:rFonts w:hint="eastAsia"/>
                      <w:color w:val="000000" w:themeColor="text1"/>
                      <w:sz w:val="21"/>
                      <w:szCs w:val="21"/>
                      <w14:textFill>
                        <w14:solidFill>
                          <w14:schemeClr w14:val="tx1"/>
                        </w14:solidFill>
                      </w14:textFill>
                    </w:rPr>
                    <w:t>等无组织废气</w:t>
                  </w:r>
                </w:p>
              </w:tc>
              <w:tc>
                <w:tcPr>
                  <w:tcW w:w="1719" w:type="pct"/>
                  <w:tcBorders>
                    <w:top w:val="single" w:color="auto" w:sz="4" w:space="0"/>
                    <w:bottom w:val="single" w:color="000000" w:sz="6" w:space="0"/>
                  </w:tcBorders>
                  <w:noWrap w:val="0"/>
                  <w:vAlign w:val="center"/>
                </w:tcPr>
                <w:p w14:paraId="53B4B284">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吸尘器、</w:t>
                  </w:r>
                  <w:r>
                    <w:rPr>
                      <w:rFonts w:hint="eastAsia"/>
                      <w:color w:val="000000" w:themeColor="text1"/>
                      <w:sz w:val="21"/>
                      <w:szCs w:val="21"/>
                      <w14:textFill>
                        <w14:solidFill>
                          <w14:schemeClr w14:val="tx1"/>
                        </w14:solidFill>
                      </w14:textFill>
                    </w:rPr>
                    <w:t>车间排风扇</w:t>
                  </w:r>
                </w:p>
              </w:tc>
              <w:tc>
                <w:tcPr>
                  <w:tcW w:w="676" w:type="pct"/>
                  <w:tcBorders>
                    <w:top w:val="single" w:color="auto" w:sz="4" w:space="0"/>
                    <w:bottom w:val="single" w:color="000000" w:sz="6" w:space="0"/>
                    <w:right w:val="single" w:color="000000" w:sz="6" w:space="0"/>
                  </w:tcBorders>
                  <w:noWrap w:val="0"/>
                  <w:vAlign w:val="center"/>
                </w:tcPr>
                <w:p w14:paraId="352F4323">
                  <w:pPr>
                    <w:widowControl/>
                    <w:spacing w:line="276"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699" w:type="pct"/>
                  <w:tcBorders>
                    <w:top w:val="single" w:color="auto" w:sz="4" w:space="0"/>
                    <w:left w:val="single" w:color="000000" w:sz="6" w:space="0"/>
                    <w:bottom w:val="single" w:color="000000" w:sz="6" w:space="0"/>
                  </w:tcBorders>
                  <w:noWrap w:val="0"/>
                  <w:vAlign w:val="center"/>
                </w:tcPr>
                <w:p w14:paraId="661C0D4D">
                  <w:pPr>
                    <w:widowControl/>
                    <w:spacing w:line="276"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w:t>
                  </w:r>
                </w:p>
              </w:tc>
            </w:tr>
            <w:tr w14:paraId="169A6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674" w:type="pct"/>
                  <w:vMerge w:val="continue"/>
                  <w:noWrap w:val="0"/>
                  <w:vAlign w:val="center"/>
                </w:tcPr>
                <w:p w14:paraId="1100E763">
                  <w:pPr>
                    <w:widowControl/>
                    <w:spacing w:line="276" w:lineRule="auto"/>
                    <w:ind w:firstLine="0" w:firstLineChars="0"/>
                    <w:jc w:val="center"/>
                    <w:rPr>
                      <w:rFonts w:hint="eastAsia"/>
                      <w:color w:val="000000" w:themeColor="text1"/>
                      <w:sz w:val="21"/>
                      <w:szCs w:val="21"/>
                      <w14:textFill>
                        <w14:solidFill>
                          <w14:schemeClr w14:val="tx1"/>
                        </w14:solidFill>
                      </w14:textFill>
                    </w:rPr>
                  </w:pPr>
                </w:p>
              </w:tc>
              <w:tc>
                <w:tcPr>
                  <w:tcW w:w="1230" w:type="pct"/>
                  <w:tcBorders>
                    <w:top w:val="single" w:color="000000" w:sz="6" w:space="0"/>
                  </w:tcBorders>
                  <w:noWrap w:val="0"/>
                  <w:vAlign w:val="center"/>
                </w:tcPr>
                <w:p w14:paraId="3FC8E35E">
                  <w:pPr>
                    <w:widowControl/>
                    <w:spacing w:line="276"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焊接废气</w:t>
                  </w:r>
                </w:p>
              </w:tc>
              <w:tc>
                <w:tcPr>
                  <w:tcW w:w="1719" w:type="pct"/>
                  <w:tcBorders>
                    <w:top w:val="single" w:color="000000" w:sz="6" w:space="0"/>
                  </w:tcBorders>
                  <w:noWrap w:val="0"/>
                  <w:vAlign w:val="center"/>
                </w:tcPr>
                <w:p w14:paraId="75A6C83B">
                  <w:pPr>
                    <w:widowControl/>
                    <w:spacing w:line="276"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移动式焊烟净化器</w:t>
                  </w:r>
                </w:p>
              </w:tc>
              <w:tc>
                <w:tcPr>
                  <w:tcW w:w="676" w:type="pct"/>
                  <w:tcBorders>
                    <w:top w:val="single" w:color="000000" w:sz="6" w:space="0"/>
                    <w:right w:val="single" w:color="000000" w:sz="6" w:space="0"/>
                  </w:tcBorders>
                  <w:noWrap w:val="0"/>
                  <w:vAlign w:val="center"/>
                </w:tcPr>
                <w:p w14:paraId="42E03481">
                  <w:pPr>
                    <w:widowControl/>
                    <w:spacing w:line="276"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699" w:type="pct"/>
                  <w:tcBorders>
                    <w:top w:val="single" w:color="000000" w:sz="6" w:space="0"/>
                    <w:left w:val="single" w:color="000000" w:sz="6" w:space="0"/>
                  </w:tcBorders>
                  <w:noWrap w:val="0"/>
                  <w:vAlign w:val="center"/>
                </w:tcPr>
                <w:p w14:paraId="41E49307">
                  <w:pPr>
                    <w:widowControl/>
                    <w:spacing w:line="276"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新增</w:t>
                  </w:r>
                </w:p>
              </w:tc>
            </w:tr>
            <w:tr w14:paraId="118276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1" w:hRule="atLeast"/>
              </w:trPr>
              <w:tc>
                <w:tcPr>
                  <w:tcW w:w="674" w:type="pct"/>
                  <w:vMerge w:val="restart"/>
                  <w:tcBorders>
                    <w:top w:val="single" w:color="000000" w:sz="4" w:space="0"/>
                  </w:tcBorders>
                  <w:noWrap w:val="0"/>
                  <w:vAlign w:val="center"/>
                </w:tcPr>
                <w:p w14:paraId="777CF04E">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1230" w:type="pct"/>
                  <w:tcBorders>
                    <w:top w:val="single" w:color="000000" w:sz="4" w:space="0"/>
                    <w:bottom w:val="single" w:color="000000" w:sz="6" w:space="0"/>
                  </w:tcBorders>
                  <w:noWrap w:val="0"/>
                  <w:vAlign w:val="center"/>
                </w:tcPr>
                <w:p w14:paraId="6522FB2D">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w:t>
                  </w:r>
                </w:p>
              </w:tc>
              <w:tc>
                <w:tcPr>
                  <w:tcW w:w="1719" w:type="pct"/>
                  <w:tcBorders>
                    <w:bottom w:val="single" w:color="000000" w:sz="6" w:space="0"/>
                  </w:tcBorders>
                  <w:noWrap w:val="0"/>
                  <w:vAlign w:val="center"/>
                </w:tcPr>
                <w:p w14:paraId="33378CEF">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化粪池</w:t>
                  </w:r>
                </w:p>
              </w:tc>
              <w:tc>
                <w:tcPr>
                  <w:tcW w:w="676" w:type="pct"/>
                  <w:tcBorders>
                    <w:bottom w:val="single" w:color="000000" w:sz="6" w:space="0"/>
                    <w:right w:val="single" w:color="000000" w:sz="6" w:space="0"/>
                  </w:tcBorders>
                  <w:noWrap w:val="0"/>
                  <w:vAlign w:val="center"/>
                </w:tcPr>
                <w:p w14:paraId="4CF80FF1">
                  <w:pPr>
                    <w:widowControl/>
                    <w:spacing w:line="276"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699" w:type="pct"/>
                  <w:tcBorders>
                    <w:left w:val="single" w:color="000000" w:sz="6" w:space="0"/>
                    <w:bottom w:val="single" w:color="000000" w:sz="6" w:space="0"/>
                  </w:tcBorders>
                  <w:noWrap w:val="0"/>
                  <w:vAlign w:val="center"/>
                </w:tcPr>
                <w:p w14:paraId="398C48E0">
                  <w:pPr>
                    <w:widowControl/>
                    <w:spacing w:line="276"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w:t>
                  </w:r>
                </w:p>
              </w:tc>
            </w:tr>
            <w:tr w14:paraId="0A5ED6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 w:hRule="atLeast"/>
              </w:trPr>
              <w:tc>
                <w:tcPr>
                  <w:tcW w:w="674" w:type="pct"/>
                  <w:vMerge w:val="continue"/>
                  <w:noWrap w:val="0"/>
                  <w:vAlign w:val="center"/>
                </w:tcPr>
                <w:p w14:paraId="10656B0E">
                  <w:pPr>
                    <w:widowControl/>
                    <w:spacing w:line="276" w:lineRule="auto"/>
                    <w:ind w:firstLine="0" w:firstLineChars="0"/>
                    <w:jc w:val="center"/>
                    <w:rPr>
                      <w:rFonts w:hint="eastAsia"/>
                      <w:color w:val="000000" w:themeColor="text1"/>
                      <w:sz w:val="21"/>
                      <w:szCs w:val="21"/>
                      <w14:textFill>
                        <w14:solidFill>
                          <w14:schemeClr w14:val="tx1"/>
                        </w14:solidFill>
                      </w14:textFill>
                    </w:rPr>
                  </w:pPr>
                </w:p>
              </w:tc>
              <w:tc>
                <w:tcPr>
                  <w:tcW w:w="1230" w:type="pct"/>
                  <w:tcBorders>
                    <w:top w:val="single" w:color="000000" w:sz="6" w:space="0"/>
                  </w:tcBorders>
                  <w:noWrap w:val="0"/>
                  <w:vAlign w:val="center"/>
                </w:tcPr>
                <w:p w14:paraId="5F49A4D8">
                  <w:pPr>
                    <w:widowControl/>
                    <w:spacing w:line="276"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洗车废水</w:t>
                  </w:r>
                </w:p>
              </w:tc>
              <w:tc>
                <w:tcPr>
                  <w:tcW w:w="1719" w:type="pct"/>
                  <w:tcBorders>
                    <w:top w:val="single" w:color="000000" w:sz="6" w:space="0"/>
                  </w:tcBorders>
                  <w:noWrap w:val="0"/>
                  <w:vAlign w:val="center"/>
                </w:tcPr>
                <w:p w14:paraId="1F620314">
                  <w:pPr>
                    <w:widowControl/>
                    <w:spacing w:line="276"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沉淀池</w:t>
                  </w:r>
                </w:p>
              </w:tc>
              <w:tc>
                <w:tcPr>
                  <w:tcW w:w="676" w:type="pct"/>
                  <w:tcBorders>
                    <w:top w:val="single" w:color="000000" w:sz="6" w:space="0"/>
                    <w:right w:val="single" w:color="000000" w:sz="6" w:space="0"/>
                  </w:tcBorders>
                  <w:noWrap w:val="0"/>
                  <w:vAlign w:val="center"/>
                </w:tcPr>
                <w:p w14:paraId="67866A5B">
                  <w:pPr>
                    <w:widowControl/>
                    <w:spacing w:line="276"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699" w:type="pct"/>
                  <w:tcBorders>
                    <w:top w:val="single" w:color="000000" w:sz="6" w:space="0"/>
                    <w:left w:val="single" w:color="000000" w:sz="6" w:space="0"/>
                  </w:tcBorders>
                  <w:noWrap w:val="0"/>
                  <w:vAlign w:val="center"/>
                </w:tcPr>
                <w:p w14:paraId="1FD7D4DD">
                  <w:pPr>
                    <w:widowControl/>
                    <w:spacing w:line="276"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w:t>
                  </w:r>
                </w:p>
              </w:tc>
            </w:tr>
            <w:tr w14:paraId="26D6A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74" w:type="pct"/>
                  <w:vMerge w:val="restart"/>
                  <w:noWrap w:val="0"/>
                  <w:vAlign w:val="center"/>
                </w:tcPr>
                <w:p w14:paraId="17F4F8D1">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固体</w:t>
                  </w:r>
                </w:p>
                <w:p w14:paraId="15B86A13">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废物</w:t>
                  </w:r>
                </w:p>
              </w:tc>
              <w:tc>
                <w:tcPr>
                  <w:tcW w:w="1230" w:type="pct"/>
                  <w:noWrap w:val="0"/>
                  <w:vAlign w:val="center"/>
                </w:tcPr>
                <w:p w14:paraId="72637FFD">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一般废物</w:t>
                  </w:r>
                </w:p>
              </w:tc>
              <w:tc>
                <w:tcPr>
                  <w:tcW w:w="1719" w:type="pct"/>
                  <w:noWrap w:val="0"/>
                  <w:vAlign w:val="center"/>
                </w:tcPr>
                <w:p w14:paraId="10BFBA2E">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一般工业固体废物贮存场所</w:t>
                  </w:r>
                </w:p>
              </w:tc>
              <w:tc>
                <w:tcPr>
                  <w:tcW w:w="676" w:type="pct"/>
                  <w:tcBorders>
                    <w:right w:val="single" w:color="000000" w:sz="6" w:space="0"/>
                  </w:tcBorders>
                  <w:noWrap w:val="0"/>
                  <w:vAlign w:val="center"/>
                </w:tcPr>
                <w:p w14:paraId="3A5130DA">
                  <w:pPr>
                    <w:widowControl/>
                    <w:spacing w:line="276"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699" w:type="pct"/>
                  <w:tcBorders>
                    <w:left w:val="single" w:color="000000" w:sz="6" w:space="0"/>
                  </w:tcBorders>
                  <w:noWrap w:val="0"/>
                  <w:vAlign w:val="center"/>
                </w:tcPr>
                <w:p w14:paraId="586BD59C">
                  <w:pPr>
                    <w:widowControl/>
                    <w:spacing w:line="276"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w:t>
                  </w:r>
                </w:p>
              </w:tc>
            </w:tr>
            <w:tr w14:paraId="05AEB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74" w:type="pct"/>
                  <w:vMerge w:val="continue"/>
                  <w:tcBorders>
                    <w:bottom w:val="single" w:color="000000" w:sz="4" w:space="0"/>
                  </w:tcBorders>
                  <w:noWrap w:val="0"/>
                  <w:vAlign w:val="center"/>
                </w:tcPr>
                <w:p w14:paraId="0C764D3E">
                  <w:pPr>
                    <w:widowControl/>
                    <w:spacing w:line="276" w:lineRule="auto"/>
                    <w:ind w:firstLine="0" w:firstLineChars="0"/>
                    <w:jc w:val="center"/>
                    <w:rPr>
                      <w:rFonts w:hint="eastAsia"/>
                      <w:color w:val="000000" w:themeColor="text1"/>
                      <w:sz w:val="21"/>
                      <w:szCs w:val="21"/>
                      <w14:textFill>
                        <w14:solidFill>
                          <w14:schemeClr w14:val="tx1"/>
                        </w14:solidFill>
                      </w14:textFill>
                    </w:rPr>
                  </w:pPr>
                </w:p>
              </w:tc>
              <w:tc>
                <w:tcPr>
                  <w:tcW w:w="1230" w:type="pct"/>
                  <w:tcBorders>
                    <w:bottom w:val="single" w:color="000000" w:sz="4" w:space="0"/>
                  </w:tcBorders>
                  <w:noWrap w:val="0"/>
                  <w:vAlign w:val="center"/>
                </w:tcPr>
                <w:p w14:paraId="4F19E4AF">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危险废物</w:t>
                  </w:r>
                </w:p>
              </w:tc>
              <w:tc>
                <w:tcPr>
                  <w:tcW w:w="1719" w:type="pct"/>
                  <w:noWrap w:val="0"/>
                  <w:vAlign w:val="center"/>
                </w:tcPr>
                <w:p w14:paraId="161558D1">
                  <w:pPr>
                    <w:widowControl/>
                    <w:spacing w:line="276"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危废暂存间20m</w:t>
                  </w:r>
                  <w:r>
                    <w:rPr>
                      <w:rFonts w:hint="eastAsia"/>
                      <w:color w:val="000000" w:themeColor="text1"/>
                      <w:sz w:val="21"/>
                      <w:szCs w:val="21"/>
                      <w:vertAlign w:val="superscript"/>
                      <w14:textFill>
                        <w14:solidFill>
                          <w14:schemeClr w14:val="tx1"/>
                        </w14:solidFill>
                      </w14:textFill>
                    </w:rPr>
                    <w:t>2</w:t>
                  </w:r>
                </w:p>
              </w:tc>
              <w:tc>
                <w:tcPr>
                  <w:tcW w:w="676" w:type="pct"/>
                  <w:tcBorders>
                    <w:right w:val="single" w:color="000000" w:sz="6" w:space="0"/>
                  </w:tcBorders>
                  <w:noWrap w:val="0"/>
                  <w:vAlign w:val="center"/>
                </w:tcPr>
                <w:p w14:paraId="39145BF1">
                  <w:pPr>
                    <w:widowControl/>
                    <w:spacing w:line="276"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c>
                <w:tcPr>
                  <w:tcW w:w="699" w:type="pct"/>
                  <w:tcBorders>
                    <w:left w:val="single" w:color="000000" w:sz="6" w:space="0"/>
                  </w:tcBorders>
                  <w:noWrap w:val="0"/>
                  <w:vAlign w:val="center"/>
                </w:tcPr>
                <w:p w14:paraId="5B4DE17A">
                  <w:pPr>
                    <w:widowControl/>
                    <w:spacing w:line="276" w:lineRule="auto"/>
                    <w:ind w:firstLine="0" w:firstLineChars="0"/>
                    <w:jc w:val="center"/>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依托现有，完善</w:t>
                  </w:r>
                </w:p>
              </w:tc>
            </w:tr>
            <w:tr w14:paraId="62D6A2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674" w:type="pct"/>
                  <w:noWrap w:val="0"/>
                  <w:vAlign w:val="center"/>
                </w:tcPr>
                <w:p w14:paraId="6EE6F5BB">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噪声</w:t>
                  </w:r>
                </w:p>
              </w:tc>
              <w:tc>
                <w:tcPr>
                  <w:tcW w:w="1230" w:type="pct"/>
                  <w:noWrap w:val="0"/>
                  <w:vAlign w:val="center"/>
                </w:tcPr>
                <w:p w14:paraId="28506B62">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风机、空压机等</w:t>
                  </w:r>
                </w:p>
              </w:tc>
              <w:tc>
                <w:tcPr>
                  <w:tcW w:w="1719" w:type="pct"/>
                  <w:tcBorders>
                    <w:right w:val="single" w:color="000000" w:sz="4" w:space="0"/>
                  </w:tcBorders>
                  <w:noWrap w:val="0"/>
                  <w:vAlign w:val="center"/>
                </w:tcPr>
                <w:p w14:paraId="63C73DF8">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减振、隔声</w:t>
                  </w:r>
                </w:p>
              </w:tc>
              <w:tc>
                <w:tcPr>
                  <w:tcW w:w="676" w:type="pct"/>
                  <w:tcBorders>
                    <w:right w:val="single" w:color="000000" w:sz="6" w:space="0"/>
                  </w:tcBorders>
                  <w:noWrap w:val="0"/>
                  <w:vAlign w:val="center"/>
                </w:tcPr>
                <w:p w14:paraId="4124F956">
                  <w:pPr>
                    <w:widowControl/>
                    <w:spacing w:line="276"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699" w:type="pct"/>
                  <w:tcBorders>
                    <w:left w:val="single" w:color="000000" w:sz="6" w:space="0"/>
                  </w:tcBorders>
                  <w:noWrap w:val="0"/>
                  <w:vAlign w:val="center"/>
                </w:tcPr>
                <w:p w14:paraId="191FDFE8">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w:t>
                  </w:r>
                </w:p>
              </w:tc>
            </w:tr>
            <w:tr w14:paraId="259F05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1904" w:type="pct"/>
                  <w:gridSpan w:val="2"/>
                  <w:noWrap w:val="0"/>
                  <w:vAlign w:val="center"/>
                </w:tcPr>
                <w:p w14:paraId="600C2074">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zh-CN"/>
                      <w14:textFill>
                        <w14:solidFill>
                          <w14:schemeClr w14:val="tx1"/>
                        </w14:solidFill>
                      </w14:textFill>
                    </w:rPr>
                    <w:t>土壤及地下水污染防治措施</w:t>
                  </w:r>
                </w:p>
              </w:tc>
              <w:tc>
                <w:tcPr>
                  <w:tcW w:w="1719" w:type="pct"/>
                  <w:tcBorders>
                    <w:right w:val="single" w:color="000000" w:sz="4" w:space="0"/>
                  </w:tcBorders>
                  <w:noWrap w:val="0"/>
                  <w:vAlign w:val="center"/>
                </w:tcPr>
                <w:p w14:paraId="639895DF">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zh-CN"/>
                      <w14:textFill>
                        <w14:solidFill>
                          <w14:schemeClr w14:val="tx1"/>
                        </w14:solidFill>
                      </w14:textFill>
                    </w:rPr>
                    <w:t>分区防渗，</w:t>
                  </w:r>
                  <w:r>
                    <w:rPr>
                      <w:rFonts w:hint="eastAsia"/>
                      <w:color w:val="000000" w:themeColor="text1"/>
                      <w:sz w:val="21"/>
                      <w:szCs w:val="21"/>
                      <w14:textFill>
                        <w14:solidFill>
                          <w14:schemeClr w14:val="tx1"/>
                        </w14:solidFill>
                      </w14:textFill>
                    </w:rPr>
                    <w:t>危险废物暂存间重点防渗</w:t>
                  </w:r>
                </w:p>
              </w:tc>
              <w:tc>
                <w:tcPr>
                  <w:tcW w:w="676" w:type="pct"/>
                  <w:tcBorders>
                    <w:right w:val="single" w:color="000000" w:sz="6" w:space="0"/>
                  </w:tcBorders>
                  <w:noWrap w:val="0"/>
                  <w:vAlign w:val="center"/>
                </w:tcPr>
                <w:p w14:paraId="3BF051DF">
                  <w:pPr>
                    <w:widowControl/>
                    <w:spacing w:line="276"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699" w:type="pct"/>
                  <w:tcBorders>
                    <w:left w:val="single" w:color="000000" w:sz="6" w:space="0"/>
                  </w:tcBorders>
                  <w:noWrap w:val="0"/>
                  <w:vAlign w:val="center"/>
                </w:tcPr>
                <w:p w14:paraId="0E7457F7">
                  <w:pPr>
                    <w:widowControl/>
                    <w:spacing w:line="276"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依托现有</w:t>
                  </w:r>
                </w:p>
              </w:tc>
            </w:tr>
            <w:tr w14:paraId="4C2D67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3624" w:type="pct"/>
                  <w:gridSpan w:val="3"/>
                  <w:tcBorders>
                    <w:right w:val="single" w:color="000000" w:sz="4" w:space="0"/>
                  </w:tcBorders>
                  <w:noWrap w:val="0"/>
                  <w:vAlign w:val="center"/>
                </w:tcPr>
                <w:p w14:paraId="0C74E6E3">
                  <w:pPr>
                    <w:widowControl/>
                    <w:spacing w:line="276"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合计</w:t>
                  </w:r>
                </w:p>
              </w:tc>
              <w:tc>
                <w:tcPr>
                  <w:tcW w:w="1375" w:type="pct"/>
                  <w:gridSpan w:val="2"/>
                  <w:noWrap w:val="0"/>
                  <w:vAlign w:val="center"/>
                </w:tcPr>
                <w:p w14:paraId="695E9AF8">
                  <w:pPr>
                    <w:widowControl/>
                    <w:spacing w:line="276"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47</w:t>
                  </w:r>
                </w:p>
              </w:tc>
            </w:tr>
          </w:tbl>
          <w:p w14:paraId="6B19D83C">
            <w:pPr>
              <w:bidi w:val="0"/>
              <w:rPr>
                <w:rFonts w:hint="eastAsia"/>
              </w:rPr>
            </w:pPr>
            <w:r>
              <w:rPr>
                <w:rFonts w:hint="eastAsia"/>
              </w:rPr>
              <w:t>项目区采取的环保设施能满足有关污染治理方面的需要，投资合理，环保措施可以保证污染物达标排放的要求。项目在污染治理和控制方面有较大的投入，通过设施建设和日常运行管理，可保证各类污染物的达标排放，对预防和杜绝可能产生的潜在事故污染影响也能发挥明显的作用。项目环保投入比较合理，污染物经过各项设施处理后对周围环境影响比较小。</w:t>
            </w:r>
          </w:p>
          <w:p w14:paraId="4C4CFD64">
            <w:pPr>
              <w:bidi w:val="0"/>
              <w:rPr>
                <w:rFonts w:hint="eastAsia"/>
                <w:lang w:eastAsia="zh-CN"/>
              </w:rPr>
            </w:pPr>
            <w:r>
              <w:rPr>
                <w:rFonts w:hint="eastAsia"/>
                <w:lang w:eastAsia="zh-CN"/>
              </w:rPr>
              <w:t>竣工验收内容详见</w:t>
            </w:r>
            <w:r>
              <w:rPr>
                <w:rFonts w:hint="eastAsia"/>
              </w:rPr>
              <w:t>环境保护措施监督检查清单</w:t>
            </w:r>
            <w:r>
              <w:rPr>
                <w:rFonts w:hint="eastAsia"/>
                <w:lang w:eastAsia="zh-CN"/>
              </w:rPr>
              <w:t>。</w:t>
            </w:r>
          </w:p>
          <w:p w14:paraId="300E6CC5">
            <w:pPr>
              <w:ind w:firstLine="482"/>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（十</w:t>
            </w:r>
            <w:r>
              <w:rPr>
                <w:rFonts w:hint="eastAsia"/>
                <w:b/>
                <w:bCs/>
                <w:color w:val="000000" w:themeColor="text1"/>
                <w:lang w:val="en-US" w:eastAsia="zh-CN"/>
                <w14:textFill>
                  <w14:solidFill>
                    <w14:schemeClr w14:val="tx1"/>
                  </w14:solidFill>
                </w14:textFill>
              </w:rPr>
              <w:t>一</w:t>
            </w:r>
            <w:r>
              <w:rPr>
                <w:rFonts w:hint="eastAsia"/>
                <w:b/>
                <w:bCs/>
                <w:color w:val="000000" w:themeColor="text1"/>
                <w14:textFill>
                  <w14:solidFill>
                    <w14:schemeClr w14:val="tx1"/>
                  </w14:solidFill>
                </w14:textFill>
              </w:rPr>
              <w:t>）排污许可衔接</w:t>
            </w:r>
          </w:p>
          <w:p w14:paraId="3968FFE4">
            <w:pPr>
              <w:bidi w:val="0"/>
              <w:rPr>
                <w:color w:val="000000" w:themeColor="text1"/>
                <w14:textFill>
                  <w14:solidFill>
                    <w14:schemeClr w14:val="tx1"/>
                  </w14:solidFill>
                </w14:textFill>
              </w:rPr>
            </w:pPr>
            <w:r>
              <w:rPr>
                <w:rFonts w:hint="eastAsia"/>
              </w:rPr>
              <w:t>根据《固定污染源排污许可分类管理名录（2019年版）》第四条，现有排污单位应当在生态环境部规定的实施时限内申请取得排污许可证或者填报排污登记表。新建排污单位应当在启动生产设施或者发生实际排污之前申请取得排污许可证或者填报排污登记表。本项目属于</w:t>
            </w:r>
            <w:r>
              <w:rPr>
                <w:rFonts w:hint="eastAsia"/>
                <w:lang w:val="en-US" w:eastAsia="zh-CN"/>
              </w:rPr>
              <w:t>扩</w:t>
            </w:r>
            <w:r>
              <w:rPr>
                <w:rFonts w:hint="eastAsia"/>
              </w:rPr>
              <w:t>建项目，现有工程</w:t>
            </w:r>
            <w:r>
              <w:rPr>
                <w:rFonts w:hint="eastAsia"/>
                <w:lang w:val="en-US" w:eastAsia="zh-CN"/>
              </w:rPr>
              <w:t>原为环评登记表，未填报</w:t>
            </w:r>
            <w:r>
              <w:rPr>
                <w:rFonts w:hint="eastAsia"/>
              </w:rPr>
              <w:t>排污许可证，本次</w:t>
            </w:r>
            <w:r>
              <w:rPr>
                <w:rFonts w:hint="eastAsia"/>
                <w:lang w:val="en-US" w:eastAsia="zh-CN"/>
              </w:rPr>
              <w:t>扩</w:t>
            </w:r>
            <w:r>
              <w:rPr>
                <w:rFonts w:hint="eastAsia" w:ascii="Times New Roman" w:hAnsi="Times New Roman" w:eastAsia="宋体" w:cs="Times New Roman"/>
                <w:lang w:val="en-US" w:eastAsia="zh-CN"/>
              </w:rPr>
              <w:t>建环评</w:t>
            </w:r>
            <w:r>
              <w:rPr>
                <w:rFonts w:hint="eastAsia" w:ascii="Times New Roman" w:hAnsi="Times New Roman" w:eastAsia="宋体" w:cs="Times New Roman"/>
              </w:rPr>
              <w:t>取得环境影响评价审批意见后应当在生态环境部规定的实施时限内</w:t>
            </w:r>
            <w:r>
              <w:rPr>
                <w:rFonts w:hint="eastAsia" w:ascii="Times New Roman" w:hAnsi="Times New Roman" w:eastAsia="宋体" w:cs="Times New Roman"/>
                <w:lang w:val="en-US" w:eastAsia="zh-CN"/>
              </w:rPr>
              <w:t>填报</w:t>
            </w:r>
            <w:r>
              <w:rPr>
                <w:rFonts w:hint="eastAsia" w:ascii="Times New Roman" w:hAnsi="Times New Roman" w:eastAsia="宋体" w:cs="Times New Roman"/>
              </w:rPr>
              <w:t>申请排污许可。根据《国民经济行业分类》（GB/T4754-2017），本项目属于“</w:t>
            </w:r>
            <w:r>
              <w:rPr>
                <w:rFonts w:hint="eastAsia" w:ascii="Times New Roman" w:hAnsi="Times New Roman" w:eastAsia="宋体" w:cs="Times New Roman"/>
                <w:lang w:val="en-US" w:eastAsia="zh-CN"/>
              </w:rPr>
              <w:t>O8111汽车修理与维护</w:t>
            </w:r>
            <w:r>
              <w:rPr>
                <w:rFonts w:hint="eastAsia" w:ascii="Times New Roman" w:hAnsi="Times New Roman" w:eastAsia="宋体" w:cs="Times New Roman"/>
              </w:rPr>
              <w:t>”，</w:t>
            </w:r>
            <w:r>
              <w:rPr>
                <w:rFonts w:hint="eastAsia"/>
              </w:rPr>
              <w:t>根据《固定污染源排污许可分类管理名录（2019版）》中的“</w:t>
            </w:r>
            <w:r>
              <w:rPr>
                <w:rFonts w:hint="eastAsia"/>
                <w:lang w:val="en-US" w:eastAsia="zh-CN"/>
              </w:rPr>
              <w:t>四十八、机动车、电子产品和日用品修理业81</w:t>
            </w:r>
            <w:r>
              <w:rPr>
                <w:rFonts w:hint="eastAsia"/>
              </w:rPr>
              <w:t>-</w:t>
            </w:r>
            <w:r>
              <w:rPr>
                <w:rFonts w:hint="eastAsia"/>
                <w:lang w:val="en-US" w:eastAsia="zh-CN"/>
              </w:rPr>
              <w:t>汽车、摩托车等修理与维护811</w:t>
            </w:r>
            <w:r>
              <w:rPr>
                <w:rFonts w:hint="eastAsia"/>
              </w:rPr>
              <w:t>-</w:t>
            </w:r>
            <w:r>
              <w:rPr>
                <w:rFonts w:hint="eastAsia"/>
                <w:lang w:val="en-US" w:eastAsia="zh-CN"/>
              </w:rPr>
              <w:t>营业面积5000平方米及以上且有涂装工序的</w:t>
            </w:r>
            <w:r>
              <w:rPr>
                <w:rFonts w:hint="eastAsia"/>
              </w:rPr>
              <w:t>”，本项目属于</w:t>
            </w:r>
            <w:r>
              <w:rPr>
                <w:rFonts w:hint="eastAsia"/>
                <w:lang w:val="en-US" w:eastAsia="zh-CN"/>
              </w:rPr>
              <w:t>简化</w:t>
            </w:r>
            <w:r>
              <w:rPr>
                <w:rFonts w:hint="eastAsia"/>
              </w:rPr>
              <w:t>管理的排污单位，需要申请排污许可证，并持证排污。另本</w:t>
            </w:r>
            <w:r>
              <w:rPr>
                <w:rFonts w:hint="eastAsia"/>
                <w:lang w:val="en-US" w:eastAsia="zh-CN"/>
              </w:rPr>
              <w:t>扩</w:t>
            </w:r>
            <w:r>
              <w:rPr>
                <w:rFonts w:hint="eastAsia"/>
              </w:rPr>
              <w:t>建项目在取得环评批复后，并配套环评要求的环保设施，在具备投入正常生产的条件下应尽快完成本项目验收工作</w:t>
            </w:r>
            <w:r>
              <w:rPr>
                <w:rFonts w:hint="eastAsia"/>
                <w:color w:val="000000" w:themeColor="text1"/>
                <w14:textFill>
                  <w14:solidFill>
                    <w14:schemeClr w14:val="tx1"/>
                  </w14:solidFill>
                </w14:textFill>
              </w:rPr>
              <w:t>。</w:t>
            </w:r>
          </w:p>
          <w:p w14:paraId="5A327E49">
            <w:pPr>
              <w:bidi w:val="0"/>
              <w:rPr>
                <w:rFonts w:hint="eastAsia" w:ascii="Times New Roman" w:hAnsi="Times New Roman" w:cs="Times New Roman"/>
                <w:b/>
                <w:bCs/>
                <w:color w:val="000000" w:themeColor="text1"/>
                <w:u w:val="single"/>
                <w:lang w:val="en-US" w:eastAsia="zh-CN"/>
                <w14:textFill>
                  <w14:solidFill>
                    <w14:schemeClr w14:val="tx1"/>
                  </w14:solidFill>
                </w14:textFill>
              </w:rPr>
            </w:pPr>
            <w:r>
              <w:rPr>
                <w:rFonts w:hint="eastAsia" w:ascii="Times New Roman" w:hAnsi="Times New Roman" w:cs="Times New Roman"/>
                <w:b/>
                <w:bCs/>
                <w:color w:val="000000" w:themeColor="text1"/>
                <w:u w:val="single"/>
                <w:lang w:eastAsia="zh-CN"/>
                <w14:textFill>
                  <w14:solidFill>
                    <w14:schemeClr w14:val="tx1"/>
                  </w14:solidFill>
                </w14:textFill>
              </w:rPr>
              <w:t>（</w:t>
            </w:r>
            <w:r>
              <w:rPr>
                <w:rFonts w:hint="eastAsia" w:ascii="Times New Roman" w:hAnsi="Times New Roman" w:cs="Times New Roman"/>
                <w:b/>
                <w:bCs/>
                <w:color w:val="000000" w:themeColor="text1"/>
                <w:u w:val="single"/>
                <w:lang w:val="en-US" w:eastAsia="zh-CN"/>
                <w14:textFill>
                  <w14:solidFill>
                    <w14:schemeClr w14:val="tx1"/>
                  </w14:solidFill>
                </w14:textFill>
              </w:rPr>
              <w:t>十二</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eastAsia" w:ascii="Times New Roman" w:hAnsi="Times New Roman" w:cs="Times New Roman"/>
                <w:b/>
                <w:bCs/>
                <w:color w:val="000000" w:themeColor="text1"/>
                <w:u w:val="single"/>
                <w:lang w:val="en-US" w:eastAsia="zh-CN"/>
                <w14:textFill>
                  <w14:solidFill>
                    <w14:schemeClr w14:val="tx1"/>
                  </w14:solidFill>
                </w14:textFill>
              </w:rPr>
              <w:t>三本账</w:t>
            </w:r>
            <w:r>
              <w:rPr>
                <w:rFonts w:hint="eastAsia" w:ascii="Times New Roman" w:hAnsi="Times New Roman" w:cs="Times New Roman"/>
                <w:b/>
                <w:bCs/>
                <w:color w:val="000000" w:themeColor="text1"/>
                <w:u w:val="single"/>
                <w:lang w:eastAsia="zh-CN"/>
                <w14:textFill>
                  <w14:solidFill>
                    <w14:schemeClr w14:val="tx1"/>
                  </w14:solidFill>
                </w14:textFill>
              </w:rPr>
              <w:t>”</w:t>
            </w:r>
            <w:r>
              <w:rPr>
                <w:rFonts w:hint="eastAsia" w:ascii="Times New Roman" w:hAnsi="Times New Roman" w:cs="Times New Roman"/>
                <w:b/>
                <w:bCs/>
                <w:color w:val="000000" w:themeColor="text1"/>
                <w:u w:val="single"/>
                <w:lang w:val="en-US" w:eastAsia="zh-CN"/>
                <w14:textFill>
                  <w14:solidFill>
                    <w14:schemeClr w14:val="tx1"/>
                  </w14:solidFill>
                </w14:textFill>
              </w:rPr>
              <w:t>分析</w:t>
            </w:r>
          </w:p>
          <w:p w14:paraId="6A135529">
            <w:pPr>
              <w:ind w:firstLine="480"/>
              <w:rPr>
                <w:color w:val="auto"/>
                <w:u w:val="single"/>
              </w:rPr>
            </w:pPr>
            <w:r>
              <w:rPr>
                <w:rFonts w:hint="eastAsia"/>
                <w:color w:val="auto"/>
                <w:u w:val="single"/>
              </w:rPr>
              <w:t>本项目污染物排放“三本账”统计详见下表。</w:t>
            </w:r>
          </w:p>
          <w:p w14:paraId="59ACBCBD">
            <w:pPr>
              <w:spacing w:line="240" w:lineRule="auto"/>
              <w:ind w:firstLine="200"/>
              <w:jc w:val="center"/>
              <w:rPr>
                <w:rFonts w:ascii="Times New Roman" w:hAnsi="Times New Roman" w:eastAsia="宋体" w:cs="Times New Roman"/>
                <w:b/>
                <w:color w:val="auto"/>
                <w:sz w:val="21"/>
                <w:szCs w:val="21"/>
                <w:u w:val="single"/>
              </w:rPr>
            </w:pPr>
            <w:r>
              <w:rPr>
                <w:rFonts w:ascii="Times New Roman" w:hAnsi="Times New Roman" w:eastAsia="宋体" w:cs="Times New Roman"/>
                <w:b/>
                <w:color w:val="auto"/>
                <w:sz w:val="21"/>
                <w:szCs w:val="21"/>
                <w:u w:val="single"/>
              </w:rPr>
              <w:t>表</w:t>
            </w:r>
            <w:r>
              <w:rPr>
                <w:rFonts w:hint="eastAsia" w:ascii="Times New Roman" w:hAnsi="Times New Roman" w:eastAsia="宋体" w:cs="Times New Roman"/>
                <w:b/>
                <w:color w:val="auto"/>
                <w:sz w:val="21"/>
                <w:szCs w:val="21"/>
                <w:u w:val="single"/>
                <w:lang w:val="en-US" w:eastAsia="zh-CN"/>
              </w:rPr>
              <w:t>6.1</w:t>
            </w:r>
            <w:r>
              <w:rPr>
                <w:rFonts w:hint="eastAsia" w:cs="Times New Roman"/>
                <w:b/>
                <w:color w:val="auto"/>
                <w:sz w:val="21"/>
                <w:szCs w:val="21"/>
                <w:u w:val="single"/>
                <w:lang w:val="en-US" w:eastAsia="zh-CN"/>
              </w:rPr>
              <w:t>2</w:t>
            </w:r>
            <w:r>
              <w:rPr>
                <w:rFonts w:ascii="Times New Roman" w:hAnsi="Times New Roman" w:eastAsia="宋体" w:cs="Times New Roman"/>
                <w:b/>
                <w:color w:val="auto"/>
                <w:sz w:val="21"/>
                <w:szCs w:val="21"/>
                <w:u w:val="single"/>
              </w:rPr>
              <w:t>-</w:t>
            </w:r>
            <w:r>
              <w:rPr>
                <w:rFonts w:hint="eastAsia" w:ascii="Times New Roman" w:hAnsi="Times New Roman" w:eastAsia="宋体" w:cs="Times New Roman"/>
                <w:b/>
                <w:color w:val="auto"/>
                <w:sz w:val="21"/>
                <w:szCs w:val="21"/>
                <w:u w:val="single"/>
                <w:lang w:val="en-US" w:eastAsia="zh-CN"/>
              </w:rPr>
              <w:t>1</w:t>
            </w:r>
            <w:r>
              <w:rPr>
                <w:rFonts w:ascii="Times New Roman" w:hAnsi="Times New Roman" w:eastAsia="宋体" w:cs="Times New Roman"/>
                <w:b/>
                <w:color w:val="auto"/>
                <w:sz w:val="21"/>
                <w:szCs w:val="21"/>
                <w:u w:val="single"/>
              </w:rPr>
              <w:t>扩建工程主要污染物排放“三本账”分析表</w:t>
            </w:r>
          </w:p>
          <w:tbl>
            <w:tblPr>
              <w:tblStyle w:val="93"/>
              <w:tblW w:w="499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Layout w:type="fixed"/>
              <w:tblCellMar>
                <w:top w:w="0" w:type="dxa"/>
                <w:left w:w="0" w:type="dxa"/>
                <w:bottom w:w="0" w:type="dxa"/>
                <w:right w:w="0" w:type="dxa"/>
              </w:tblCellMar>
            </w:tblPr>
            <w:tblGrid>
              <w:gridCol w:w="353"/>
              <w:gridCol w:w="2275"/>
              <w:gridCol w:w="1353"/>
              <w:gridCol w:w="1216"/>
              <w:gridCol w:w="993"/>
              <w:gridCol w:w="1153"/>
              <w:gridCol w:w="923"/>
            </w:tblGrid>
            <w:tr w14:paraId="0D3AC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340" w:hRule="atLeast"/>
              </w:trPr>
              <w:tc>
                <w:tcPr>
                  <w:tcW w:w="213" w:type="pct"/>
                  <w:tcBorders>
                    <w:tl2br w:val="nil"/>
                    <w:tr2bl w:val="nil"/>
                  </w:tcBorders>
                  <w:vAlign w:val="center"/>
                </w:tcPr>
                <w:p w14:paraId="3CB1A6EE">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项目</w:t>
                  </w:r>
                </w:p>
              </w:tc>
              <w:tc>
                <w:tcPr>
                  <w:tcW w:w="1376" w:type="pct"/>
                  <w:tcBorders>
                    <w:tl2br w:val="nil"/>
                    <w:tr2bl w:val="nil"/>
                  </w:tcBorders>
                  <w:vAlign w:val="center"/>
                </w:tcPr>
                <w:p w14:paraId="745ACC2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主要污染物</w:t>
                  </w:r>
                </w:p>
              </w:tc>
              <w:tc>
                <w:tcPr>
                  <w:tcW w:w="818" w:type="pct"/>
                  <w:tcBorders>
                    <w:tl2br w:val="nil"/>
                    <w:tr2bl w:val="nil"/>
                  </w:tcBorders>
                  <w:vAlign w:val="center"/>
                </w:tcPr>
                <w:p w14:paraId="643B6C9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现有工程(已建+在建)</w:t>
                  </w:r>
                </w:p>
              </w:tc>
              <w:tc>
                <w:tcPr>
                  <w:tcW w:w="735" w:type="pct"/>
                  <w:tcBorders>
                    <w:tl2br w:val="nil"/>
                    <w:tr2bl w:val="nil"/>
                  </w:tcBorders>
                  <w:vAlign w:val="center"/>
                </w:tcPr>
                <w:p w14:paraId="45EF728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本工程排放量(拟建)</w:t>
                  </w:r>
                </w:p>
              </w:tc>
              <w:tc>
                <w:tcPr>
                  <w:tcW w:w="600" w:type="pct"/>
                  <w:tcBorders>
                    <w:tl2br w:val="nil"/>
                    <w:tr2bl w:val="nil"/>
                  </w:tcBorders>
                  <w:vAlign w:val="center"/>
                </w:tcPr>
                <w:p w14:paraId="0C4FD8A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以新带老削减量</w:t>
                  </w:r>
                </w:p>
              </w:tc>
              <w:tc>
                <w:tcPr>
                  <w:tcW w:w="697" w:type="pct"/>
                  <w:tcBorders>
                    <w:tl2br w:val="nil"/>
                    <w:tr2bl w:val="nil"/>
                  </w:tcBorders>
                  <w:vAlign w:val="center"/>
                </w:tcPr>
                <w:p w14:paraId="113EEA8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总体工程</w:t>
                  </w:r>
                </w:p>
              </w:tc>
              <w:tc>
                <w:tcPr>
                  <w:tcW w:w="558" w:type="pct"/>
                  <w:tcBorders>
                    <w:tl2br w:val="nil"/>
                    <w:tr2bl w:val="nil"/>
                  </w:tcBorders>
                  <w:vAlign w:val="center"/>
                </w:tcPr>
                <w:p w14:paraId="359C9A3B">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变化量</w:t>
                  </w:r>
                </w:p>
              </w:tc>
            </w:tr>
            <w:tr w14:paraId="78F8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445" w:hRule="atLeast"/>
              </w:trPr>
              <w:tc>
                <w:tcPr>
                  <w:tcW w:w="213" w:type="pct"/>
                  <w:vMerge w:val="restart"/>
                  <w:tcBorders>
                    <w:tl2br w:val="nil"/>
                    <w:tr2bl w:val="nil"/>
                  </w:tcBorders>
                  <w:vAlign w:val="center"/>
                </w:tcPr>
                <w:p w14:paraId="7A4AE3BE">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污水</w:t>
                  </w:r>
                </w:p>
              </w:tc>
              <w:tc>
                <w:tcPr>
                  <w:tcW w:w="1376" w:type="pct"/>
                  <w:tcBorders>
                    <w:bottom w:val="single" w:color="000000" w:sz="2" w:space="0"/>
                    <w:tl2br w:val="nil"/>
                    <w:tr2bl w:val="nil"/>
                  </w:tcBorders>
                  <w:vAlign w:val="center"/>
                </w:tcPr>
                <w:p w14:paraId="1C134B9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水量(万m3/a)</w:t>
                  </w:r>
                </w:p>
              </w:tc>
              <w:tc>
                <w:tcPr>
                  <w:tcW w:w="818" w:type="pct"/>
                  <w:tcBorders>
                    <w:tl2br w:val="nil"/>
                    <w:tr2bl w:val="nil"/>
                  </w:tcBorders>
                  <w:vAlign w:val="center"/>
                </w:tcPr>
                <w:p w14:paraId="1D999E5B">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893.9</w:t>
                  </w:r>
                </w:p>
              </w:tc>
              <w:tc>
                <w:tcPr>
                  <w:tcW w:w="735" w:type="pct"/>
                  <w:tcBorders>
                    <w:tl2br w:val="nil"/>
                    <w:tr2bl w:val="nil"/>
                  </w:tcBorders>
                  <w:vAlign w:val="center"/>
                </w:tcPr>
                <w:p w14:paraId="35504B32">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56</w:t>
                  </w:r>
                </w:p>
              </w:tc>
              <w:tc>
                <w:tcPr>
                  <w:tcW w:w="600" w:type="pct"/>
                  <w:tcBorders>
                    <w:tl2br w:val="nil"/>
                    <w:tr2bl w:val="nil"/>
                  </w:tcBorders>
                  <w:vAlign w:val="center"/>
                </w:tcPr>
                <w:p w14:paraId="7FC136B2">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697" w:type="pct"/>
                  <w:tcBorders>
                    <w:tl2br w:val="nil"/>
                    <w:tr2bl w:val="nil"/>
                  </w:tcBorders>
                  <w:vAlign w:val="center"/>
                </w:tcPr>
                <w:p w14:paraId="249DE308">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949.9</w:t>
                  </w:r>
                </w:p>
              </w:tc>
              <w:tc>
                <w:tcPr>
                  <w:tcW w:w="558" w:type="pct"/>
                  <w:tcBorders>
                    <w:tl2br w:val="nil"/>
                    <w:tr2bl w:val="nil"/>
                  </w:tcBorders>
                  <w:vAlign w:val="center"/>
                </w:tcPr>
                <w:p w14:paraId="2FA1725B">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+56</w:t>
                  </w:r>
                </w:p>
              </w:tc>
            </w:tr>
            <w:tr w14:paraId="42AB1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158" w:hRule="atLeast"/>
              </w:trPr>
              <w:tc>
                <w:tcPr>
                  <w:tcW w:w="213" w:type="pct"/>
                  <w:vMerge w:val="continue"/>
                  <w:tcBorders>
                    <w:bottom w:val="single" w:color="auto" w:sz="4" w:space="0"/>
                    <w:tl2br w:val="nil"/>
                    <w:tr2bl w:val="nil"/>
                  </w:tcBorders>
                  <w:vAlign w:val="center"/>
                </w:tcPr>
                <w:p w14:paraId="42EDF08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000000" w:sz="2" w:space="0"/>
                    <w:tl2br w:val="nil"/>
                    <w:tr2bl w:val="nil"/>
                  </w:tcBorders>
                  <w:shd w:val="clear" w:color="auto" w:fill="auto"/>
                  <w:vAlign w:val="center"/>
                </w:tcPr>
                <w:p w14:paraId="24884BE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悬浮物(t/a)</w:t>
                  </w:r>
                </w:p>
              </w:tc>
              <w:tc>
                <w:tcPr>
                  <w:tcW w:w="818" w:type="pct"/>
                  <w:tcBorders>
                    <w:tl2br w:val="nil"/>
                    <w:tr2bl w:val="nil"/>
                  </w:tcBorders>
                  <w:vAlign w:val="center"/>
                </w:tcPr>
                <w:p w14:paraId="76EEABBB">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0.0348</w:t>
                  </w:r>
                </w:p>
              </w:tc>
              <w:tc>
                <w:tcPr>
                  <w:tcW w:w="735" w:type="pct"/>
                  <w:tcBorders>
                    <w:tl2br w:val="nil"/>
                    <w:tr2bl w:val="nil"/>
                  </w:tcBorders>
                  <w:vAlign w:val="center"/>
                </w:tcPr>
                <w:p w14:paraId="19FA39D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0.0022</w:t>
                  </w:r>
                </w:p>
              </w:tc>
              <w:tc>
                <w:tcPr>
                  <w:tcW w:w="600" w:type="pct"/>
                  <w:tcBorders>
                    <w:tl2br w:val="nil"/>
                    <w:tr2bl w:val="nil"/>
                  </w:tcBorders>
                  <w:vAlign w:val="center"/>
                </w:tcPr>
                <w:p w14:paraId="6562010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28217122">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0.037</w:t>
                  </w:r>
                </w:p>
              </w:tc>
              <w:tc>
                <w:tcPr>
                  <w:tcW w:w="558" w:type="pct"/>
                  <w:tcBorders>
                    <w:tl2br w:val="nil"/>
                    <w:tr2bl w:val="nil"/>
                  </w:tcBorders>
                  <w:shd w:val="clear" w:color="auto" w:fill="auto"/>
                  <w:vAlign w:val="center"/>
                </w:tcPr>
                <w:p w14:paraId="5927EA46">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+0.0022</w:t>
                  </w:r>
                </w:p>
              </w:tc>
            </w:tr>
            <w:tr w14:paraId="5CB5F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138" w:hRule="atLeast"/>
              </w:trPr>
              <w:tc>
                <w:tcPr>
                  <w:tcW w:w="213" w:type="pct"/>
                  <w:vMerge w:val="continue"/>
                  <w:tcBorders>
                    <w:bottom w:val="single" w:color="auto" w:sz="4" w:space="0"/>
                    <w:tl2br w:val="nil"/>
                    <w:tr2bl w:val="nil"/>
                  </w:tcBorders>
                  <w:vAlign w:val="center"/>
                </w:tcPr>
                <w:p w14:paraId="2ADDA862">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000000" w:sz="2" w:space="0"/>
                    <w:tl2br w:val="nil"/>
                    <w:tr2bl w:val="nil"/>
                  </w:tcBorders>
                  <w:shd w:val="clear" w:color="auto" w:fill="auto"/>
                  <w:vAlign w:val="center"/>
                </w:tcPr>
                <w:p w14:paraId="2A111278">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化学需氧量(t/a)</w:t>
                  </w:r>
                </w:p>
              </w:tc>
              <w:tc>
                <w:tcPr>
                  <w:tcW w:w="818" w:type="pct"/>
                  <w:tcBorders>
                    <w:tl2br w:val="nil"/>
                    <w:tr2bl w:val="nil"/>
                  </w:tcBorders>
                  <w:vAlign w:val="center"/>
                </w:tcPr>
                <w:p w14:paraId="0681A9F2">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0.0456</w:t>
                  </w:r>
                </w:p>
              </w:tc>
              <w:tc>
                <w:tcPr>
                  <w:tcW w:w="735" w:type="pct"/>
                  <w:tcBorders>
                    <w:tl2br w:val="nil"/>
                    <w:tr2bl w:val="nil"/>
                  </w:tcBorders>
                  <w:vAlign w:val="center"/>
                </w:tcPr>
                <w:p w14:paraId="3C22AD1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0.0028</w:t>
                  </w:r>
                </w:p>
              </w:tc>
              <w:tc>
                <w:tcPr>
                  <w:tcW w:w="600" w:type="pct"/>
                  <w:tcBorders>
                    <w:tl2br w:val="nil"/>
                    <w:tr2bl w:val="nil"/>
                  </w:tcBorders>
                  <w:vAlign w:val="center"/>
                </w:tcPr>
                <w:p w14:paraId="510E6062">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5FF92E2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0.0484</w:t>
                  </w:r>
                </w:p>
              </w:tc>
              <w:tc>
                <w:tcPr>
                  <w:tcW w:w="558" w:type="pct"/>
                  <w:tcBorders>
                    <w:tl2br w:val="nil"/>
                    <w:tr2bl w:val="nil"/>
                  </w:tcBorders>
                  <w:shd w:val="clear" w:color="auto" w:fill="auto"/>
                  <w:vAlign w:val="center"/>
                </w:tcPr>
                <w:p w14:paraId="6B542D28">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+0.0028</w:t>
                  </w:r>
                </w:p>
              </w:tc>
            </w:tr>
            <w:tr w14:paraId="176B5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133" w:hRule="atLeast"/>
              </w:trPr>
              <w:tc>
                <w:tcPr>
                  <w:tcW w:w="213" w:type="pct"/>
                  <w:vMerge w:val="continue"/>
                  <w:tcBorders>
                    <w:bottom w:val="single" w:color="auto" w:sz="4" w:space="0"/>
                    <w:tl2br w:val="nil"/>
                    <w:tr2bl w:val="nil"/>
                  </w:tcBorders>
                  <w:vAlign w:val="center"/>
                </w:tcPr>
                <w:p w14:paraId="3AFC68F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000000" w:sz="2" w:space="0"/>
                    <w:tl2br w:val="nil"/>
                    <w:tr2bl w:val="nil"/>
                  </w:tcBorders>
                  <w:shd w:val="clear" w:color="auto" w:fill="auto"/>
                  <w:vAlign w:val="center"/>
                </w:tcPr>
                <w:p w14:paraId="5B0733B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五日生化需氧量(t/a)</w:t>
                  </w:r>
                </w:p>
              </w:tc>
              <w:tc>
                <w:tcPr>
                  <w:tcW w:w="818" w:type="pct"/>
                  <w:tcBorders>
                    <w:tl2br w:val="nil"/>
                    <w:tr2bl w:val="nil"/>
                  </w:tcBorders>
                  <w:vAlign w:val="center"/>
                </w:tcPr>
                <w:p w14:paraId="6299C170">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0.0152</w:t>
                  </w:r>
                </w:p>
              </w:tc>
              <w:tc>
                <w:tcPr>
                  <w:tcW w:w="735" w:type="pct"/>
                  <w:tcBorders>
                    <w:tl2br w:val="nil"/>
                    <w:tr2bl w:val="nil"/>
                  </w:tcBorders>
                  <w:vAlign w:val="center"/>
                </w:tcPr>
                <w:p w14:paraId="4F36170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0.0009</w:t>
                  </w:r>
                </w:p>
              </w:tc>
              <w:tc>
                <w:tcPr>
                  <w:tcW w:w="600" w:type="pct"/>
                  <w:tcBorders>
                    <w:tl2br w:val="nil"/>
                    <w:tr2bl w:val="nil"/>
                  </w:tcBorders>
                  <w:vAlign w:val="center"/>
                </w:tcPr>
                <w:p w14:paraId="00D184B2">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5A249A81">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0.0161</w:t>
                  </w:r>
                </w:p>
              </w:tc>
              <w:tc>
                <w:tcPr>
                  <w:tcW w:w="558" w:type="pct"/>
                  <w:tcBorders>
                    <w:tl2br w:val="nil"/>
                    <w:tr2bl w:val="nil"/>
                  </w:tcBorders>
                  <w:shd w:val="clear" w:color="auto" w:fill="auto"/>
                  <w:vAlign w:val="center"/>
                </w:tcPr>
                <w:p w14:paraId="72317563">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+0.0009</w:t>
                  </w:r>
                </w:p>
              </w:tc>
            </w:tr>
            <w:tr w14:paraId="7180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168" w:hRule="atLeast"/>
              </w:trPr>
              <w:tc>
                <w:tcPr>
                  <w:tcW w:w="213" w:type="pct"/>
                  <w:vMerge w:val="continue"/>
                  <w:tcBorders>
                    <w:bottom w:val="single" w:color="auto" w:sz="4" w:space="0"/>
                    <w:tl2br w:val="nil"/>
                    <w:tr2bl w:val="nil"/>
                  </w:tcBorders>
                  <w:vAlign w:val="center"/>
                </w:tcPr>
                <w:p w14:paraId="3D6BD0A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000000" w:sz="2" w:space="0"/>
                    <w:tl2br w:val="nil"/>
                    <w:tr2bl w:val="nil"/>
                  </w:tcBorders>
                  <w:shd w:val="clear" w:color="auto" w:fill="auto"/>
                  <w:vAlign w:val="center"/>
                </w:tcPr>
                <w:p w14:paraId="3E3D8E59">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石油类(t/a)</w:t>
                  </w:r>
                </w:p>
              </w:tc>
              <w:tc>
                <w:tcPr>
                  <w:tcW w:w="818" w:type="pct"/>
                  <w:tcBorders>
                    <w:tl2br w:val="nil"/>
                    <w:tr2bl w:val="nil"/>
                  </w:tcBorders>
                  <w:shd w:val="clear" w:color="auto" w:fill="auto"/>
                  <w:vAlign w:val="center"/>
                </w:tcPr>
                <w:p w14:paraId="5096E2C3">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0.00005</w:t>
                  </w:r>
                </w:p>
              </w:tc>
              <w:tc>
                <w:tcPr>
                  <w:tcW w:w="735" w:type="pct"/>
                  <w:tcBorders>
                    <w:tl2br w:val="nil"/>
                    <w:tr2bl w:val="nil"/>
                  </w:tcBorders>
                  <w:vAlign w:val="center"/>
                </w:tcPr>
                <w:p w14:paraId="70F13CC7">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0.000003</w:t>
                  </w:r>
                </w:p>
              </w:tc>
              <w:tc>
                <w:tcPr>
                  <w:tcW w:w="600" w:type="pct"/>
                  <w:tcBorders>
                    <w:tl2br w:val="nil"/>
                    <w:tr2bl w:val="nil"/>
                  </w:tcBorders>
                  <w:vAlign w:val="center"/>
                </w:tcPr>
                <w:p w14:paraId="1C88D9C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03BDA71C">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0.000053</w:t>
                  </w:r>
                </w:p>
              </w:tc>
              <w:tc>
                <w:tcPr>
                  <w:tcW w:w="558" w:type="pct"/>
                  <w:tcBorders>
                    <w:tl2br w:val="nil"/>
                    <w:tr2bl w:val="nil"/>
                  </w:tcBorders>
                  <w:shd w:val="clear" w:color="auto" w:fill="auto"/>
                  <w:vAlign w:val="center"/>
                </w:tcPr>
                <w:p w14:paraId="37326F93">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+0.000003</w:t>
                  </w:r>
                </w:p>
              </w:tc>
            </w:tr>
            <w:tr w14:paraId="3C0A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148" w:hRule="atLeast"/>
              </w:trPr>
              <w:tc>
                <w:tcPr>
                  <w:tcW w:w="213" w:type="pct"/>
                  <w:vMerge w:val="continue"/>
                  <w:tcBorders>
                    <w:bottom w:val="single" w:color="auto" w:sz="4" w:space="0"/>
                    <w:tl2br w:val="nil"/>
                    <w:tr2bl w:val="nil"/>
                  </w:tcBorders>
                  <w:vAlign w:val="center"/>
                </w:tcPr>
                <w:p w14:paraId="7DF8B92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000000" w:sz="2" w:space="0"/>
                    <w:tl2br w:val="nil"/>
                    <w:tr2bl w:val="nil"/>
                  </w:tcBorders>
                  <w:shd w:val="clear" w:color="auto" w:fill="auto"/>
                  <w:vAlign w:val="center"/>
                </w:tcPr>
                <w:p w14:paraId="6498688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阴离子表面活性剂(t/a)</w:t>
                  </w:r>
                </w:p>
              </w:tc>
              <w:tc>
                <w:tcPr>
                  <w:tcW w:w="818" w:type="pct"/>
                  <w:tcBorders>
                    <w:tl2br w:val="nil"/>
                    <w:tr2bl w:val="nil"/>
                  </w:tcBorders>
                  <w:vAlign w:val="center"/>
                </w:tcPr>
                <w:p w14:paraId="76A294C3">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0.00027</w:t>
                  </w:r>
                </w:p>
              </w:tc>
              <w:tc>
                <w:tcPr>
                  <w:tcW w:w="735" w:type="pct"/>
                  <w:tcBorders>
                    <w:tl2br w:val="nil"/>
                    <w:tr2bl w:val="nil"/>
                  </w:tcBorders>
                  <w:vAlign w:val="center"/>
                </w:tcPr>
                <w:p w14:paraId="468BB509">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0.000012</w:t>
                  </w:r>
                </w:p>
              </w:tc>
              <w:tc>
                <w:tcPr>
                  <w:tcW w:w="600" w:type="pct"/>
                  <w:tcBorders>
                    <w:tl2br w:val="nil"/>
                    <w:tr2bl w:val="nil"/>
                  </w:tcBorders>
                  <w:vAlign w:val="center"/>
                </w:tcPr>
                <w:p w14:paraId="27099B9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43B6C616">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0.000282</w:t>
                  </w:r>
                </w:p>
              </w:tc>
              <w:tc>
                <w:tcPr>
                  <w:tcW w:w="558" w:type="pct"/>
                  <w:tcBorders>
                    <w:tl2br w:val="nil"/>
                    <w:tr2bl w:val="nil"/>
                  </w:tcBorders>
                  <w:shd w:val="clear" w:color="auto" w:fill="auto"/>
                  <w:vAlign w:val="center"/>
                </w:tcPr>
                <w:p w14:paraId="76FB6739">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+0.000012</w:t>
                  </w:r>
                </w:p>
              </w:tc>
            </w:tr>
            <w:tr w14:paraId="3254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142" w:hRule="atLeast"/>
              </w:trPr>
              <w:tc>
                <w:tcPr>
                  <w:tcW w:w="213" w:type="pct"/>
                  <w:vMerge w:val="continue"/>
                  <w:tcBorders>
                    <w:bottom w:val="single" w:color="auto" w:sz="4" w:space="0"/>
                    <w:tl2br w:val="nil"/>
                    <w:tr2bl w:val="nil"/>
                  </w:tcBorders>
                  <w:vAlign w:val="center"/>
                </w:tcPr>
                <w:p w14:paraId="2327606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000000" w:sz="2" w:space="0"/>
                    <w:tl2br w:val="nil"/>
                    <w:tr2bl w:val="nil"/>
                  </w:tcBorders>
                  <w:shd w:val="clear" w:color="auto" w:fill="auto"/>
                  <w:vAlign w:val="center"/>
                </w:tcPr>
                <w:p w14:paraId="041D652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氨氮(t/a)</w:t>
                  </w:r>
                </w:p>
              </w:tc>
              <w:tc>
                <w:tcPr>
                  <w:tcW w:w="818" w:type="pct"/>
                  <w:tcBorders>
                    <w:tl2br w:val="nil"/>
                    <w:tr2bl w:val="nil"/>
                  </w:tcBorders>
                  <w:vAlign w:val="center"/>
                </w:tcPr>
                <w:p w14:paraId="5EBCB39F">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0.0011</w:t>
                  </w:r>
                </w:p>
              </w:tc>
              <w:tc>
                <w:tcPr>
                  <w:tcW w:w="735" w:type="pct"/>
                  <w:tcBorders>
                    <w:tl2br w:val="nil"/>
                    <w:tr2bl w:val="nil"/>
                  </w:tcBorders>
                  <w:vAlign w:val="center"/>
                </w:tcPr>
                <w:p w14:paraId="03BA5BCC">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0.00006</w:t>
                  </w:r>
                </w:p>
              </w:tc>
              <w:tc>
                <w:tcPr>
                  <w:tcW w:w="600" w:type="pct"/>
                  <w:tcBorders>
                    <w:tl2br w:val="nil"/>
                    <w:tr2bl w:val="nil"/>
                  </w:tcBorders>
                  <w:vAlign w:val="center"/>
                </w:tcPr>
                <w:p w14:paraId="1DDD495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57F86119">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0.00116</w:t>
                  </w:r>
                </w:p>
              </w:tc>
              <w:tc>
                <w:tcPr>
                  <w:tcW w:w="558" w:type="pct"/>
                  <w:tcBorders>
                    <w:tl2br w:val="nil"/>
                    <w:tr2bl w:val="nil"/>
                  </w:tcBorders>
                  <w:shd w:val="clear" w:color="auto" w:fill="auto"/>
                  <w:vAlign w:val="center"/>
                </w:tcPr>
                <w:p w14:paraId="257F960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+0.00006</w:t>
                  </w:r>
                </w:p>
              </w:tc>
            </w:tr>
            <w:tr w14:paraId="1F19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190" w:hRule="atLeast"/>
              </w:trPr>
              <w:tc>
                <w:tcPr>
                  <w:tcW w:w="213" w:type="pct"/>
                  <w:vMerge w:val="continue"/>
                  <w:tcBorders>
                    <w:bottom w:val="single" w:color="auto" w:sz="4" w:space="0"/>
                    <w:tl2br w:val="nil"/>
                    <w:tr2bl w:val="nil"/>
                  </w:tcBorders>
                  <w:vAlign w:val="center"/>
                </w:tcPr>
                <w:p w14:paraId="4FB3E8C9">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000000" w:sz="2" w:space="0"/>
                    <w:tl2br w:val="nil"/>
                    <w:tr2bl w:val="nil"/>
                  </w:tcBorders>
                  <w:shd w:val="clear" w:color="auto" w:fill="auto"/>
                  <w:vAlign w:val="center"/>
                </w:tcPr>
                <w:p w14:paraId="7ED06C3B">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总氮(t/a)</w:t>
                  </w:r>
                </w:p>
              </w:tc>
              <w:tc>
                <w:tcPr>
                  <w:tcW w:w="818" w:type="pct"/>
                  <w:tcBorders>
                    <w:tl2br w:val="nil"/>
                    <w:tr2bl w:val="nil"/>
                  </w:tcBorders>
                  <w:vAlign w:val="center"/>
                </w:tcPr>
                <w:p w14:paraId="2834F4AA">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0.0065</w:t>
                  </w:r>
                </w:p>
              </w:tc>
              <w:tc>
                <w:tcPr>
                  <w:tcW w:w="735" w:type="pct"/>
                  <w:tcBorders>
                    <w:tl2br w:val="nil"/>
                    <w:tr2bl w:val="nil"/>
                  </w:tcBorders>
                  <w:vAlign w:val="center"/>
                </w:tcPr>
                <w:p w14:paraId="7E781529">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0.0004</w:t>
                  </w:r>
                </w:p>
              </w:tc>
              <w:tc>
                <w:tcPr>
                  <w:tcW w:w="600" w:type="pct"/>
                  <w:tcBorders>
                    <w:tl2br w:val="nil"/>
                    <w:tr2bl w:val="nil"/>
                  </w:tcBorders>
                  <w:vAlign w:val="center"/>
                </w:tcPr>
                <w:p w14:paraId="77D31DE0">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6C06B52B">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0.0069</w:t>
                  </w:r>
                </w:p>
              </w:tc>
              <w:tc>
                <w:tcPr>
                  <w:tcW w:w="558" w:type="pct"/>
                  <w:tcBorders>
                    <w:tl2br w:val="nil"/>
                    <w:tr2bl w:val="nil"/>
                  </w:tcBorders>
                  <w:shd w:val="clear" w:color="auto" w:fill="auto"/>
                  <w:vAlign w:val="center"/>
                </w:tcPr>
                <w:p w14:paraId="3C4F954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+0.0004</w:t>
                  </w:r>
                </w:p>
              </w:tc>
            </w:tr>
            <w:tr w14:paraId="291FF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61" w:hRule="atLeast"/>
              </w:trPr>
              <w:tc>
                <w:tcPr>
                  <w:tcW w:w="213" w:type="pct"/>
                  <w:vMerge w:val="continue"/>
                  <w:tcBorders>
                    <w:bottom w:val="single" w:color="auto" w:sz="4" w:space="0"/>
                    <w:tl2br w:val="nil"/>
                    <w:tr2bl w:val="nil"/>
                  </w:tcBorders>
                  <w:vAlign w:val="center"/>
                </w:tcPr>
                <w:p w14:paraId="4C19327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auto" w:sz="4" w:space="0"/>
                    <w:tl2br w:val="nil"/>
                    <w:tr2bl w:val="nil"/>
                  </w:tcBorders>
                  <w:shd w:val="clear" w:color="auto" w:fill="auto"/>
                  <w:vAlign w:val="center"/>
                </w:tcPr>
                <w:p w14:paraId="71F8CB3E">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总磷(t/a)</w:t>
                  </w:r>
                </w:p>
              </w:tc>
              <w:tc>
                <w:tcPr>
                  <w:tcW w:w="818" w:type="pct"/>
                  <w:tcBorders>
                    <w:tl2br w:val="nil"/>
                    <w:tr2bl w:val="nil"/>
                  </w:tcBorders>
                  <w:vAlign w:val="center"/>
                </w:tcPr>
                <w:p w14:paraId="7305F08C">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0.0006</w:t>
                  </w:r>
                </w:p>
              </w:tc>
              <w:tc>
                <w:tcPr>
                  <w:tcW w:w="735" w:type="pct"/>
                  <w:tcBorders>
                    <w:tl2br w:val="nil"/>
                    <w:tr2bl w:val="nil"/>
                  </w:tcBorders>
                  <w:vAlign w:val="center"/>
                </w:tcPr>
                <w:p w14:paraId="7C636563">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0.00003</w:t>
                  </w:r>
                </w:p>
              </w:tc>
              <w:tc>
                <w:tcPr>
                  <w:tcW w:w="600" w:type="pct"/>
                  <w:tcBorders>
                    <w:tl2br w:val="nil"/>
                    <w:tr2bl w:val="nil"/>
                  </w:tcBorders>
                  <w:vAlign w:val="center"/>
                </w:tcPr>
                <w:p w14:paraId="72104261">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1153" w:type="dxa"/>
                  <w:tcBorders>
                    <w:tl2br w:val="nil"/>
                    <w:tr2bl w:val="nil"/>
                  </w:tcBorders>
                  <w:vAlign w:val="center"/>
                </w:tcPr>
                <w:p w14:paraId="62EFFCCC">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0.00063</w:t>
                  </w:r>
                </w:p>
              </w:tc>
              <w:tc>
                <w:tcPr>
                  <w:tcW w:w="558" w:type="pct"/>
                  <w:tcBorders>
                    <w:tl2br w:val="nil"/>
                    <w:tr2bl w:val="nil"/>
                  </w:tcBorders>
                  <w:shd w:val="clear" w:color="auto" w:fill="auto"/>
                  <w:vAlign w:val="center"/>
                </w:tcPr>
                <w:p w14:paraId="24AA514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+0.00003</w:t>
                  </w:r>
                </w:p>
              </w:tc>
            </w:tr>
            <w:tr w14:paraId="05A5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340" w:hRule="atLeast"/>
              </w:trPr>
              <w:tc>
                <w:tcPr>
                  <w:tcW w:w="213" w:type="pct"/>
                  <w:vMerge w:val="restart"/>
                  <w:tcBorders>
                    <w:tl2br w:val="nil"/>
                    <w:tr2bl w:val="nil"/>
                  </w:tcBorders>
                  <w:vAlign w:val="center"/>
                </w:tcPr>
                <w:p w14:paraId="5DFEEA05">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废气</w:t>
                  </w:r>
                </w:p>
              </w:tc>
              <w:tc>
                <w:tcPr>
                  <w:tcW w:w="1376" w:type="pct"/>
                  <w:tcBorders>
                    <w:bottom w:val="single" w:color="auto" w:sz="4" w:space="0"/>
                    <w:tl2br w:val="nil"/>
                    <w:tr2bl w:val="nil"/>
                  </w:tcBorders>
                  <w:vAlign w:val="center"/>
                </w:tcPr>
                <w:p w14:paraId="45BE604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非甲烷总烃(t/a)</w:t>
                  </w:r>
                </w:p>
              </w:tc>
              <w:tc>
                <w:tcPr>
                  <w:tcW w:w="818" w:type="pct"/>
                  <w:tcBorders>
                    <w:tl2br w:val="nil"/>
                    <w:tr2bl w:val="nil"/>
                  </w:tcBorders>
                  <w:vAlign w:val="center"/>
                </w:tcPr>
                <w:p w14:paraId="58FF27EB">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0.008</w:t>
                  </w:r>
                </w:p>
              </w:tc>
              <w:tc>
                <w:tcPr>
                  <w:tcW w:w="735" w:type="pct"/>
                  <w:tcBorders>
                    <w:tl2br w:val="nil"/>
                    <w:tr2bl w:val="nil"/>
                  </w:tcBorders>
                  <w:vAlign w:val="center"/>
                </w:tcPr>
                <w:p w14:paraId="7E7F0E26">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0.0185</w:t>
                  </w:r>
                </w:p>
              </w:tc>
              <w:tc>
                <w:tcPr>
                  <w:tcW w:w="600" w:type="pct"/>
                  <w:tcBorders>
                    <w:tl2br w:val="nil"/>
                    <w:tr2bl w:val="nil"/>
                  </w:tcBorders>
                  <w:vAlign w:val="center"/>
                </w:tcPr>
                <w:p w14:paraId="11CD823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697" w:type="pct"/>
                  <w:tcBorders>
                    <w:tl2br w:val="nil"/>
                    <w:tr2bl w:val="nil"/>
                  </w:tcBorders>
                  <w:vAlign w:val="center"/>
                </w:tcPr>
                <w:p w14:paraId="1E1C8111">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0.0265</w:t>
                  </w:r>
                </w:p>
              </w:tc>
              <w:tc>
                <w:tcPr>
                  <w:tcW w:w="558" w:type="pct"/>
                  <w:tcBorders>
                    <w:tl2br w:val="nil"/>
                    <w:tr2bl w:val="nil"/>
                  </w:tcBorders>
                  <w:vAlign w:val="center"/>
                </w:tcPr>
                <w:p w14:paraId="16D6E1DC">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+0.0185</w:t>
                  </w:r>
                </w:p>
              </w:tc>
            </w:tr>
            <w:tr w14:paraId="1353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340" w:hRule="atLeast"/>
              </w:trPr>
              <w:tc>
                <w:tcPr>
                  <w:tcW w:w="213" w:type="pct"/>
                  <w:vMerge w:val="continue"/>
                  <w:tcBorders>
                    <w:bottom w:val="single" w:color="auto" w:sz="4" w:space="0"/>
                    <w:tl2br w:val="nil"/>
                    <w:tr2bl w:val="nil"/>
                  </w:tcBorders>
                  <w:vAlign w:val="center"/>
                </w:tcPr>
                <w:p w14:paraId="3B253E93">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top w:val="single" w:color="auto" w:sz="4" w:space="0"/>
                    <w:bottom w:val="single" w:color="auto" w:sz="4" w:space="0"/>
                    <w:tl2br w:val="nil"/>
                    <w:tr2bl w:val="nil"/>
                  </w:tcBorders>
                  <w:vAlign w:val="center"/>
                </w:tcPr>
                <w:p w14:paraId="3F77F544">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颗粒物(t/a)</w:t>
                  </w:r>
                </w:p>
              </w:tc>
              <w:tc>
                <w:tcPr>
                  <w:tcW w:w="818" w:type="pct"/>
                  <w:tcBorders>
                    <w:tl2br w:val="nil"/>
                    <w:tr2bl w:val="nil"/>
                  </w:tcBorders>
                  <w:vAlign w:val="center"/>
                </w:tcPr>
                <w:p w14:paraId="0E4EDF9A">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0.0085</w:t>
                  </w:r>
                </w:p>
              </w:tc>
              <w:tc>
                <w:tcPr>
                  <w:tcW w:w="735" w:type="pct"/>
                  <w:tcBorders>
                    <w:tl2br w:val="nil"/>
                    <w:tr2bl w:val="nil"/>
                  </w:tcBorders>
                  <w:vAlign w:val="center"/>
                </w:tcPr>
                <w:p w14:paraId="220CAB42">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0.0169</w:t>
                  </w:r>
                </w:p>
              </w:tc>
              <w:tc>
                <w:tcPr>
                  <w:tcW w:w="600" w:type="pct"/>
                  <w:tcBorders>
                    <w:tl2br w:val="nil"/>
                    <w:tr2bl w:val="nil"/>
                  </w:tcBorders>
                  <w:vAlign w:val="center"/>
                </w:tcPr>
                <w:p w14:paraId="2EB2C848">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697" w:type="pct"/>
                  <w:tcBorders>
                    <w:tl2br w:val="nil"/>
                    <w:tr2bl w:val="nil"/>
                  </w:tcBorders>
                  <w:vAlign w:val="center"/>
                </w:tcPr>
                <w:p w14:paraId="15EFFEEA">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0.0254</w:t>
                  </w:r>
                </w:p>
              </w:tc>
              <w:tc>
                <w:tcPr>
                  <w:tcW w:w="558" w:type="pct"/>
                  <w:tcBorders>
                    <w:tl2br w:val="nil"/>
                    <w:tr2bl w:val="nil"/>
                  </w:tcBorders>
                  <w:vAlign w:val="center"/>
                </w:tcPr>
                <w:p w14:paraId="306FB347">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+0.0169</w:t>
                  </w:r>
                </w:p>
              </w:tc>
            </w:tr>
            <w:tr w14:paraId="59C6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340" w:hRule="atLeast"/>
              </w:trPr>
              <w:tc>
                <w:tcPr>
                  <w:tcW w:w="213" w:type="pct"/>
                  <w:vMerge w:val="restart"/>
                  <w:tcBorders>
                    <w:tl2br w:val="nil"/>
                    <w:tr2bl w:val="nil"/>
                  </w:tcBorders>
                  <w:vAlign w:val="center"/>
                </w:tcPr>
                <w:p w14:paraId="7043A3C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固废</w:t>
                  </w:r>
                </w:p>
              </w:tc>
              <w:tc>
                <w:tcPr>
                  <w:tcW w:w="1376" w:type="pct"/>
                  <w:tcBorders>
                    <w:tl2br w:val="nil"/>
                    <w:tr2bl w:val="nil"/>
                  </w:tcBorders>
                  <w:vAlign w:val="center"/>
                </w:tcPr>
                <w:p w14:paraId="2E77EDF3">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生活垃圾(t/a)</w:t>
                  </w:r>
                </w:p>
              </w:tc>
              <w:tc>
                <w:tcPr>
                  <w:tcW w:w="818" w:type="pct"/>
                  <w:tcBorders>
                    <w:tl2br w:val="nil"/>
                    <w:tr2bl w:val="nil"/>
                  </w:tcBorders>
                  <w:vAlign w:val="center"/>
                </w:tcPr>
                <w:p w14:paraId="5E2112B8">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6.12</w:t>
                  </w:r>
                </w:p>
              </w:tc>
              <w:tc>
                <w:tcPr>
                  <w:tcW w:w="735" w:type="pct"/>
                  <w:tcBorders>
                    <w:tl2br w:val="nil"/>
                    <w:tr2bl w:val="nil"/>
                  </w:tcBorders>
                  <w:vAlign w:val="center"/>
                </w:tcPr>
                <w:p w14:paraId="2F20D007">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600" w:type="pct"/>
                  <w:tcBorders>
                    <w:tl2br w:val="nil"/>
                    <w:tr2bl w:val="nil"/>
                  </w:tcBorders>
                  <w:vAlign w:val="center"/>
                </w:tcPr>
                <w:p w14:paraId="64A1701A">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697" w:type="pct"/>
                  <w:tcBorders>
                    <w:tl2br w:val="nil"/>
                    <w:tr2bl w:val="nil"/>
                  </w:tcBorders>
                  <w:vAlign w:val="center"/>
                </w:tcPr>
                <w:p w14:paraId="0728839B">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6.12</w:t>
                  </w:r>
                </w:p>
              </w:tc>
              <w:tc>
                <w:tcPr>
                  <w:tcW w:w="558" w:type="pct"/>
                  <w:tcBorders>
                    <w:tl2br w:val="nil"/>
                    <w:tr2bl w:val="nil"/>
                  </w:tcBorders>
                  <w:vAlign w:val="center"/>
                </w:tcPr>
                <w:p w14:paraId="59C78CA3">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r>
            <w:tr w14:paraId="0F9B8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340" w:hRule="atLeast"/>
              </w:trPr>
              <w:tc>
                <w:tcPr>
                  <w:tcW w:w="213" w:type="pct"/>
                  <w:vMerge w:val="continue"/>
                  <w:tcBorders>
                    <w:tl2br w:val="nil"/>
                    <w:tr2bl w:val="nil"/>
                  </w:tcBorders>
                  <w:vAlign w:val="center"/>
                </w:tcPr>
                <w:p w14:paraId="283A1DE4">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tl2br w:val="nil"/>
                    <w:tr2bl w:val="nil"/>
                  </w:tcBorders>
                  <w:vAlign w:val="center"/>
                </w:tcPr>
                <w:p w14:paraId="02586CB7">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一般工业固废(t/a)</w:t>
                  </w:r>
                </w:p>
              </w:tc>
              <w:tc>
                <w:tcPr>
                  <w:tcW w:w="818" w:type="pct"/>
                  <w:tcBorders>
                    <w:tl2br w:val="nil"/>
                    <w:tr2bl w:val="nil"/>
                  </w:tcBorders>
                  <w:vAlign w:val="center"/>
                </w:tcPr>
                <w:p w14:paraId="51A1D68F">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0.16</w:t>
                  </w:r>
                </w:p>
              </w:tc>
              <w:tc>
                <w:tcPr>
                  <w:tcW w:w="735" w:type="pct"/>
                  <w:tcBorders>
                    <w:tl2br w:val="nil"/>
                    <w:tr2bl w:val="nil"/>
                  </w:tcBorders>
                  <w:vAlign w:val="center"/>
                </w:tcPr>
                <w:p w14:paraId="1531B6A1">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0.34</w:t>
                  </w:r>
                </w:p>
              </w:tc>
              <w:tc>
                <w:tcPr>
                  <w:tcW w:w="600" w:type="pct"/>
                  <w:tcBorders>
                    <w:tl2br w:val="nil"/>
                    <w:tr2bl w:val="nil"/>
                  </w:tcBorders>
                  <w:vAlign w:val="center"/>
                </w:tcPr>
                <w:p w14:paraId="2E7FDF6B">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697" w:type="pct"/>
                  <w:tcBorders>
                    <w:tl2br w:val="nil"/>
                    <w:tr2bl w:val="nil"/>
                  </w:tcBorders>
                  <w:vAlign w:val="center"/>
                </w:tcPr>
                <w:p w14:paraId="2533E332">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0.5</w:t>
                  </w:r>
                </w:p>
              </w:tc>
              <w:tc>
                <w:tcPr>
                  <w:tcW w:w="558" w:type="pct"/>
                  <w:tcBorders>
                    <w:tl2br w:val="nil"/>
                    <w:tr2bl w:val="nil"/>
                  </w:tcBorders>
                  <w:vAlign w:val="center"/>
                </w:tcPr>
                <w:p w14:paraId="53CEF19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+0.34</w:t>
                  </w:r>
                </w:p>
              </w:tc>
            </w:tr>
            <w:tr w14:paraId="085E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4" w:space="0"/>
                </w:tblBorders>
                <w:tblCellMar>
                  <w:top w:w="0" w:type="dxa"/>
                  <w:left w:w="0" w:type="dxa"/>
                  <w:bottom w:w="0" w:type="dxa"/>
                  <w:right w:w="0" w:type="dxa"/>
                </w:tblCellMar>
              </w:tblPrEx>
              <w:trPr>
                <w:trHeight w:val="340" w:hRule="atLeast"/>
              </w:trPr>
              <w:tc>
                <w:tcPr>
                  <w:tcW w:w="213" w:type="pct"/>
                  <w:vMerge w:val="continue"/>
                  <w:tcBorders>
                    <w:bottom w:val="single" w:color="auto" w:sz="4" w:space="0"/>
                    <w:tl2br w:val="nil"/>
                    <w:tr2bl w:val="nil"/>
                  </w:tcBorders>
                  <w:vAlign w:val="center"/>
                </w:tcPr>
                <w:p w14:paraId="0141B0A1">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p>
              </w:tc>
              <w:tc>
                <w:tcPr>
                  <w:tcW w:w="1376" w:type="pct"/>
                  <w:tcBorders>
                    <w:bottom w:val="single" w:color="auto" w:sz="4" w:space="0"/>
                    <w:tl2br w:val="nil"/>
                    <w:tr2bl w:val="nil"/>
                  </w:tcBorders>
                  <w:vAlign w:val="center"/>
                </w:tcPr>
                <w:p w14:paraId="3249A852">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危险废物(t/a)</w:t>
                  </w:r>
                </w:p>
              </w:tc>
              <w:tc>
                <w:tcPr>
                  <w:tcW w:w="818" w:type="pct"/>
                  <w:tcBorders>
                    <w:tl2br w:val="nil"/>
                    <w:tr2bl w:val="nil"/>
                  </w:tcBorders>
                  <w:vAlign w:val="center"/>
                </w:tcPr>
                <w:p w14:paraId="252F1CE3">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3.37</w:t>
                  </w:r>
                </w:p>
              </w:tc>
              <w:tc>
                <w:tcPr>
                  <w:tcW w:w="735" w:type="pct"/>
                  <w:tcBorders>
                    <w:tl2br w:val="nil"/>
                    <w:tr2bl w:val="nil"/>
                  </w:tcBorders>
                  <w:vAlign w:val="center"/>
                </w:tcPr>
                <w:p w14:paraId="2EF58ABB">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6.739</w:t>
                  </w:r>
                </w:p>
              </w:tc>
              <w:tc>
                <w:tcPr>
                  <w:tcW w:w="600" w:type="pct"/>
                  <w:tcBorders>
                    <w:tl2br w:val="nil"/>
                    <w:tr2bl w:val="nil"/>
                  </w:tcBorders>
                  <w:vAlign w:val="center"/>
                </w:tcPr>
                <w:p w14:paraId="05364758">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w:t>
                  </w:r>
                </w:p>
              </w:tc>
              <w:tc>
                <w:tcPr>
                  <w:tcW w:w="697" w:type="pct"/>
                  <w:tcBorders>
                    <w:tl2br w:val="nil"/>
                    <w:tr2bl w:val="nil"/>
                  </w:tcBorders>
                  <w:vAlign w:val="center"/>
                </w:tcPr>
                <w:p w14:paraId="63C7F988">
                  <w:pPr>
                    <w:bidi w:val="0"/>
                    <w:spacing w:line="240" w:lineRule="auto"/>
                    <w:ind w:left="0" w:leftChars="0" w:firstLine="0" w:firstLine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10.109</w:t>
                  </w:r>
                </w:p>
              </w:tc>
              <w:tc>
                <w:tcPr>
                  <w:tcW w:w="558" w:type="pct"/>
                  <w:tcBorders>
                    <w:tl2br w:val="nil"/>
                    <w:tr2bl w:val="nil"/>
                  </w:tcBorders>
                  <w:vAlign w:val="center"/>
                </w:tcPr>
                <w:p w14:paraId="1A481C2D">
                  <w:pPr>
                    <w:bidi w:val="0"/>
                    <w:spacing w:line="240" w:lineRule="auto"/>
                    <w:ind w:left="0" w:leftChars="0" w:firstLine="0" w:firstLineChars="0"/>
                    <w:jc w:val="center"/>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+6.739</w:t>
                  </w:r>
                </w:p>
              </w:tc>
            </w:tr>
          </w:tbl>
          <w:p w14:paraId="7CC8A513">
            <w:pPr>
              <w:bidi w:val="0"/>
              <w:rPr>
                <w:rFonts w:hint="default"/>
                <w:lang w:val="en-US" w:eastAsia="zh-CN"/>
              </w:rPr>
            </w:pPr>
          </w:p>
        </w:tc>
      </w:tr>
    </w:tbl>
    <w:p w14:paraId="1D341068">
      <w:pPr>
        <w:adjustRightInd w:val="0"/>
        <w:snapToGrid w:val="0"/>
        <w:ind w:firstLine="562"/>
        <w:rPr>
          <w:rFonts w:hint="eastAsia" w:ascii="宋体" w:cs="宋体"/>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8BE7F3B">
      <w:pPr>
        <w:pStyle w:val="22"/>
        <w:ind w:firstLine="600"/>
        <w:jc w:val="center"/>
        <w:outlineLvl w:val="0"/>
        <w:rPr>
          <w:rFonts w:hint="eastAsia" w:ascii="黑体" w:hAnsi="黑体" w:eastAsia="黑体"/>
          <w:snapToGrid w:val="0"/>
          <w:color w:val="000000" w:themeColor="text1"/>
          <w:sz w:val="30"/>
          <w:szCs w:val="30"/>
          <w:u w:val="single"/>
          <w14:textFill>
            <w14:solidFill>
              <w14:schemeClr w14:val="tx1"/>
            </w14:solidFill>
          </w14:textFill>
        </w:rPr>
      </w:pPr>
      <w:bookmarkStart w:id="20" w:name="_Toc31819"/>
      <w:bookmarkStart w:id="21" w:name="_Toc6657"/>
      <w:r>
        <w:rPr>
          <w:rFonts w:hint="eastAsia" w:ascii="黑体" w:hAnsi="黑体" w:eastAsia="黑体"/>
          <w:snapToGrid w:val="0"/>
          <w:color w:val="000000" w:themeColor="text1"/>
          <w:sz w:val="30"/>
          <w:szCs w:val="30"/>
          <w:u w:val="single"/>
          <w14:textFill>
            <w14:solidFill>
              <w14:schemeClr w14:val="tx1"/>
            </w14:solidFill>
          </w14:textFill>
        </w:rPr>
        <w:t>五、</w:t>
      </w:r>
      <w:bookmarkStart w:id="22" w:name="_Hlk54167917"/>
      <w:r>
        <w:rPr>
          <w:rFonts w:hint="eastAsia" w:ascii="黑体" w:hAnsi="黑体" w:eastAsia="黑体"/>
          <w:snapToGrid w:val="0"/>
          <w:color w:val="000000" w:themeColor="text1"/>
          <w:sz w:val="30"/>
          <w:szCs w:val="30"/>
          <w:u w:val="single"/>
          <w14:textFill>
            <w14:solidFill>
              <w14:schemeClr w14:val="tx1"/>
            </w14:solidFill>
          </w14:textFill>
        </w:rPr>
        <w:t>环境保护措施监督检查清单</w:t>
      </w:r>
      <w:bookmarkEnd w:id="20"/>
      <w:bookmarkEnd w:id="21"/>
      <w:bookmarkEnd w:id="22"/>
    </w:p>
    <w:tbl>
      <w:tblPr>
        <w:tblStyle w:val="2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575"/>
        <w:gridCol w:w="1282"/>
        <w:gridCol w:w="1913"/>
        <w:gridCol w:w="3154"/>
      </w:tblGrid>
      <w:tr w14:paraId="3639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4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4198E5F9">
            <w:pPr>
              <w:pStyle w:val="2"/>
              <w:rPr>
                <w:color w:val="000000" w:themeColor="text1"/>
                <w:u w:val="single"/>
                <w14:textFill>
                  <w14:solidFill>
                    <w14:schemeClr w14:val="tx1"/>
                  </w14:solidFill>
                </w14:textFill>
              </w:rPr>
            </w:pPr>
            <w:r>
              <w:rPr>
                <w:color w:val="000000" w:themeColor="text1"/>
                <w:sz w:val="21"/>
                <w:szCs w:val="21"/>
                <w:u w:val="single"/>
                <w14:textFill>
                  <w14:solidFill>
                    <w14:schemeClr w14:val="tx1"/>
                  </w14:solidFill>
                </w14:textFill>
              </w:rPr>
              <w:t>要素</w:t>
            </w:r>
          </w:p>
          <w:p w14:paraId="055CF940">
            <w:pPr>
              <w:pStyle w:val="2"/>
              <w:snapToGrid w:val="0"/>
              <mc:AlternateContent>
                <mc:Choice Requires="wpsCustomData">
                  <wpsCustomData:diagonalParaType/>
                </mc:Choice>
              </mc:AlternateContent>
              <w:rPr>
                <w:color w:val="000000" w:themeColor="text1"/>
                <w:u w:val="single"/>
                <w14:textFill>
                  <w14:solidFill>
                    <w14:schemeClr w14:val="tx1"/>
                  </w14:solidFill>
                </w14:textFill>
              </w:rPr>
            </w:pPr>
          </w:p>
          <w:p w14:paraId="28FE7977">
            <w:pPr>
              <w:pStyle w:val="2"/>
              <w:rPr>
                <w:color w:val="000000" w:themeColor="text1"/>
                <w:u w:val="single"/>
                <w14:textFill>
                  <w14:solidFill>
                    <w14:schemeClr w14:val="tx1"/>
                  </w14:solidFill>
                </w14:textFill>
              </w:rPr>
            </w:pPr>
            <w:r>
              <w:rPr>
                <w:color w:val="000000" w:themeColor="text1"/>
                <w:sz w:val="21"/>
                <w:szCs w:val="21"/>
                <w:u w:val="single"/>
                <w14:textFill>
                  <w14:solidFill>
                    <w14:schemeClr w14:val="tx1"/>
                  </w14:solidFill>
                </w14:textFill>
              </w:rPr>
              <w:t>内容</w:t>
            </w:r>
          </w:p>
        </w:tc>
        <w:tc>
          <w:tcPr>
            <w:tcW w:w="1575" w:type="dxa"/>
            <w:noWrap w:val="0"/>
            <w:vAlign w:val="center"/>
          </w:tcPr>
          <w:p w14:paraId="2FA74B38">
            <w:pPr>
              <w:pStyle w:val="2"/>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排放口(编号、</w:t>
            </w:r>
          </w:p>
          <w:p w14:paraId="3E913DC7">
            <w:pPr>
              <w:pStyle w:val="2"/>
              <w:rPr>
                <w:color w:val="000000" w:themeColor="text1"/>
                <w:u w:val="single"/>
                <w14:textFill>
                  <w14:solidFill>
                    <w14:schemeClr w14:val="tx1"/>
                  </w14:solidFill>
                </w14:textFill>
              </w:rPr>
            </w:pPr>
            <w:r>
              <w:rPr>
                <w:color w:val="000000" w:themeColor="text1"/>
                <w:sz w:val="21"/>
                <w:szCs w:val="21"/>
                <w:u w:val="single"/>
                <w14:textFill>
                  <w14:solidFill>
                    <w14:schemeClr w14:val="tx1"/>
                  </w14:solidFill>
                </w14:textFill>
              </w:rPr>
              <w:t>名称)/污染源</w:t>
            </w:r>
          </w:p>
        </w:tc>
        <w:tc>
          <w:tcPr>
            <w:tcW w:w="1282" w:type="dxa"/>
            <w:noWrap w:val="0"/>
            <w:vAlign w:val="center"/>
          </w:tcPr>
          <w:p w14:paraId="3726EB3C">
            <w:pPr>
              <w:pStyle w:val="2"/>
              <w:rPr>
                <w:color w:val="000000" w:themeColor="text1"/>
                <w:u w:val="single"/>
                <w14:textFill>
                  <w14:solidFill>
                    <w14:schemeClr w14:val="tx1"/>
                  </w14:solidFill>
                </w14:textFill>
              </w:rPr>
            </w:pPr>
            <w:r>
              <w:rPr>
                <w:color w:val="000000" w:themeColor="text1"/>
                <w:sz w:val="21"/>
                <w:szCs w:val="21"/>
                <w:u w:val="single"/>
                <w14:textFill>
                  <w14:solidFill>
                    <w14:schemeClr w14:val="tx1"/>
                  </w14:solidFill>
                </w14:textFill>
              </w:rPr>
              <w:t>污染物项目</w:t>
            </w:r>
          </w:p>
        </w:tc>
        <w:tc>
          <w:tcPr>
            <w:tcW w:w="1913" w:type="dxa"/>
            <w:noWrap w:val="0"/>
            <w:vAlign w:val="center"/>
          </w:tcPr>
          <w:p w14:paraId="5778ECDF">
            <w:pPr>
              <w:pStyle w:val="2"/>
              <w:rPr>
                <w:color w:val="000000" w:themeColor="text1"/>
                <w:u w:val="single"/>
                <w14:textFill>
                  <w14:solidFill>
                    <w14:schemeClr w14:val="tx1"/>
                  </w14:solidFill>
                </w14:textFill>
              </w:rPr>
            </w:pPr>
            <w:r>
              <w:rPr>
                <w:color w:val="000000" w:themeColor="text1"/>
                <w:sz w:val="21"/>
                <w:szCs w:val="21"/>
                <w:u w:val="single"/>
                <w14:textFill>
                  <w14:solidFill>
                    <w14:schemeClr w14:val="tx1"/>
                  </w14:solidFill>
                </w14:textFill>
              </w:rPr>
              <w:t>环境保护措施</w:t>
            </w:r>
          </w:p>
        </w:tc>
        <w:tc>
          <w:tcPr>
            <w:tcW w:w="3154" w:type="dxa"/>
            <w:noWrap w:val="0"/>
            <w:vAlign w:val="center"/>
          </w:tcPr>
          <w:p w14:paraId="0F508647">
            <w:pPr>
              <w:pStyle w:val="2"/>
              <w:rPr>
                <w:color w:val="000000" w:themeColor="text1"/>
                <w:u w:val="single"/>
                <w14:textFill>
                  <w14:solidFill>
                    <w14:schemeClr w14:val="tx1"/>
                  </w14:solidFill>
                </w14:textFill>
              </w:rPr>
            </w:pPr>
            <w:r>
              <w:rPr>
                <w:color w:val="000000" w:themeColor="text1"/>
                <w:sz w:val="21"/>
                <w:szCs w:val="21"/>
                <w:u w:val="single"/>
                <w14:textFill>
                  <w14:solidFill>
                    <w14:schemeClr w14:val="tx1"/>
                  </w14:solidFill>
                </w14:textFill>
              </w:rPr>
              <w:t>执行标准</w:t>
            </w:r>
          </w:p>
        </w:tc>
      </w:tr>
      <w:tr w14:paraId="216B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restart"/>
            <w:noWrap w:val="0"/>
            <w:vAlign w:val="center"/>
          </w:tcPr>
          <w:p w14:paraId="1F88B8B1">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大气环境</w:t>
            </w:r>
          </w:p>
        </w:tc>
        <w:tc>
          <w:tcPr>
            <w:tcW w:w="1575" w:type="dxa"/>
            <w:tcBorders>
              <w:bottom w:val="single" w:color="000000" w:sz="6" w:space="0"/>
            </w:tcBorders>
            <w:noWrap w:val="0"/>
            <w:vAlign w:val="center"/>
          </w:tcPr>
          <w:p w14:paraId="7A01013F">
            <w:pPr>
              <w:pStyle w:val="2"/>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喷漆废气</w:t>
            </w:r>
          </w:p>
        </w:tc>
        <w:tc>
          <w:tcPr>
            <w:tcW w:w="1282" w:type="dxa"/>
            <w:tcBorders>
              <w:bottom w:val="single" w:color="000000" w:sz="6" w:space="0"/>
            </w:tcBorders>
            <w:noWrap w:val="0"/>
            <w:vAlign w:val="center"/>
          </w:tcPr>
          <w:p w14:paraId="4D7A150E">
            <w:pPr>
              <w:pStyle w:val="2"/>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非甲烷总烃</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苯、甲苯、二甲苯</w:t>
            </w:r>
          </w:p>
        </w:tc>
        <w:tc>
          <w:tcPr>
            <w:tcW w:w="1913" w:type="dxa"/>
            <w:tcBorders>
              <w:bottom w:val="single" w:color="000000" w:sz="6" w:space="0"/>
            </w:tcBorders>
            <w:noWrap w:val="0"/>
            <w:vAlign w:val="center"/>
          </w:tcPr>
          <w:p w14:paraId="08BED09B">
            <w:pPr>
              <w:pStyle w:val="2"/>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过滤棉+活性炭吸附装置</w:t>
            </w:r>
          </w:p>
        </w:tc>
        <w:tc>
          <w:tcPr>
            <w:tcW w:w="3154" w:type="dxa"/>
            <w:tcBorders>
              <w:bottom w:val="single" w:color="000000" w:sz="6" w:space="0"/>
            </w:tcBorders>
            <w:noWrap w:val="0"/>
            <w:vAlign w:val="center"/>
          </w:tcPr>
          <w:p w14:paraId="75F0A3D2">
            <w:pPr>
              <w:pStyle w:val="2"/>
              <w:rPr>
                <w:rFonts w:ascii="Times New Roman" w:hAnsi="Times New Roman" w:eastAsia="宋体" w:cs="Times New Roman"/>
                <w:color w:val="000000" w:themeColor="text1"/>
                <w:sz w:val="21"/>
                <w:szCs w:val="21"/>
                <w:u w:val="single"/>
                <w14:textFill>
                  <w14:solidFill>
                    <w14:schemeClr w14:val="tx1"/>
                  </w14:solidFill>
                </w14:textFill>
              </w:rPr>
            </w:pPr>
            <w:r>
              <w:rPr>
                <w:rFonts w:ascii="Times New Roman" w:hAnsi="Times New Roman" w:eastAsia="宋体" w:cs="Times New Roman"/>
                <w:color w:val="000000" w:themeColor="text1"/>
                <w:sz w:val="21"/>
                <w:szCs w:val="21"/>
                <w:u w:val="single"/>
                <w14:textFill>
                  <w14:solidFill>
                    <w14:schemeClr w14:val="tx1"/>
                  </w14:solidFill>
                </w14:textFill>
              </w:rPr>
              <w:t>《表面涂装（汽车制造及维修）挥发性有机物、镍排放标准》（DB43/1356-2017） 表 1 中汽车维修浓度限值</w:t>
            </w:r>
          </w:p>
        </w:tc>
      </w:tr>
      <w:tr w14:paraId="52A8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09684C50">
            <w:pPr>
              <w:pStyle w:val="2"/>
              <w:rPr>
                <w:rFonts w:hint="eastAsia"/>
                <w:color w:val="000000" w:themeColor="text1"/>
                <w:sz w:val="21"/>
                <w:szCs w:val="21"/>
                <w:u w:val="single"/>
                <w14:textFill>
                  <w14:solidFill>
                    <w14:schemeClr w14:val="tx1"/>
                  </w14:solidFill>
                </w14:textFill>
              </w:rPr>
            </w:pPr>
          </w:p>
        </w:tc>
        <w:tc>
          <w:tcPr>
            <w:tcW w:w="1575" w:type="dxa"/>
            <w:tcBorders>
              <w:top w:val="single" w:color="000000" w:sz="6" w:space="0"/>
              <w:bottom w:val="single" w:color="000000" w:sz="6" w:space="0"/>
            </w:tcBorders>
            <w:shd w:val="clear" w:color="auto" w:fill="auto"/>
            <w:noWrap w:val="0"/>
            <w:vAlign w:val="center"/>
          </w:tcPr>
          <w:p w14:paraId="16C3934B">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打磨</w:t>
            </w:r>
            <w:r>
              <w:rPr>
                <w:rFonts w:hint="eastAsia" w:ascii="Times New Roman" w:hAnsi="Times New Roman" w:eastAsia="宋体" w:cs="Times New Roman"/>
                <w:color w:val="000000" w:themeColor="text1"/>
                <w:sz w:val="21"/>
                <w:szCs w:val="21"/>
                <w:u w:val="single"/>
                <w14:textFill>
                  <w14:solidFill>
                    <w14:schemeClr w14:val="tx1"/>
                  </w14:solidFill>
                </w14:textFill>
              </w:rPr>
              <w:t>粉尘</w:t>
            </w:r>
          </w:p>
        </w:tc>
        <w:tc>
          <w:tcPr>
            <w:tcW w:w="1282" w:type="dxa"/>
            <w:tcBorders>
              <w:top w:val="single" w:color="000000" w:sz="6" w:space="0"/>
              <w:bottom w:val="single" w:color="000000" w:sz="6" w:space="0"/>
            </w:tcBorders>
            <w:shd w:val="clear" w:color="auto" w:fill="auto"/>
            <w:noWrap w:val="0"/>
            <w:vAlign w:val="center"/>
          </w:tcPr>
          <w:p w14:paraId="4FA68AED">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14:textFill>
                  <w14:solidFill>
                    <w14:schemeClr w14:val="tx1"/>
                  </w14:solidFill>
                </w14:textFill>
              </w:rPr>
              <w:t>颗粒物</w:t>
            </w:r>
          </w:p>
        </w:tc>
        <w:tc>
          <w:tcPr>
            <w:tcW w:w="1913" w:type="dxa"/>
            <w:tcBorders>
              <w:top w:val="single" w:color="000000" w:sz="6" w:space="0"/>
              <w:bottom w:val="single" w:color="000000" w:sz="6" w:space="0"/>
            </w:tcBorders>
            <w:shd w:val="clear" w:color="auto" w:fill="auto"/>
            <w:noWrap w:val="0"/>
            <w:vAlign w:val="center"/>
          </w:tcPr>
          <w:p w14:paraId="408DF2CA">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吸尘器</w:t>
            </w:r>
          </w:p>
        </w:tc>
        <w:tc>
          <w:tcPr>
            <w:tcW w:w="3154" w:type="dxa"/>
            <w:vMerge w:val="restart"/>
            <w:tcBorders>
              <w:top w:val="single" w:color="000000" w:sz="6" w:space="0"/>
            </w:tcBorders>
            <w:noWrap w:val="0"/>
            <w:vAlign w:val="center"/>
          </w:tcPr>
          <w:p w14:paraId="19529F7B">
            <w:pPr>
              <w:pStyle w:val="2"/>
              <w:rPr>
                <w:rFonts w:hint="eastAsia" w:ascii="Times New Roman" w:hAnsi="Times New Roman" w:eastAsia="宋体" w:cs="Times New Roman"/>
                <w:color w:val="000000" w:themeColor="text1"/>
                <w:sz w:val="21"/>
                <w:szCs w:val="21"/>
                <w:u w:val="single"/>
                <w:lang w:eastAsia="zh-CN"/>
                <w14:textFill>
                  <w14:solidFill>
                    <w14:schemeClr w14:val="tx1"/>
                  </w14:solidFill>
                </w14:textFill>
              </w:rPr>
            </w:pPr>
            <w:r>
              <w:rPr>
                <w:rFonts w:ascii="Times New Roman" w:hAnsi="Times New Roman" w:eastAsia="宋体" w:cs="Times New Roman"/>
                <w:color w:val="000000" w:themeColor="text1"/>
                <w:sz w:val="21"/>
                <w:szCs w:val="21"/>
                <w:u w:val="single"/>
                <w14:textFill>
                  <w14:solidFill>
                    <w14:schemeClr w14:val="tx1"/>
                  </w14:solidFill>
                </w14:textFill>
              </w:rPr>
              <w:t>《大气污染物综合排放标准》（GB16297-1996）</w:t>
            </w: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表2无组织排放标准限值</w:t>
            </w:r>
          </w:p>
        </w:tc>
      </w:tr>
      <w:tr w14:paraId="1835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6C577697">
            <w:pPr>
              <w:pStyle w:val="2"/>
              <w:rPr>
                <w:rFonts w:hint="eastAsia"/>
                <w:color w:val="000000" w:themeColor="text1"/>
                <w:sz w:val="21"/>
                <w:szCs w:val="21"/>
                <w:u w:val="single"/>
                <w14:textFill>
                  <w14:solidFill>
                    <w14:schemeClr w14:val="tx1"/>
                  </w14:solidFill>
                </w14:textFill>
              </w:rPr>
            </w:pPr>
          </w:p>
        </w:tc>
        <w:tc>
          <w:tcPr>
            <w:tcW w:w="1575" w:type="dxa"/>
            <w:tcBorders>
              <w:top w:val="single" w:color="000000" w:sz="6" w:space="0"/>
            </w:tcBorders>
            <w:shd w:val="clear" w:color="auto" w:fill="auto"/>
            <w:noWrap w:val="0"/>
            <w:vAlign w:val="center"/>
          </w:tcPr>
          <w:p w14:paraId="49332130">
            <w:pPr>
              <w:pStyle w:val="2"/>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焊接烟尘</w:t>
            </w:r>
          </w:p>
        </w:tc>
        <w:tc>
          <w:tcPr>
            <w:tcW w:w="1282" w:type="dxa"/>
            <w:tcBorders>
              <w:top w:val="single" w:color="000000" w:sz="6" w:space="0"/>
            </w:tcBorders>
            <w:shd w:val="clear" w:color="auto" w:fill="auto"/>
            <w:noWrap w:val="0"/>
            <w:vAlign w:val="center"/>
          </w:tcPr>
          <w:p w14:paraId="44117807">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颗粒物</w:t>
            </w:r>
          </w:p>
        </w:tc>
        <w:tc>
          <w:tcPr>
            <w:tcW w:w="1913" w:type="dxa"/>
            <w:tcBorders>
              <w:top w:val="single" w:color="000000" w:sz="6" w:space="0"/>
            </w:tcBorders>
            <w:shd w:val="clear" w:color="auto" w:fill="auto"/>
            <w:noWrap w:val="0"/>
            <w:vAlign w:val="center"/>
          </w:tcPr>
          <w:p w14:paraId="6C973E4A">
            <w:pPr>
              <w:pStyle w:val="2"/>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移动焊烟净化器</w:t>
            </w:r>
          </w:p>
        </w:tc>
        <w:tc>
          <w:tcPr>
            <w:tcW w:w="3154" w:type="dxa"/>
            <w:vMerge w:val="continue"/>
            <w:noWrap w:val="0"/>
            <w:vAlign w:val="center"/>
          </w:tcPr>
          <w:p w14:paraId="015CA5A9">
            <w:pPr>
              <w:pStyle w:val="2"/>
              <w:rPr>
                <w:rFonts w:ascii="Times New Roman" w:hAnsi="Times New Roman" w:eastAsia="宋体" w:cs="Times New Roman"/>
                <w:color w:val="000000" w:themeColor="text1"/>
                <w:sz w:val="21"/>
                <w:szCs w:val="21"/>
                <w:u w:val="single"/>
                <w14:textFill>
                  <w14:solidFill>
                    <w14:schemeClr w14:val="tx1"/>
                  </w14:solidFill>
                </w14:textFill>
              </w:rPr>
            </w:pPr>
          </w:p>
        </w:tc>
      </w:tr>
      <w:tr w14:paraId="3FA4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00DDE69A">
            <w:pPr>
              <w:pStyle w:val="2"/>
              <w:rPr>
                <w:rFonts w:hint="eastAsia"/>
                <w:color w:val="000000" w:themeColor="text1"/>
                <w:sz w:val="21"/>
                <w:szCs w:val="21"/>
                <w:u w:val="single"/>
                <w14:textFill>
                  <w14:solidFill>
                    <w14:schemeClr w14:val="tx1"/>
                  </w14:solidFill>
                </w14:textFill>
              </w:rPr>
            </w:pPr>
          </w:p>
        </w:tc>
        <w:tc>
          <w:tcPr>
            <w:tcW w:w="1575" w:type="dxa"/>
            <w:noWrap w:val="0"/>
            <w:vAlign w:val="center"/>
          </w:tcPr>
          <w:p w14:paraId="69B8E6F5">
            <w:pPr>
              <w:pStyle w:val="2"/>
              <w:rPr>
                <w:rFonts w:hint="eastAsia" w:ascii="Times New Roman" w:hAnsi="Times New Roman" w:eastAsia="宋体" w:cs="Times New Roman"/>
                <w:color w:val="000000" w:themeColor="text1"/>
                <w:sz w:val="21"/>
                <w:szCs w:val="21"/>
                <w:u w:val="single"/>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喷漆</w:t>
            </w:r>
            <w:r>
              <w:rPr>
                <w:rFonts w:hint="eastAsia" w:ascii="Times New Roman" w:hAnsi="Times New Roman" w:eastAsia="宋体" w:cs="Times New Roman"/>
                <w:color w:val="000000" w:themeColor="text1"/>
                <w:sz w:val="21"/>
                <w:szCs w:val="21"/>
                <w:u w:val="single"/>
                <w14:textFill>
                  <w14:solidFill>
                    <w14:schemeClr w14:val="tx1"/>
                  </w14:solidFill>
                </w14:textFill>
              </w:rPr>
              <w:t>无组织废气</w:t>
            </w:r>
          </w:p>
        </w:tc>
        <w:tc>
          <w:tcPr>
            <w:tcW w:w="1282" w:type="dxa"/>
            <w:noWrap w:val="0"/>
            <w:vAlign w:val="center"/>
          </w:tcPr>
          <w:p w14:paraId="0FFB962F">
            <w:pPr>
              <w:pStyle w:val="2"/>
              <w:rPr>
                <w:rFonts w:hint="eastAsia" w:ascii="Times New Roman" w:hAnsi="Times New Roman" w:eastAsia="宋体" w:cs="Times New Roman"/>
                <w:color w:val="000000" w:themeColor="text1"/>
                <w:sz w:val="21"/>
                <w:szCs w:val="21"/>
                <w:u w:val="single"/>
                <w14:textFill>
                  <w14:solidFill>
                    <w14:schemeClr w14:val="tx1"/>
                  </w14:solidFill>
                </w14:textFill>
              </w:rPr>
            </w:pPr>
            <w:r>
              <w:rPr>
                <w:rFonts w:hint="eastAsia" w:ascii="Times New Roman" w:hAnsi="Times New Roman" w:eastAsia="宋体" w:cs="Times New Roman"/>
                <w:color w:val="000000" w:themeColor="text1"/>
                <w:sz w:val="21"/>
                <w:szCs w:val="21"/>
                <w:u w:val="single"/>
                <w14:textFill>
                  <w14:solidFill>
                    <w14:schemeClr w14:val="tx1"/>
                  </w14:solidFill>
                </w14:textFill>
              </w:rPr>
              <w:t>非甲烷总烃</w:t>
            </w:r>
            <w:r>
              <w:rPr>
                <w:rFonts w:hint="eastAsia" w:ascii="Times New Roman" w:hAnsi="Times New Roman" w:eastAsia="宋体" w:cs="Times New Roman"/>
                <w:color w:val="000000" w:themeColor="text1"/>
                <w:sz w:val="21"/>
                <w:szCs w:val="21"/>
                <w:u w:val="single"/>
                <w:lang w:eastAsia="zh-CN"/>
                <w14:textFill>
                  <w14:solidFill>
                    <w14:schemeClr w14:val="tx1"/>
                  </w14:solidFill>
                </w14:textFill>
              </w:rPr>
              <w:t>、</w:t>
            </w: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苯、甲苯、二甲苯</w:t>
            </w:r>
          </w:p>
        </w:tc>
        <w:tc>
          <w:tcPr>
            <w:tcW w:w="1913" w:type="dxa"/>
            <w:noWrap w:val="0"/>
            <w:vAlign w:val="center"/>
          </w:tcPr>
          <w:p w14:paraId="00C4C919">
            <w:pPr>
              <w:pStyle w:val="2"/>
              <w:rPr>
                <w:rFonts w:hint="eastAsia" w:ascii="Times New Roman" w:hAnsi="Times New Roman" w:eastAsia="宋体" w:cs="Times New Roman"/>
                <w:color w:val="000000" w:themeColor="text1"/>
                <w:sz w:val="21"/>
                <w:szCs w:val="21"/>
                <w:u w:val="single"/>
                <w14:textFill>
                  <w14:solidFill>
                    <w14:schemeClr w14:val="tx1"/>
                  </w14:solidFill>
                </w14:textFill>
              </w:rPr>
            </w:pPr>
            <w:r>
              <w:rPr>
                <w:rFonts w:hint="eastAsia" w:ascii="Times New Roman" w:hAnsi="Times New Roman" w:eastAsia="宋体" w:cs="Times New Roman"/>
                <w:color w:val="000000" w:themeColor="text1"/>
                <w:sz w:val="21"/>
                <w:szCs w:val="21"/>
                <w:u w:val="single"/>
                <w14:textFill>
                  <w14:solidFill>
                    <w14:schemeClr w14:val="tx1"/>
                  </w14:solidFill>
                </w14:textFill>
              </w:rPr>
              <w:t>车间排风扇</w:t>
            </w:r>
          </w:p>
        </w:tc>
        <w:tc>
          <w:tcPr>
            <w:tcW w:w="3154" w:type="dxa"/>
            <w:vMerge w:val="continue"/>
            <w:noWrap w:val="0"/>
            <w:vAlign w:val="center"/>
          </w:tcPr>
          <w:p w14:paraId="4B8D927F">
            <w:pPr>
              <w:pStyle w:val="2"/>
              <w:rPr>
                <w:rFonts w:hint="eastAsia" w:ascii="Times New Roman" w:hAnsi="Times New Roman" w:eastAsia="宋体" w:cs="Times New Roman"/>
                <w:color w:val="000000" w:themeColor="text1"/>
                <w:sz w:val="21"/>
                <w:szCs w:val="21"/>
                <w:u w:val="single"/>
                <w14:textFill>
                  <w14:solidFill>
                    <w14:schemeClr w14:val="tx1"/>
                  </w14:solidFill>
                </w14:textFill>
              </w:rPr>
            </w:pPr>
          </w:p>
        </w:tc>
      </w:tr>
      <w:tr w14:paraId="3FA2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147" w:type="dxa"/>
            <w:vMerge w:val="restart"/>
            <w:noWrap w:val="0"/>
            <w:vAlign w:val="center"/>
          </w:tcPr>
          <w:p w14:paraId="05E1ED4D">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地表水环境</w:t>
            </w:r>
          </w:p>
        </w:tc>
        <w:tc>
          <w:tcPr>
            <w:tcW w:w="1575" w:type="dxa"/>
            <w:noWrap w:val="0"/>
            <w:vAlign w:val="center"/>
          </w:tcPr>
          <w:p w14:paraId="7964D123">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生活污水</w:t>
            </w:r>
          </w:p>
        </w:tc>
        <w:tc>
          <w:tcPr>
            <w:tcW w:w="1282" w:type="dxa"/>
            <w:noWrap w:val="0"/>
            <w:vAlign w:val="center"/>
          </w:tcPr>
          <w:p w14:paraId="53F6721A">
            <w:pPr>
              <w:pStyle w:val="2"/>
              <w:rPr>
                <w:rFonts w:hint="default" w:eastAsia="宋体"/>
                <w:color w:val="000000" w:themeColor="text1"/>
                <w:sz w:val="21"/>
                <w:szCs w:val="21"/>
                <w:u w:val="single"/>
                <w:lang w:val="en-US" w:eastAsia="zh-CN"/>
                <w14:textFill>
                  <w14:solidFill>
                    <w14:schemeClr w14:val="tx1"/>
                  </w14:solidFill>
                </w14:textFill>
              </w:rPr>
            </w:pPr>
            <w:r>
              <w:rPr>
                <w:color w:val="000000" w:themeColor="text1"/>
                <w:sz w:val="21"/>
                <w:szCs w:val="21"/>
                <w:u w:val="single"/>
                <w14:textFill>
                  <w14:solidFill>
                    <w14:schemeClr w14:val="tx1"/>
                  </w14:solidFill>
                </w14:textFill>
              </w:rPr>
              <w:t>CODcr</w:t>
            </w:r>
            <w:r>
              <w:rPr>
                <w:rFonts w:hint="eastAsia"/>
                <w:color w:val="000000" w:themeColor="text1"/>
                <w:sz w:val="21"/>
                <w:szCs w:val="21"/>
                <w:u w:val="single"/>
                <w14:textFill>
                  <w14:solidFill>
                    <w14:schemeClr w14:val="tx1"/>
                  </w14:solidFill>
                </w14:textFill>
              </w:rPr>
              <w:t>、SS、BOD</w:t>
            </w:r>
            <w:r>
              <w:rPr>
                <w:rFonts w:hint="eastAsia"/>
                <w:color w:val="000000" w:themeColor="text1"/>
                <w:sz w:val="21"/>
                <w:szCs w:val="21"/>
                <w:u w:val="single"/>
                <w:vertAlign w:val="subscript"/>
                <w14:textFill>
                  <w14:solidFill>
                    <w14:schemeClr w14:val="tx1"/>
                  </w14:solidFill>
                </w14:textFill>
              </w:rPr>
              <w:t>5</w:t>
            </w:r>
            <w:r>
              <w:rPr>
                <w:rFonts w:hint="eastAsia"/>
                <w:color w:val="000000" w:themeColor="text1"/>
                <w:sz w:val="21"/>
                <w:szCs w:val="21"/>
                <w:u w:val="single"/>
                <w14:textFill>
                  <w14:solidFill>
                    <w14:schemeClr w14:val="tx1"/>
                  </w14:solidFill>
                </w14:textFill>
              </w:rPr>
              <w:t>、</w:t>
            </w:r>
            <w:r>
              <w:rPr>
                <w:color w:val="000000" w:themeColor="text1"/>
                <w:sz w:val="21"/>
                <w:szCs w:val="21"/>
                <w:u w:val="single"/>
                <w14:textFill>
                  <w14:solidFill>
                    <w14:schemeClr w14:val="tx1"/>
                  </w14:solidFill>
                </w14:textFill>
              </w:rPr>
              <w:t>氨氮</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动植物油</w:t>
            </w:r>
          </w:p>
        </w:tc>
        <w:tc>
          <w:tcPr>
            <w:tcW w:w="1913" w:type="dxa"/>
            <w:noWrap w:val="0"/>
            <w:vAlign w:val="center"/>
          </w:tcPr>
          <w:p w14:paraId="627C78A3">
            <w:pPr>
              <w:pStyle w:val="2"/>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经化粪池预处理后排入市政污水管网</w:t>
            </w:r>
          </w:p>
        </w:tc>
        <w:tc>
          <w:tcPr>
            <w:tcW w:w="3154" w:type="dxa"/>
            <w:vMerge w:val="restart"/>
            <w:noWrap w:val="0"/>
            <w:vAlign w:val="center"/>
          </w:tcPr>
          <w:p w14:paraId="12C90C96">
            <w:pPr>
              <w:pStyle w:val="2"/>
              <w:rPr>
                <w:rFonts w:ascii="Times New Roman" w:hAnsi="Times New Roman" w:eastAsia="宋体" w:cs="Times New Roman"/>
                <w:color w:val="000000" w:themeColor="text1"/>
                <w:sz w:val="21"/>
                <w:szCs w:val="21"/>
                <w:u w:val="single"/>
                <w14:textFill>
                  <w14:solidFill>
                    <w14:schemeClr w14:val="tx1"/>
                  </w14:solidFill>
                </w14:textFill>
              </w:rPr>
            </w:pPr>
            <w:r>
              <w:rPr>
                <w:rFonts w:ascii="Times New Roman" w:hAnsi="Times New Roman" w:eastAsia="宋体" w:cs="Times New Roman"/>
                <w:color w:val="000000" w:themeColor="text1"/>
                <w:sz w:val="21"/>
                <w:szCs w:val="21"/>
                <w:u w:val="single"/>
                <w14:textFill>
                  <w14:solidFill>
                    <w14:schemeClr w14:val="tx1"/>
                  </w14:solidFill>
                </w14:textFill>
              </w:rPr>
              <w:t>《汽车维修业水污染物排放标准》（GB26877-2011）表 2 中间接排放浓度限值</w:t>
            </w:r>
          </w:p>
        </w:tc>
      </w:tr>
      <w:tr w14:paraId="7385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noWrap w:val="0"/>
            <w:vAlign w:val="center"/>
          </w:tcPr>
          <w:p w14:paraId="0AE9BB8E">
            <w:pPr>
              <w:pStyle w:val="2"/>
              <w:rPr>
                <w:color w:val="000000" w:themeColor="text1"/>
                <w:sz w:val="21"/>
                <w:szCs w:val="21"/>
                <w:u w:val="single"/>
                <w14:textFill>
                  <w14:solidFill>
                    <w14:schemeClr w14:val="tx1"/>
                  </w14:solidFill>
                </w14:textFill>
              </w:rPr>
            </w:pPr>
          </w:p>
        </w:tc>
        <w:tc>
          <w:tcPr>
            <w:tcW w:w="1575" w:type="dxa"/>
            <w:noWrap w:val="0"/>
            <w:vAlign w:val="center"/>
          </w:tcPr>
          <w:p w14:paraId="0ACEA3B3">
            <w:pPr>
              <w:pStyle w:val="2"/>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洗车废水</w:t>
            </w:r>
          </w:p>
        </w:tc>
        <w:tc>
          <w:tcPr>
            <w:tcW w:w="1282" w:type="dxa"/>
            <w:noWrap w:val="0"/>
            <w:vAlign w:val="center"/>
          </w:tcPr>
          <w:p w14:paraId="0139F135">
            <w:pPr>
              <w:pStyle w:val="2"/>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SS、石油类</w:t>
            </w:r>
          </w:p>
        </w:tc>
        <w:tc>
          <w:tcPr>
            <w:tcW w:w="1913" w:type="dxa"/>
            <w:noWrap w:val="0"/>
            <w:vAlign w:val="center"/>
          </w:tcPr>
          <w:p w14:paraId="45D04CBB">
            <w:pPr>
              <w:pStyle w:val="2"/>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经</w:t>
            </w:r>
            <w:r>
              <w:rPr>
                <w:rFonts w:hint="eastAsia"/>
                <w:color w:val="000000" w:themeColor="text1"/>
                <w:sz w:val="21"/>
                <w:szCs w:val="21"/>
                <w:u w:val="single"/>
                <w:lang w:val="en-US" w:eastAsia="zh-CN"/>
                <w14:textFill>
                  <w14:solidFill>
                    <w14:schemeClr w14:val="tx1"/>
                  </w14:solidFill>
                </w14:textFill>
              </w:rPr>
              <w:t>沉淀池</w:t>
            </w:r>
            <w:r>
              <w:rPr>
                <w:rFonts w:hint="eastAsia"/>
                <w:color w:val="000000" w:themeColor="text1"/>
                <w:sz w:val="21"/>
                <w:szCs w:val="21"/>
                <w:u w:val="single"/>
                <w14:textFill>
                  <w14:solidFill>
                    <w14:schemeClr w14:val="tx1"/>
                  </w14:solidFill>
                </w14:textFill>
              </w:rPr>
              <w:t>预处理后排入市政污水管网</w:t>
            </w:r>
          </w:p>
        </w:tc>
        <w:tc>
          <w:tcPr>
            <w:tcW w:w="3154" w:type="dxa"/>
            <w:vMerge w:val="continue"/>
            <w:noWrap w:val="0"/>
            <w:vAlign w:val="center"/>
          </w:tcPr>
          <w:p w14:paraId="4E030821">
            <w:pPr>
              <w:pStyle w:val="2"/>
              <w:rPr>
                <w:rFonts w:hint="eastAsia" w:ascii="Times New Roman" w:hAnsi="Times New Roman" w:eastAsia="宋体" w:cs="Times New Roman"/>
                <w:color w:val="000000" w:themeColor="text1"/>
                <w:sz w:val="21"/>
                <w:szCs w:val="21"/>
                <w:u w:val="single"/>
                <w14:textFill>
                  <w14:solidFill>
                    <w14:schemeClr w14:val="tx1"/>
                  </w14:solidFill>
                </w14:textFill>
              </w:rPr>
            </w:pPr>
          </w:p>
        </w:tc>
      </w:tr>
      <w:tr w14:paraId="3475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noWrap w:val="0"/>
            <w:vAlign w:val="center"/>
          </w:tcPr>
          <w:p w14:paraId="0BFB9AC8">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声环境</w:t>
            </w:r>
          </w:p>
        </w:tc>
        <w:tc>
          <w:tcPr>
            <w:tcW w:w="1575" w:type="dxa"/>
            <w:noWrap w:val="0"/>
            <w:vAlign w:val="center"/>
          </w:tcPr>
          <w:p w14:paraId="63AF4DDF">
            <w:pPr>
              <w:pStyle w:val="2"/>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水泵、</w:t>
            </w:r>
            <w:r>
              <w:rPr>
                <w:rFonts w:hint="eastAsia"/>
                <w:color w:val="000000" w:themeColor="text1"/>
                <w:sz w:val="21"/>
                <w:szCs w:val="21"/>
                <w:u w:val="single"/>
                <w14:textFill>
                  <w14:solidFill>
                    <w14:schemeClr w14:val="tx1"/>
                  </w14:solidFill>
                </w14:textFill>
              </w:rPr>
              <w:t>风机、空压机等噪声设备</w:t>
            </w:r>
          </w:p>
        </w:tc>
        <w:tc>
          <w:tcPr>
            <w:tcW w:w="1282" w:type="dxa"/>
            <w:noWrap w:val="0"/>
            <w:vAlign w:val="center"/>
          </w:tcPr>
          <w:p w14:paraId="1BCD674B">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噪声</w:t>
            </w:r>
          </w:p>
        </w:tc>
        <w:tc>
          <w:tcPr>
            <w:tcW w:w="1913" w:type="dxa"/>
            <w:noWrap w:val="0"/>
            <w:vAlign w:val="center"/>
          </w:tcPr>
          <w:p w14:paraId="225A51B8">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选用低噪声设备，建筑隔声、减震垫</w:t>
            </w:r>
          </w:p>
        </w:tc>
        <w:tc>
          <w:tcPr>
            <w:tcW w:w="3154" w:type="dxa"/>
            <w:noWrap w:val="0"/>
            <w:vAlign w:val="center"/>
          </w:tcPr>
          <w:p w14:paraId="22395446">
            <w:pPr>
              <w:pStyle w:val="2"/>
              <w:rPr>
                <w:rFonts w:ascii="Times New Roman" w:hAnsi="Times New Roman" w:eastAsia="宋体" w:cs="Times New Roman"/>
                <w:color w:val="000000" w:themeColor="text1"/>
                <w:sz w:val="21"/>
                <w:szCs w:val="21"/>
                <w:u w:val="single"/>
                <w14:textFill>
                  <w14:solidFill>
                    <w14:schemeClr w14:val="tx1"/>
                  </w14:solidFill>
                </w14:textFill>
              </w:rPr>
            </w:pPr>
            <w:r>
              <w:rPr>
                <w:rFonts w:hint="eastAsia" w:ascii="Times New Roman" w:hAnsi="Times New Roman" w:eastAsia="宋体" w:cs="Times New Roman"/>
                <w:color w:val="000000" w:themeColor="text1"/>
                <w:sz w:val="21"/>
                <w:szCs w:val="21"/>
                <w:u w:val="single"/>
                <w14:textFill>
                  <w14:solidFill>
                    <w14:schemeClr w14:val="tx1"/>
                  </w14:solidFill>
                </w14:textFill>
              </w:rPr>
              <w:t>《工业企业厂界环境噪声排放标准》(GB12348-2008)中</w:t>
            </w: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u w:val="single"/>
                <w14:textFill>
                  <w14:solidFill>
                    <w14:schemeClr w14:val="tx1"/>
                  </w14:solidFill>
                </w14:textFill>
              </w:rPr>
              <w:t>类标准</w:t>
            </w:r>
          </w:p>
        </w:tc>
      </w:tr>
      <w:tr w14:paraId="733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noWrap w:val="0"/>
            <w:vAlign w:val="center"/>
          </w:tcPr>
          <w:p w14:paraId="131AB5A2">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电磁辐射</w:t>
            </w:r>
          </w:p>
        </w:tc>
        <w:tc>
          <w:tcPr>
            <w:tcW w:w="7924" w:type="dxa"/>
            <w:gridSpan w:val="4"/>
            <w:noWrap w:val="0"/>
            <w:vAlign w:val="center"/>
          </w:tcPr>
          <w:p w14:paraId="24BBA015">
            <w:pPr>
              <w:pStyle w:val="2"/>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r>
      <w:tr w14:paraId="5B0E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restart"/>
            <w:noWrap w:val="0"/>
            <w:vAlign w:val="center"/>
          </w:tcPr>
          <w:p w14:paraId="50178D15">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固体废物</w:t>
            </w:r>
          </w:p>
        </w:tc>
        <w:tc>
          <w:tcPr>
            <w:tcW w:w="1575" w:type="dxa"/>
            <w:noWrap w:val="0"/>
            <w:vAlign w:val="center"/>
          </w:tcPr>
          <w:p w14:paraId="15091C74">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一般固废</w:t>
            </w:r>
          </w:p>
        </w:tc>
        <w:tc>
          <w:tcPr>
            <w:tcW w:w="1282" w:type="dxa"/>
            <w:noWrap w:val="0"/>
            <w:vAlign w:val="center"/>
          </w:tcPr>
          <w:p w14:paraId="12D2AB01">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废零部件</w:t>
            </w:r>
          </w:p>
        </w:tc>
        <w:tc>
          <w:tcPr>
            <w:tcW w:w="1913" w:type="dxa"/>
            <w:noWrap w:val="0"/>
            <w:vAlign w:val="center"/>
          </w:tcPr>
          <w:p w14:paraId="4E0B51CA">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出售给废品回收站</w:t>
            </w:r>
          </w:p>
        </w:tc>
        <w:tc>
          <w:tcPr>
            <w:tcW w:w="3154" w:type="dxa"/>
            <w:noWrap w:val="0"/>
            <w:vAlign w:val="center"/>
          </w:tcPr>
          <w:p w14:paraId="0D794726">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《一般工业固体废物贮存和填埋污染控制标准》（GB18599-2020）</w:t>
            </w:r>
          </w:p>
        </w:tc>
      </w:tr>
      <w:tr w14:paraId="38CF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105ECE89">
            <w:pPr>
              <w:pStyle w:val="2"/>
              <w:rPr>
                <w:color w:val="000000" w:themeColor="text1"/>
                <w:sz w:val="21"/>
                <w:szCs w:val="21"/>
                <w:u w:val="single"/>
                <w14:textFill>
                  <w14:solidFill>
                    <w14:schemeClr w14:val="tx1"/>
                  </w14:solidFill>
                </w14:textFill>
              </w:rPr>
            </w:pPr>
          </w:p>
        </w:tc>
        <w:tc>
          <w:tcPr>
            <w:tcW w:w="1575" w:type="dxa"/>
            <w:vMerge w:val="restart"/>
            <w:noWrap w:val="0"/>
            <w:vAlign w:val="center"/>
          </w:tcPr>
          <w:p w14:paraId="336244FD">
            <w:pPr>
              <w:pStyle w:val="2"/>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危险废物</w:t>
            </w:r>
          </w:p>
        </w:tc>
        <w:tc>
          <w:tcPr>
            <w:tcW w:w="1282" w:type="dxa"/>
            <w:noWrap w:val="0"/>
            <w:vAlign w:val="center"/>
          </w:tcPr>
          <w:p w14:paraId="3B85BE10">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rPr>
              <w:t>废机油</w:t>
            </w:r>
          </w:p>
        </w:tc>
        <w:tc>
          <w:tcPr>
            <w:tcW w:w="1913" w:type="dxa"/>
            <w:vMerge w:val="restart"/>
            <w:noWrap w:val="0"/>
            <w:vAlign w:val="center"/>
          </w:tcPr>
          <w:p w14:paraId="786ED362">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经专门的收集桶收集后放置在危废暂存间中暂存，须按危险废物管理有关规定送至有资质的单位进行无害化处理</w:t>
            </w:r>
          </w:p>
        </w:tc>
        <w:tc>
          <w:tcPr>
            <w:tcW w:w="3154" w:type="dxa"/>
            <w:vMerge w:val="restart"/>
            <w:noWrap w:val="0"/>
            <w:vAlign w:val="center"/>
          </w:tcPr>
          <w:p w14:paraId="75DF916B">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14:textFill>
                  <w14:solidFill>
                    <w14:schemeClr w14:val="tx1"/>
                  </w14:solidFill>
                </w14:textFill>
              </w:rPr>
              <w:t>《危险废物贮存污染控制标准》（GB18597-20</w:t>
            </w: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23</w:t>
            </w:r>
            <w:r>
              <w:rPr>
                <w:rFonts w:hint="eastAsia" w:ascii="Times New Roman" w:hAnsi="Times New Roman" w:eastAsia="宋体" w:cs="Times New Roman"/>
                <w:color w:val="000000" w:themeColor="text1"/>
                <w:sz w:val="21"/>
                <w:szCs w:val="21"/>
                <w:u w:val="single"/>
                <w14:textFill>
                  <w14:solidFill>
                    <w14:schemeClr w14:val="tx1"/>
                  </w14:solidFill>
                </w14:textFill>
              </w:rPr>
              <w:t>）</w:t>
            </w:r>
          </w:p>
        </w:tc>
      </w:tr>
      <w:tr w14:paraId="7E7C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75FCC48F">
            <w:pPr>
              <w:pStyle w:val="2"/>
              <w:rPr>
                <w:color w:val="000000" w:themeColor="text1"/>
                <w:sz w:val="21"/>
                <w:szCs w:val="21"/>
                <w:u w:val="single"/>
                <w14:textFill>
                  <w14:solidFill>
                    <w14:schemeClr w14:val="tx1"/>
                  </w14:solidFill>
                </w14:textFill>
              </w:rPr>
            </w:pPr>
          </w:p>
        </w:tc>
        <w:tc>
          <w:tcPr>
            <w:tcW w:w="1575" w:type="dxa"/>
            <w:vMerge w:val="continue"/>
            <w:noWrap w:val="0"/>
            <w:vAlign w:val="center"/>
          </w:tcPr>
          <w:p w14:paraId="01EFF8D3">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bottom w:val="single" w:color="000000" w:sz="6" w:space="0"/>
            </w:tcBorders>
            <w:noWrap w:val="0"/>
            <w:vAlign w:val="center"/>
          </w:tcPr>
          <w:p w14:paraId="689E987D">
            <w:pPr>
              <w:pStyle w:val="42"/>
              <w:ind w:firstLine="0" w:firstLineChars="0"/>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rPr>
              <w:t>废</w:t>
            </w:r>
            <w:r>
              <w:rPr>
                <w:rFonts w:hint="eastAsia" w:ascii="Times New Roman" w:hAnsi="Times New Roman" w:eastAsia="宋体" w:cs="Times New Roman"/>
                <w:color w:val="auto"/>
                <w:u w:val="single"/>
                <w:lang w:val="en-US" w:eastAsia="zh-CN"/>
              </w:rPr>
              <w:t>机</w:t>
            </w:r>
            <w:r>
              <w:rPr>
                <w:rFonts w:hint="eastAsia" w:ascii="Times New Roman" w:hAnsi="Times New Roman" w:eastAsia="宋体" w:cs="Times New Roman"/>
                <w:color w:val="auto"/>
                <w:u w:val="single"/>
              </w:rPr>
              <w:t>油桶</w:t>
            </w:r>
            <w:r>
              <w:rPr>
                <w:rFonts w:hint="eastAsia"/>
                <w:color w:val="auto"/>
                <w:u w:val="single"/>
                <w:lang w:eastAsia="zh-CN"/>
              </w:rPr>
              <w:t>、</w:t>
            </w:r>
            <w:r>
              <w:rPr>
                <w:rFonts w:hint="eastAsia"/>
                <w:color w:val="auto"/>
                <w:u w:val="single"/>
                <w:lang w:val="en-US" w:eastAsia="zh-CN"/>
              </w:rPr>
              <w:t>机油格</w:t>
            </w:r>
          </w:p>
        </w:tc>
        <w:tc>
          <w:tcPr>
            <w:tcW w:w="1913" w:type="dxa"/>
            <w:vMerge w:val="continue"/>
            <w:tcBorders>
              <w:bottom w:val="single" w:color="000000" w:sz="6" w:space="0"/>
            </w:tcBorders>
            <w:noWrap w:val="0"/>
            <w:vAlign w:val="center"/>
          </w:tcPr>
          <w:p w14:paraId="03430E01">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1214614F">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2C89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53CBA72B">
            <w:pPr>
              <w:pStyle w:val="2"/>
              <w:rPr>
                <w:color w:val="000000" w:themeColor="text1"/>
                <w:sz w:val="21"/>
                <w:szCs w:val="21"/>
                <w:u w:val="single"/>
                <w14:textFill>
                  <w14:solidFill>
                    <w14:schemeClr w14:val="tx1"/>
                  </w14:solidFill>
                </w14:textFill>
              </w:rPr>
            </w:pPr>
          </w:p>
        </w:tc>
        <w:tc>
          <w:tcPr>
            <w:tcW w:w="1575" w:type="dxa"/>
            <w:vMerge w:val="continue"/>
            <w:noWrap w:val="0"/>
            <w:vAlign w:val="center"/>
          </w:tcPr>
          <w:p w14:paraId="268D8E0F">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000000" w:sz="6" w:space="0"/>
              <w:bottom w:val="single" w:color="000000" w:sz="6" w:space="0"/>
            </w:tcBorders>
            <w:noWrap w:val="0"/>
            <w:vAlign w:val="center"/>
          </w:tcPr>
          <w:p w14:paraId="3AA5213D">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color w:val="auto"/>
                <w:u w:val="single"/>
              </w:rPr>
              <w:t>废</w:t>
            </w:r>
            <w:r>
              <w:rPr>
                <w:rFonts w:hint="eastAsia"/>
                <w:color w:val="auto"/>
                <w:u w:val="single"/>
              </w:rPr>
              <w:t>油漆</w:t>
            </w:r>
            <w:r>
              <w:rPr>
                <w:color w:val="auto"/>
                <w:u w:val="single"/>
              </w:rPr>
              <w:t>桶</w:t>
            </w:r>
            <w:r>
              <w:rPr>
                <w:rFonts w:hint="eastAsia"/>
                <w:color w:val="auto"/>
                <w:u w:val="single"/>
              </w:rPr>
              <w:t>、废</w:t>
            </w:r>
            <w:r>
              <w:rPr>
                <w:rFonts w:hint="eastAsia"/>
                <w:color w:val="auto"/>
                <w:u w:val="single"/>
                <w:lang w:eastAsia="zh-CN"/>
              </w:rPr>
              <w:t>稀释剂</w:t>
            </w:r>
            <w:r>
              <w:rPr>
                <w:rFonts w:hint="eastAsia"/>
                <w:color w:val="auto"/>
                <w:u w:val="single"/>
              </w:rPr>
              <w:t>桶</w:t>
            </w:r>
          </w:p>
        </w:tc>
        <w:tc>
          <w:tcPr>
            <w:tcW w:w="1913" w:type="dxa"/>
            <w:vMerge w:val="continue"/>
            <w:tcBorders>
              <w:bottom w:val="single" w:color="000000" w:sz="6" w:space="0"/>
            </w:tcBorders>
            <w:noWrap w:val="0"/>
            <w:vAlign w:val="center"/>
          </w:tcPr>
          <w:p w14:paraId="055B3C6C">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2AE8894C">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6797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7CC2B4F8">
            <w:pPr>
              <w:pStyle w:val="2"/>
              <w:rPr>
                <w:color w:val="000000" w:themeColor="text1"/>
                <w:sz w:val="21"/>
                <w:szCs w:val="21"/>
                <w:u w:val="single"/>
                <w14:textFill>
                  <w14:solidFill>
                    <w14:schemeClr w14:val="tx1"/>
                  </w14:solidFill>
                </w14:textFill>
              </w:rPr>
            </w:pPr>
          </w:p>
        </w:tc>
        <w:tc>
          <w:tcPr>
            <w:tcW w:w="1575" w:type="dxa"/>
            <w:vMerge w:val="continue"/>
            <w:noWrap w:val="0"/>
            <w:vAlign w:val="center"/>
          </w:tcPr>
          <w:p w14:paraId="1B5EE8F1">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000000" w:sz="6" w:space="0"/>
              <w:bottom w:val="single" w:color="000000" w:sz="6" w:space="0"/>
            </w:tcBorders>
            <w:noWrap w:val="0"/>
            <w:vAlign w:val="center"/>
          </w:tcPr>
          <w:p w14:paraId="5A6D39DA">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lang w:val="en-US" w:eastAsia="zh-CN"/>
              </w:rPr>
              <w:t>废洗枪手废溶剂</w:t>
            </w:r>
          </w:p>
        </w:tc>
        <w:tc>
          <w:tcPr>
            <w:tcW w:w="1913" w:type="dxa"/>
            <w:vMerge w:val="continue"/>
            <w:tcBorders>
              <w:bottom w:val="single" w:color="000000" w:sz="6" w:space="0"/>
            </w:tcBorders>
            <w:noWrap w:val="0"/>
            <w:vAlign w:val="center"/>
          </w:tcPr>
          <w:p w14:paraId="6AF41AAA">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2C7DE751">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7B8A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3375F15E">
            <w:pPr>
              <w:pStyle w:val="2"/>
              <w:rPr>
                <w:color w:val="000000" w:themeColor="text1"/>
                <w:sz w:val="21"/>
                <w:szCs w:val="21"/>
                <w:u w:val="single"/>
                <w14:textFill>
                  <w14:solidFill>
                    <w14:schemeClr w14:val="tx1"/>
                  </w14:solidFill>
                </w14:textFill>
              </w:rPr>
            </w:pPr>
          </w:p>
        </w:tc>
        <w:tc>
          <w:tcPr>
            <w:tcW w:w="1575" w:type="dxa"/>
            <w:vMerge w:val="continue"/>
            <w:noWrap w:val="0"/>
            <w:vAlign w:val="center"/>
          </w:tcPr>
          <w:p w14:paraId="1B64D5BE">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000000" w:sz="6" w:space="0"/>
              <w:bottom w:val="single" w:color="000000" w:sz="6" w:space="0"/>
            </w:tcBorders>
            <w:noWrap w:val="0"/>
            <w:vAlign w:val="center"/>
          </w:tcPr>
          <w:p w14:paraId="107764F0">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auto"/>
                <w:u w:val="single"/>
                <w:lang w:val="en-US" w:eastAsia="zh-CN"/>
              </w:rPr>
              <w:t>废</w:t>
            </w:r>
            <w:r>
              <w:rPr>
                <w:rFonts w:hint="eastAsia" w:ascii="Times New Roman" w:hAnsi="Times New Roman" w:eastAsia="宋体" w:cs="Times New Roman"/>
                <w:color w:val="auto"/>
                <w:u w:val="single"/>
                <w:lang w:eastAsia="zh-CN"/>
              </w:rPr>
              <w:t>漆渣</w:t>
            </w:r>
          </w:p>
        </w:tc>
        <w:tc>
          <w:tcPr>
            <w:tcW w:w="1913" w:type="dxa"/>
            <w:vMerge w:val="continue"/>
            <w:tcBorders>
              <w:bottom w:val="single" w:color="000000" w:sz="6" w:space="0"/>
            </w:tcBorders>
            <w:noWrap w:val="0"/>
            <w:vAlign w:val="center"/>
          </w:tcPr>
          <w:p w14:paraId="265FA39E">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7204F0B4">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679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3A9F3354">
            <w:pPr>
              <w:pStyle w:val="2"/>
              <w:rPr>
                <w:color w:val="000000" w:themeColor="text1"/>
                <w:sz w:val="21"/>
                <w:szCs w:val="21"/>
                <w:u w:val="single"/>
                <w14:textFill>
                  <w14:solidFill>
                    <w14:schemeClr w14:val="tx1"/>
                  </w14:solidFill>
                </w14:textFill>
              </w:rPr>
            </w:pPr>
          </w:p>
        </w:tc>
        <w:tc>
          <w:tcPr>
            <w:tcW w:w="1575" w:type="dxa"/>
            <w:vMerge w:val="continue"/>
            <w:noWrap w:val="0"/>
            <w:vAlign w:val="center"/>
          </w:tcPr>
          <w:p w14:paraId="58994DBC">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000000" w:sz="6" w:space="0"/>
              <w:bottom w:val="single" w:color="000000" w:sz="6" w:space="0"/>
            </w:tcBorders>
            <w:noWrap w:val="0"/>
            <w:vAlign w:val="center"/>
          </w:tcPr>
          <w:p w14:paraId="0C17244B">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olor w:val="auto"/>
                <w:u w:val="single"/>
                <w:lang w:val="en-US" w:eastAsia="zh-CN"/>
              </w:rPr>
              <w:t>废</w:t>
            </w:r>
            <w:r>
              <w:rPr>
                <w:color w:val="auto"/>
                <w:u w:val="single"/>
              </w:rPr>
              <w:t>含油</w:t>
            </w:r>
            <w:r>
              <w:rPr>
                <w:rFonts w:hint="eastAsia"/>
                <w:color w:val="auto"/>
                <w:u w:val="single"/>
                <w:lang w:val="en-US" w:eastAsia="zh-CN"/>
              </w:rPr>
              <w:t>手套、</w:t>
            </w:r>
            <w:r>
              <w:rPr>
                <w:color w:val="auto"/>
                <w:u w:val="single"/>
              </w:rPr>
              <w:t>抹布</w:t>
            </w:r>
          </w:p>
        </w:tc>
        <w:tc>
          <w:tcPr>
            <w:tcW w:w="1913" w:type="dxa"/>
            <w:vMerge w:val="continue"/>
            <w:tcBorders>
              <w:bottom w:val="single" w:color="000000" w:sz="6" w:space="0"/>
            </w:tcBorders>
            <w:noWrap w:val="0"/>
            <w:vAlign w:val="center"/>
          </w:tcPr>
          <w:p w14:paraId="33F01D6E">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51BBAEFE">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59AA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47" w:type="dxa"/>
            <w:vMerge w:val="continue"/>
            <w:noWrap w:val="0"/>
            <w:vAlign w:val="center"/>
          </w:tcPr>
          <w:p w14:paraId="3B3A8ECA">
            <w:pPr>
              <w:pStyle w:val="2"/>
              <w:rPr>
                <w:color w:val="000000" w:themeColor="text1"/>
                <w:sz w:val="21"/>
                <w:szCs w:val="21"/>
                <w:u w:val="single"/>
                <w14:textFill>
                  <w14:solidFill>
                    <w14:schemeClr w14:val="tx1"/>
                  </w14:solidFill>
                </w14:textFill>
              </w:rPr>
            </w:pPr>
          </w:p>
        </w:tc>
        <w:tc>
          <w:tcPr>
            <w:tcW w:w="1575" w:type="dxa"/>
            <w:vMerge w:val="continue"/>
            <w:tcBorders>
              <w:bottom w:val="single" w:color="000000" w:sz="6" w:space="0"/>
            </w:tcBorders>
            <w:noWrap w:val="0"/>
            <w:vAlign w:val="center"/>
          </w:tcPr>
          <w:p w14:paraId="687943E9">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000000" w:sz="6" w:space="0"/>
              <w:bottom w:val="single" w:color="auto" w:sz="4" w:space="0"/>
            </w:tcBorders>
            <w:noWrap w:val="0"/>
            <w:vAlign w:val="center"/>
          </w:tcPr>
          <w:p w14:paraId="0F55FA80">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rPr>
              <w:t>废过滤棉</w:t>
            </w:r>
          </w:p>
        </w:tc>
        <w:tc>
          <w:tcPr>
            <w:tcW w:w="1913" w:type="dxa"/>
            <w:vMerge w:val="continue"/>
            <w:tcBorders>
              <w:bottom w:val="single" w:color="000000" w:sz="6" w:space="0"/>
            </w:tcBorders>
            <w:noWrap w:val="0"/>
            <w:vAlign w:val="center"/>
          </w:tcPr>
          <w:p w14:paraId="3D2B31AD">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6E32CA32">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3AC5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47" w:type="dxa"/>
            <w:vMerge w:val="continue"/>
            <w:noWrap w:val="0"/>
            <w:vAlign w:val="center"/>
          </w:tcPr>
          <w:p w14:paraId="7AD20F70">
            <w:pPr>
              <w:pStyle w:val="2"/>
              <w:rPr>
                <w:color w:val="000000" w:themeColor="text1"/>
                <w:sz w:val="21"/>
                <w:szCs w:val="21"/>
                <w:u w:val="single"/>
                <w14:textFill>
                  <w14:solidFill>
                    <w14:schemeClr w14:val="tx1"/>
                  </w14:solidFill>
                </w14:textFill>
              </w:rPr>
            </w:pPr>
          </w:p>
        </w:tc>
        <w:tc>
          <w:tcPr>
            <w:tcW w:w="1575" w:type="dxa"/>
            <w:vMerge w:val="continue"/>
            <w:tcBorders>
              <w:bottom w:val="single" w:color="000000" w:sz="6" w:space="0"/>
            </w:tcBorders>
            <w:noWrap w:val="0"/>
            <w:vAlign w:val="center"/>
          </w:tcPr>
          <w:p w14:paraId="7AEE988A">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auto" w:sz="4" w:space="0"/>
              <w:bottom w:val="single" w:color="auto" w:sz="4" w:space="0"/>
            </w:tcBorders>
            <w:noWrap w:val="0"/>
            <w:vAlign w:val="center"/>
          </w:tcPr>
          <w:p w14:paraId="4C6F34EA">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rPr>
              <w:t>废活性炭</w:t>
            </w:r>
          </w:p>
        </w:tc>
        <w:tc>
          <w:tcPr>
            <w:tcW w:w="1913" w:type="dxa"/>
            <w:vMerge w:val="continue"/>
            <w:tcBorders>
              <w:bottom w:val="single" w:color="000000" w:sz="6" w:space="0"/>
            </w:tcBorders>
            <w:noWrap w:val="0"/>
            <w:vAlign w:val="center"/>
          </w:tcPr>
          <w:p w14:paraId="7F4EB446">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7DAA40B8">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6288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47" w:type="dxa"/>
            <w:vMerge w:val="continue"/>
            <w:noWrap w:val="0"/>
            <w:vAlign w:val="center"/>
          </w:tcPr>
          <w:p w14:paraId="38F968BB">
            <w:pPr>
              <w:pStyle w:val="2"/>
              <w:rPr>
                <w:color w:val="000000" w:themeColor="text1"/>
                <w:sz w:val="21"/>
                <w:szCs w:val="21"/>
                <w:u w:val="single"/>
                <w14:textFill>
                  <w14:solidFill>
                    <w14:schemeClr w14:val="tx1"/>
                  </w14:solidFill>
                </w14:textFill>
              </w:rPr>
            </w:pPr>
          </w:p>
        </w:tc>
        <w:tc>
          <w:tcPr>
            <w:tcW w:w="1575" w:type="dxa"/>
            <w:vMerge w:val="continue"/>
            <w:tcBorders>
              <w:bottom w:val="single" w:color="000000" w:sz="6" w:space="0"/>
            </w:tcBorders>
            <w:noWrap w:val="0"/>
            <w:vAlign w:val="center"/>
          </w:tcPr>
          <w:p w14:paraId="75CDFBA2">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auto" w:sz="4" w:space="0"/>
              <w:bottom w:val="single" w:color="auto" w:sz="4" w:space="0"/>
            </w:tcBorders>
            <w:noWrap w:val="0"/>
            <w:vAlign w:val="center"/>
          </w:tcPr>
          <w:p w14:paraId="217BD77D">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lang w:val="en-US" w:eastAsia="zh-CN"/>
              </w:rPr>
              <w:t>废铅蓄电池</w:t>
            </w:r>
          </w:p>
        </w:tc>
        <w:tc>
          <w:tcPr>
            <w:tcW w:w="1913" w:type="dxa"/>
            <w:vMerge w:val="continue"/>
            <w:tcBorders>
              <w:bottom w:val="single" w:color="000000" w:sz="6" w:space="0"/>
            </w:tcBorders>
            <w:noWrap w:val="0"/>
            <w:vAlign w:val="center"/>
          </w:tcPr>
          <w:p w14:paraId="175590CC">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07D0A820">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2444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47" w:type="dxa"/>
            <w:vMerge w:val="continue"/>
            <w:noWrap w:val="0"/>
            <w:vAlign w:val="center"/>
          </w:tcPr>
          <w:p w14:paraId="6643D31D">
            <w:pPr>
              <w:pStyle w:val="2"/>
              <w:rPr>
                <w:color w:val="000000" w:themeColor="text1"/>
                <w:sz w:val="21"/>
                <w:szCs w:val="21"/>
                <w:u w:val="single"/>
                <w14:textFill>
                  <w14:solidFill>
                    <w14:schemeClr w14:val="tx1"/>
                  </w14:solidFill>
                </w14:textFill>
              </w:rPr>
            </w:pPr>
          </w:p>
        </w:tc>
        <w:tc>
          <w:tcPr>
            <w:tcW w:w="1575" w:type="dxa"/>
            <w:vMerge w:val="continue"/>
            <w:tcBorders>
              <w:bottom w:val="single" w:color="000000" w:sz="6" w:space="0"/>
            </w:tcBorders>
            <w:noWrap w:val="0"/>
            <w:vAlign w:val="center"/>
          </w:tcPr>
          <w:p w14:paraId="02562C07">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auto" w:sz="4" w:space="0"/>
              <w:bottom w:val="single" w:color="auto" w:sz="4" w:space="0"/>
            </w:tcBorders>
            <w:noWrap w:val="0"/>
            <w:vAlign w:val="center"/>
          </w:tcPr>
          <w:p w14:paraId="2A6C49AE">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lang w:val="en-US" w:eastAsia="zh-CN"/>
              </w:rPr>
              <w:t>废紫外灯管</w:t>
            </w:r>
          </w:p>
        </w:tc>
        <w:tc>
          <w:tcPr>
            <w:tcW w:w="1913" w:type="dxa"/>
            <w:vMerge w:val="continue"/>
            <w:tcBorders>
              <w:bottom w:val="single" w:color="000000" w:sz="6" w:space="0"/>
            </w:tcBorders>
            <w:noWrap w:val="0"/>
            <w:vAlign w:val="center"/>
          </w:tcPr>
          <w:p w14:paraId="430833DA">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333D0C1D">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75AC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47" w:type="dxa"/>
            <w:vMerge w:val="continue"/>
            <w:noWrap w:val="0"/>
            <w:vAlign w:val="center"/>
          </w:tcPr>
          <w:p w14:paraId="281576C0">
            <w:pPr>
              <w:pStyle w:val="2"/>
              <w:rPr>
                <w:color w:val="000000" w:themeColor="text1"/>
                <w:sz w:val="21"/>
                <w:szCs w:val="21"/>
                <w:u w:val="single"/>
                <w14:textFill>
                  <w14:solidFill>
                    <w14:schemeClr w14:val="tx1"/>
                  </w14:solidFill>
                </w14:textFill>
              </w:rPr>
            </w:pPr>
          </w:p>
        </w:tc>
        <w:tc>
          <w:tcPr>
            <w:tcW w:w="1575" w:type="dxa"/>
            <w:vMerge w:val="continue"/>
            <w:tcBorders>
              <w:bottom w:val="single" w:color="000000" w:sz="6" w:space="0"/>
            </w:tcBorders>
            <w:noWrap w:val="0"/>
            <w:vAlign w:val="center"/>
          </w:tcPr>
          <w:p w14:paraId="67CB6F38">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auto" w:sz="4" w:space="0"/>
              <w:bottom w:val="single" w:color="auto" w:sz="4" w:space="0"/>
            </w:tcBorders>
            <w:noWrap w:val="0"/>
            <w:vAlign w:val="center"/>
          </w:tcPr>
          <w:p w14:paraId="4D86CE86">
            <w:pPr>
              <w:pStyle w:val="42"/>
              <w:ind w:firstLine="0" w:firstLineChars="0"/>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auto"/>
                <w:u w:val="single"/>
                <w:lang w:val="en-US" w:eastAsia="zh-CN"/>
              </w:rPr>
              <w:t>废石棉刹车片</w:t>
            </w:r>
          </w:p>
        </w:tc>
        <w:tc>
          <w:tcPr>
            <w:tcW w:w="1913" w:type="dxa"/>
            <w:vMerge w:val="continue"/>
            <w:tcBorders>
              <w:bottom w:val="single" w:color="000000" w:sz="6" w:space="0"/>
            </w:tcBorders>
            <w:noWrap w:val="0"/>
            <w:vAlign w:val="center"/>
          </w:tcPr>
          <w:p w14:paraId="0D27F769">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45E99DF5">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292C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47" w:type="dxa"/>
            <w:vMerge w:val="continue"/>
            <w:noWrap w:val="0"/>
            <w:vAlign w:val="center"/>
          </w:tcPr>
          <w:p w14:paraId="0B0F99C5">
            <w:pPr>
              <w:pStyle w:val="2"/>
              <w:rPr>
                <w:color w:val="000000" w:themeColor="text1"/>
                <w:sz w:val="21"/>
                <w:szCs w:val="21"/>
                <w:u w:val="single"/>
                <w14:textFill>
                  <w14:solidFill>
                    <w14:schemeClr w14:val="tx1"/>
                  </w14:solidFill>
                </w14:textFill>
              </w:rPr>
            </w:pPr>
          </w:p>
        </w:tc>
        <w:tc>
          <w:tcPr>
            <w:tcW w:w="1575" w:type="dxa"/>
            <w:vMerge w:val="continue"/>
            <w:tcBorders>
              <w:bottom w:val="single" w:color="000000" w:sz="6" w:space="0"/>
            </w:tcBorders>
            <w:noWrap w:val="0"/>
            <w:vAlign w:val="center"/>
          </w:tcPr>
          <w:p w14:paraId="467F355A">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282" w:type="dxa"/>
            <w:tcBorders>
              <w:top w:val="single" w:color="auto" w:sz="4" w:space="0"/>
              <w:bottom w:val="single" w:color="000000" w:sz="6" w:space="0"/>
            </w:tcBorders>
            <w:noWrap w:val="0"/>
            <w:vAlign w:val="center"/>
          </w:tcPr>
          <w:p w14:paraId="3EE924E9">
            <w:pPr>
              <w:pStyle w:val="42"/>
              <w:ind w:firstLine="0" w:firstLineChars="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废催化剂</w:t>
            </w:r>
          </w:p>
        </w:tc>
        <w:tc>
          <w:tcPr>
            <w:tcW w:w="1913" w:type="dxa"/>
            <w:vMerge w:val="continue"/>
            <w:tcBorders>
              <w:bottom w:val="single" w:color="000000" w:sz="6" w:space="0"/>
            </w:tcBorders>
            <w:noWrap w:val="0"/>
            <w:vAlign w:val="center"/>
          </w:tcPr>
          <w:p w14:paraId="1C0380FF">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3154" w:type="dxa"/>
            <w:vMerge w:val="continue"/>
            <w:tcBorders>
              <w:bottom w:val="single" w:color="000000" w:sz="6" w:space="0"/>
            </w:tcBorders>
            <w:noWrap w:val="0"/>
            <w:vAlign w:val="center"/>
          </w:tcPr>
          <w:p w14:paraId="5E408B9F">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14:paraId="0E83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7" w:type="dxa"/>
            <w:vMerge w:val="continue"/>
            <w:noWrap w:val="0"/>
            <w:vAlign w:val="center"/>
          </w:tcPr>
          <w:p w14:paraId="5C6A49E5">
            <w:pPr>
              <w:pStyle w:val="2"/>
              <w:rPr>
                <w:color w:val="000000" w:themeColor="text1"/>
                <w:sz w:val="21"/>
                <w:szCs w:val="21"/>
                <w:u w:val="single"/>
                <w14:textFill>
                  <w14:solidFill>
                    <w14:schemeClr w14:val="tx1"/>
                  </w14:solidFill>
                </w14:textFill>
              </w:rPr>
            </w:pPr>
          </w:p>
        </w:tc>
        <w:tc>
          <w:tcPr>
            <w:tcW w:w="1575" w:type="dxa"/>
            <w:tcBorders>
              <w:top w:val="single" w:color="000000" w:sz="6" w:space="0"/>
            </w:tcBorders>
            <w:shd w:val="clear" w:color="auto" w:fill="auto"/>
            <w:noWrap w:val="0"/>
            <w:vAlign w:val="center"/>
          </w:tcPr>
          <w:p w14:paraId="0271A55A">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厂区员工</w:t>
            </w:r>
          </w:p>
        </w:tc>
        <w:tc>
          <w:tcPr>
            <w:tcW w:w="1282" w:type="dxa"/>
            <w:tcBorders>
              <w:top w:val="single" w:color="000000" w:sz="6" w:space="0"/>
            </w:tcBorders>
            <w:shd w:val="clear" w:color="auto" w:fill="auto"/>
            <w:noWrap w:val="0"/>
            <w:vAlign w:val="center"/>
          </w:tcPr>
          <w:p w14:paraId="6F22392F">
            <w:pPr>
              <w:pStyle w:val="2"/>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生活垃圾</w:t>
            </w:r>
          </w:p>
        </w:tc>
        <w:tc>
          <w:tcPr>
            <w:tcW w:w="1913" w:type="dxa"/>
            <w:tcBorders>
              <w:top w:val="single" w:color="000000" w:sz="6" w:space="0"/>
            </w:tcBorders>
            <w:shd w:val="clear" w:color="auto" w:fill="auto"/>
            <w:noWrap w:val="0"/>
            <w:vAlign w:val="center"/>
          </w:tcPr>
          <w:p w14:paraId="375761E6">
            <w:pPr>
              <w:pStyle w:val="2"/>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统一收集</w:t>
            </w:r>
          </w:p>
        </w:tc>
        <w:tc>
          <w:tcPr>
            <w:tcW w:w="3154" w:type="dxa"/>
            <w:tcBorders>
              <w:top w:val="single" w:color="000000" w:sz="6" w:space="0"/>
            </w:tcBorders>
            <w:noWrap w:val="0"/>
            <w:vAlign w:val="center"/>
          </w:tcPr>
          <w:p w14:paraId="0BC41740">
            <w:pPr>
              <w:pStyle w:val="2"/>
              <w:jc w:val="cente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t>委托当地环卫部门进行清运处理</w:t>
            </w:r>
          </w:p>
        </w:tc>
      </w:tr>
      <w:tr w14:paraId="701C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noWrap w:val="0"/>
            <w:vAlign w:val="center"/>
          </w:tcPr>
          <w:p w14:paraId="14254789">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土壤及地下水污染防治措施</w:t>
            </w:r>
          </w:p>
        </w:tc>
        <w:tc>
          <w:tcPr>
            <w:tcW w:w="7924" w:type="dxa"/>
            <w:gridSpan w:val="4"/>
            <w:noWrap w:val="0"/>
            <w:vAlign w:val="center"/>
          </w:tcPr>
          <w:p w14:paraId="6C5F0C27">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油漆</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废机油</w:t>
            </w:r>
            <w:r>
              <w:rPr>
                <w:rFonts w:hint="eastAsia"/>
                <w:color w:val="000000" w:themeColor="text1"/>
                <w:sz w:val="21"/>
                <w:szCs w:val="21"/>
                <w:u w:val="single"/>
                <w14:textFill>
                  <w14:solidFill>
                    <w14:schemeClr w14:val="tx1"/>
                  </w14:solidFill>
                </w14:textFill>
              </w:rPr>
              <w:t>等液体</w:t>
            </w:r>
            <w:r>
              <w:rPr>
                <w:rFonts w:hint="eastAsia"/>
                <w:color w:val="000000" w:themeColor="text1"/>
                <w:sz w:val="21"/>
                <w:szCs w:val="21"/>
                <w:u w:val="single"/>
                <w:lang w:val="en-US" w:eastAsia="zh-CN"/>
                <w14:textFill>
                  <w14:solidFill>
                    <w14:schemeClr w14:val="tx1"/>
                  </w14:solidFill>
                </w14:textFill>
              </w:rPr>
              <w:t>风险物质</w:t>
            </w:r>
            <w:r>
              <w:rPr>
                <w:rFonts w:hint="eastAsia"/>
                <w:color w:val="000000" w:themeColor="text1"/>
                <w:sz w:val="21"/>
                <w:szCs w:val="21"/>
                <w:u w:val="single"/>
                <w14:textFill>
                  <w14:solidFill>
                    <w14:schemeClr w14:val="tx1"/>
                  </w14:solidFill>
                </w14:textFill>
              </w:rPr>
              <w:t>原辅材料仓、危险废物暂存间设置重点防渗</w:t>
            </w:r>
          </w:p>
        </w:tc>
      </w:tr>
      <w:tr w14:paraId="3EBF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noWrap w:val="0"/>
            <w:vAlign w:val="center"/>
          </w:tcPr>
          <w:p w14:paraId="16025B49">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生态保护措施</w:t>
            </w:r>
          </w:p>
        </w:tc>
        <w:tc>
          <w:tcPr>
            <w:tcW w:w="7924" w:type="dxa"/>
            <w:gridSpan w:val="4"/>
            <w:noWrap w:val="0"/>
            <w:vAlign w:val="center"/>
          </w:tcPr>
          <w:p w14:paraId="0AA8020E">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r>
      <w:tr w14:paraId="04D8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noWrap w:val="0"/>
            <w:vAlign w:val="center"/>
          </w:tcPr>
          <w:p w14:paraId="18276FC0">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环境风险</w:t>
            </w:r>
          </w:p>
          <w:p w14:paraId="7D9C2DC0">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防范措施</w:t>
            </w:r>
          </w:p>
        </w:tc>
        <w:tc>
          <w:tcPr>
            <w:tcW w:w="7924" w:type="dxa"/>
            <w:gridSpan w:val="4"/>
            <w:noWrap w:val="0"/>
            <w:vAlign w:val="center"/>
          </w:tcPr>
          <w:p w14:paraId="00755D5D">
            <w:pPr>
              <w:pStyle w:val="2"/>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项目运行过程中存在泄</w:t>
            </w:r>
            <w:r>
              <w:rPr>
                <w:rFonts w:hint="eastAsia"/>
                <w:color w:val="000000" w:themeColor="text1"/>
                <w:sz w:val="21"/>
                <w:szCs w:val="21"/>
                <w:u w:val="single"/>
                <w14:textFill>
                  <w14:solidFill>
                    <w14:schemeClr w14:val="tx1"/>
                  </w14:solidFill>
                </w14:textFill>
              </w:rPr>
              <w:t>漏</w:t>
            </w:r>
            <w:r>
              <w:rPr>
                <w:color w:val="000000" w:themeColor="text1"/>
                <w:sz w:val="21"/>
                <w:szCs w:val="21"/>
                <w:u w:val="single"/>
                <w14:textFill>
                  <w14:solidFill>
                    <w14:schemeClr w14:val="tx1"/>
                  </w14:solidFill>
                </w14:textFill>
              </w:rPr>
              <w:t>风险，必须严格执行国家的技术规范和操作规程要求，落实各项安全规章制度，避免</w:t>
            </w:r>
            <w:r>
              <w:rPr>
                <w:rFonts w:hint="eastAsia"/>
                <w:color w:val="000000" w:themeColor="text1"/>
                <w:sz w:val="21"/>
                <w:szCs w:val="21"/>
                <w:u w:val="single"/>
                <w14:textFill>
                  <w14:solidFill>
                    <w14:schemeClr w14:val="tx1"/>
                  </w14:solidFill>
                </w14:textFill>
              </w:rPr>
              <w:t>泄漏</w:t>
            </w:r>
            <w:r>
              <w:rPr>
                <w:color w:val="000000" w:themeColor="text1"/>
                <w:sz w:val="21"/>
                <w:szCs w:val="21"/>
                <w:u w:val="single"/>
                <w14:textFill>
                  <w14:solidFill>
                    <w14:schemeClr w14:val="tx1"/>
                  </w14:solidFill>
                </w14:textFill>
              </w:rPr>
              <w:t>事故的发生。</w:t>
            </w:r>
          </w:p>
        </w:tc>
      </w:tr>
      <w:tr w14:paraId="2193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noWrap w:val="0"/>
            <w:vAlign w:val="center"/>
          </w:tcPr>
          <w:p w14:paraId="5D3960CF">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其他环境</w:t>
            </w:r>
          </w:p>
          <w:p w14:paraId="10355EB1">
            <w:pPr>
              <w:pStyle w:val="2"/>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管理要求</w:t>
            </w:r>
          </w:p>
        </w:tc>
        <w:tc>
          <w:tcPr>
            <w:tcW w:w="7924" w:type="dxa"/>
            <w:gridSpan w:val="4"/>
            <w:noWrap w:val="0"/>
            <w:vAlign w:val="center"/>
          </w:tcPr>
          <w:p w14:paraId="6CE7A8EF">
            <w:pPr>
              <w:pStyle w:val="2"/>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1、项目建成投产排污前，应办理排污许可证</w:t>
            </w:r>
          </w:p>
          <w:p w14:paraId="4069285D">
            <w:pPr>
              <w:pStyle w:val="2"/>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2、项目建成试运行，及时进行环保竣工验收</w:t>
            </w:r>
          </w:p>
          <w:p w14:paraId="2470C39C">
            <w:pPr>
              <w:pStyle w:val="2"/>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3、项目建成后应及时完成环境风险应急预案编制并备案</w:t>
            </w:r>
            <w:r>
              <w:rPr>
                <w:rFonts w:hint="eastAsia"/>
                <w:color w:val="000000" w:themeColor="text1"/>
                <w:sz w:val="21"/>
                <w:szCs w:val="21"/>
                <w:u w:val="single"/>
                <w14:textFill>
                  <w14:solidFill>
                    <w14:schemeClr w14:val="tx1"/>
                  </w14:solidFill>
                </w14:textFill>
              </w:rPr>
              <w:t>。</w:t>
            </w:r>
          </w:p>
        </w:tc>
      </w:tr>
    </w:tbl>
    <w:p w14:paraId="0E89CB01">
      <w:pPr>
        <w:pStyle w:val="22"/>
        <w:ind w:firstLine="480"/>
        <w:jc w:val="center"/>
        <w:outlineLvl w:val="0"/>
        <w:rPr>
          <w:rFonts w:ascii="黑体" w:hAnsi="黑体" w:eastAsia="黑体"/>
          <w:snapToGrid w:val="0"/>
          <w:color w:val="000000" w:themeColor="text1"/>
          <w:sz w:val="30"/>
          <w:szCs w:val="30"/>
          <w14:textFill>
            <w14:solidFill>
              <w14:schemeClr w14:val="tx1"/>
            </w14:solidFill>
          </w14:textFill>
        </w:rPr>
      </w:pPr>
      <w:r>
        <w:rPr>
          <w:snapToGrid w:val="0"/>
          <w:color w:val="000000" w:themeColor="text1"/>
          <w14:textFill>
            <w14:solidFill>
              <w14:schemeClr w14:val="tx1"/>
            </w14:solidFill>
          </w14:textFill>
        </w:rPr>
        <w:br w:type="page"/>
      </w:r>
      <w:bookmarkStart w:id="23" w:name="_Toc826"/>
      <w:bookmarkStart w:id="24" w:name="_Toc24445"/>
      <w:r>
        <w:rPr>
          <w:rFonts w:hint="eastAsia" w:ascii="黑体" w:hAnsi="黑体" w:eastAsia="黑体"/>
          <w:snapToGrid w:val="0"/>
          <w:color w:val="000000" w:themeColor="text1"/>
          <w:sz w:val="30"/>
          <w:szCs w:val="30"/>
          <w14:textFill>
            <w14:solidFill>
              <w14:schemeClr w14:val="tx1"/>
            </w14:solidFill>
          </w14:textFill>
        </w:rPr>
        <w:t>六、结论</w:t>
      </w:r>
      <w:bookmarkEnd w:id="23"/>
      <w:bookmarkEnd w:id="24"/>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2ADC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noWrap w:val="0"/>
            <w:vAlign w:val="center"/>
          </w:tcPr>
          <w:p w14:paraId="7A67053C">
            <w:pPr>
              <w:ind w:firstLine="480"/>
              <w:rPr>
                <w:rFonts w:ascii="宋体" w:cs="宋体"/>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项目</w:t>
            </w:r>
            <w:r>
              <w:rPr>
                <w:color w:val="000000" w:themeColor="text1"/>
                <w14:textFill>
                  <w14:solidFill>
                    <w14:schemeClr w14:val="tx1"/>
                  </w14:solidFill>
                </w14:textFill>
              </w:rPr>
              <w:t>建设</w:t>
            </w:r>
            <w:r>
              <w:rPr>
                <w:rFonts w:hint="eastAsia"/>
                <w:color w:val="000000" w:themeColor="text1"/>
                <w14:textFill>
                  <w14:solidFill>
                    <w14:schemeClr w14:val="tx1"/>
                  </w14:solidFill>
                </w14:textFill>
              </w:rPr>
              <w:t>符合国家产业政策，项目选址符合相关规划要求，采用的工艺技术成熟可行；通过采取有效的环保措施可实现达标排放，对周边环境的影响也能控制在可接受程度。因此，建设单位在严格执行环保</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三同时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制度，严格落实本报告提出的各项环保措施后，项目建设对环境的影响是可接受的。因此，从环保的角度分析，本项目的建设是可行的。</w:t>
            </w:r>
          </w:p>
          <w:p w14:paraId="1F73B389">
            <w:pPr>
              <w:pStyle w:val="2"/>
              <w:rPr>
                <w:color w:val="000000" w:themeColor="text1"/>
                <w14:textFill>
                  <w14:solidFill>
                    <w14:schemeClr w14:val="tx1"/>
                  </w14:solidFill>
                </w14:textFill>
              </w:rPr>
            </w:pPr>
          </w:p>
          <w:p w14:paraId="30222807">
            <w:pPr>
              <w:pStyle w:val="2"/>
              <w:rPr>
                <w:color w:val="000000" w:themeColor="text1"/>
                <w14:textFill>
                  <w14:solidFill>
                    <w14:schemeClr w14:val="tx1"/>
                  </w14:solidFill>
                </w14:textFill>
              </w:rPr>
            </w:pPr>
          </w:p>
          <w:p w14:paraId="02135D0C">
            <w:pPr>
              <w:pStyle w:val="2"/>
              <w:rPr>
                <w:color w:val="000000" w:themeColor="text1"/>
                <w14:textFill>
                  <w14:solidFill>
                    <w14:schemeClr w14:val="tx1"/>
                  </w14:solidFill>
                </w14:textFill>
              </w:rPr>
            </w:pPr>
          </w:p>
          <w:p w14:paraId="03667305">
            <w:pPr>
              <w:pStyle w:val="2"/>
              <w:rPr>
                <w:color w:val="000000" w:themeColor="text1"/>
                <w14:textFill>
                  <w14:solidFill>
                    <w14:schemeClr w14:val="tx1"/>
                  </w14:solidFill>
                </w14:textFill>
              </w:rPr>
            </w:pPr>
          </w:p>
          <w:p w14:paraId="6A638EE9">
            <w:pPr>
              <w:pStyle w:val="2"/>
              <w:rPr>
                <w:color w:val="000000" w:themeColor="text1"/>
                <w14:textFill>
                  <w14:solidFill>
                    <w14:schemeClr w14:val="tx1"/>
                  </w14:solidFill>
                </w14:textFill>
              </w:rPr>
            </w:pPr>
          </w:p>
          <w:p w14:paraId="23CA5A77">
            <w:pPr>
              <w:pStyle w:val="2"/>
              <w:rPr>
                <w:color w:val="000000" w:themeColor="text1"/>
                <w14:textFill>
                  <w14:solidFill>
                    <w14:schemeClr w14:val="tx1"/>
                  </w14:solidFill>
                </w14:textFill>
              </w:rPr>
            </w:pPr>
          </w:p>
          <w:p w14:paraId="4D0AAEB8">
            <w:pPr>
              <w:pStyle w:val="2"/>
              <w:rPr>
                <w:color w:val="000000" w:themeColor="text1"/>
                <w14:textFill>
                  <w14:solidFill>
                    <w14:schemeClr w14:val="tx1"/>
                  </w14:solidFill>
                </w14:textFill>
              </w:rPr>
            </w:pPr>
          </w:p>
          <w:p w14:paraId="600004EF">
            <w:pPr>
              <w:pStyle w:val="2"/>
              <w:rPr>
                <w:color w:val="000000" w:themeColor="text1"/>
                <w14:textFill>
                  <w14:solidFill>
                    <w14:schemeClr w14:val="tx1"/>
                  </w14:solidFill>
                </w14:textFill>
              </w:rPr>
            </w:pPr>
          </w:p>
          <w:p w14:paraId="045D4524">
            <w:pPr>
              <w:pStyle w:val="2"/>
              <w:rPr>
                <w:color w:val="000000" w:themeColor="text1"/>
                <w14:textFill>
                  <w14:solidFill>
                    <w14:schemeClr w14:val="tx1"/>
                  </w14:solidFill>
                </w14:textFill>
              </w:rPr>
            </w:pPr>
          </w:p>
          <w:p w14:paraId="6841B10C">
            <w:pPr>
              <w:pStyle w:val="2"/>
              <w:rPr>
                <w:color w:val="000000" w:themeColor="text1"/>
                <w14:textFill>
                  <w14:solidFill>
                    <w14:schemeClr w14:val="tx1"/>
                  </w14:solidFill>
                </w14:textFill>
              </w:rPr>
            </w:pPr>
          </w:p>
          <w:p w14:paraId="69238D9C">
            <w:pPr>
              <w:pStyle w:val="2"/>
              <w:rPr>
                <w:color w:val="000000" w:themeColor="text1"/>
                <w14:textFill>
                  <w14:solidFill>
                    <w14:schemeClr w14:val="tx1"/>
                  </w14:solidFill>
                </w14:textFill>
              </w:rPr>
            </w:pPr>
          </w:p>
          <w:p w14:paraId="4DE4C52B">
            <w:pPr>
              <w:pStyle w:val="2"/>
              <w:rPr>
                <w:color w:val="000000" w:themeColor="text1"/>
                <w14:textFill>
                  <w14:solidFill>
                    <w14:schemeClr w14:val="tx1"/>
                  </w14:solidFill>
                </w14:textFill>
              </w:rPr>
            </w:pPr>
          </w:p>
          <w:p w14:paraId="462E8CDB">
            <w:pPr>
              <w:pStyle w:val="2"/>
              <w:rPr>
                <w:color w:val="000000" w:themeColor="text1"/>
                <w14:textFill>
                  <w14:solidFill>
                    <w14:schemeClr w14:val="tx1"/>
                  </w14:solidFill>
                </w14:textFill>
              </w:rPr>
            </w:pPr>
          </w:p>
          <w:p w14:paraId="0A778E81">
            <w:pPr>
              <w:pStyle w:val="2"/>
              <w:rPr>
                <w:color w:val="000000" w:themeColor="text1"/>
                <w14:textFill>
                  <w14:solidFill>
                    <w14:schemeClr w14:val="tx1"/>
                  </w14:solidFill>
                </w14:textFill>
              </w:rPr>
            </w:pPr>
          </w:p>
          <w:p w14:paraId="18434455">
            <w:pPr>
              <w:pStyle w:val="2"/>
              <w:rPr>
                <w:color w:val="000000" w:themeColor="text1"/>
                <w14:textFill>
                  <w14:solidFill>
                    <w14:schemeClr w14:val="tx1"/>
                  </w14:solidFill>
                </w14:textFill>
              </w:rPr>
            </w:pPr>
          </w:p>
          <w:p w14:paraId="1A0226F5">
            <w:pPr>
              <w:pStyle w:val="2"/>
              <w:rPr>
                <w:color w:val="000000" w:themeColor="text1"/>
                <w14:textFill>
                  <w14:solidFill>
                    <w14:schemeClr w14:val="tx1"/>
                  </w14:solidFill>
                </w14:textFill>
              </w:rPr>
            </w:pPr>
          </w:p>
          <w:p w14:paraId="7B19D083">
            <w:pPr>
              <w:pStyle w:val="2"/>
              <w:rPr>
                <w:color w:val="000000" w:themeColor="text1"/>
                <w14:textFill>
                  <w14:solidFill>
                    <w14:schemeClr w14:val="tx1"/>
                  </w14:solidFill>
                </w14:textFill>
              </w:rPr>
            </w:pPr>
          </w:p>
          <w:p w14:paraId="72453D81">
            <w:pPr>
              <w:pStyle w:val="2"/>
              <w:rPr>
                <w:color w:val="000000" w:themeColor="text1"/>
                <w14:textFill>
                  <w14:solidFill>
                    <w14:schemeClr w14:val="tx1"/>
                  </w14:solidFill>
                </w14:textFill>
              </w:rPr>
            </w:pPr>
          </w:p>
          <w:p w14:paraId="6ADE124A">
            <w:pPr>
              <w:pStyle w:val="2"/>
              <w:rPr>
                <w:color w:val="000000" w:themeColor="text1"/>
                <w14:textFill>
                  <w14:solidFill>
                    <w14:schemeClr w14:val="tx1"/>
                  </w14:solidFill>
                </w14:textFill>
              </w:rPr>
            </w:pPr>
          </w:p>
          <w:p w14:paraId="0144EF13">
            <w:pPr>
              <w:pStyle w:val="2"/>
              <w:rPr>
                <w:color w:val="000000" w:themeColor="text1"/>
                <w14:textFill>
                  <w14:solidFill>
                    <w14:schemeClr w14:val="tx1"/>
                  </w14:solidFill>
                </w14:textFill>
              </w:rPr>
            </w:pPr>
          </w:p>
          <w:p w14:paraId="0CF7B1E7">
            <w:pPr>
              <w:pStyle w:val="2"/>
              <w:rPr>
                <w:color w:val="000000" w:themeColor="text1"/>
                <w14:textFill>
                  <w14:solidFill>
                    <w14:schemeClr w14:val="tx1"/>
                  </w14:solidFill>
                </w14:textFill>
              </w:rPr>
            </w:pPr>
          </w:p>
          <w:p w14:paraId="44832FE6">
            <w:pPr>
              <w:ind w:firstLine="480"/>
              <w:rPr>
                <w:color w:val="000000" w:themeColor="text1"/>
                <w14:textFill>
                  <w14:solidFill>
                    <w14:schemeClr w14:val="tx1"/>
                  </w14:solidFill>
                </w14:textFill>
              </w:rPr>
            </w:pPr>
          </w:p>
          <w:p w14:paraId="13D50D26">
            <w:pPr>
              <w:ind w:firstLine="480"/>
              <w:rPr>
                <w:color w:val="000000" w:themeColor="text1"/>
                <w14:textFill>
                  <w14:solidFill>
                    <w14:schemeClr w14:val="tx1"/>
                  </w14:solidFill>
                </w14:textFill>
              </w:rPr>
            </w:pPr>
          </w:p>
          <w:p w14:paraId="44FE99BC">
            <w:pPr>
              <w:ind w:firstLine="480"/>
              <w:rPr>
                <w:color w:val="000000" w:themeColor="text1"/>
                <w14:textFill>
                  <w14:solidFill>
                    <w14:schemeClr w14:val="tx1"/>
                  </w14:solidFill>
                </w14:textFill>
              </w:rPr>
            </w:pPr>
          </w:p>
          <w:p w14:paraId="34270FA2">
            <w:pPr>
              <w:pStyle w:val="2"/>
              <w:jc w:val="both"/>
              <w:rPr>
                <w:rFonts w:ascii="宋体" w:cs="宋体"/>
                <w:color w:val="000000" w:themeColor="text1"/>
                <w14:textFill>
                  <w14:solidFill>
                    <w14:schemeClr w14:val="tx1"/>
                  </w14:solidFill>
                </w14:textFill>
              </w:rPr>
            </w:pPr>
          </w:p>
        </w:tc>
      </w:tr>
    </w:tbl>
    <w:p w14:paraId="507CD0BB">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附件:</w:t>
      </w:r>
    </w:p>
    <w:p w14:paraId="312368AE">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附件1  环评委托书</w:t>
      </w:r>
    </w:p>
    <w:p w14:paraId="730EEC10">
      <w:pPr>
        <w:ind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附件</w:t>
      </w:r>
      <w:r>
        <w:rPr>
          <w:rFonts w:hint="eastAsia"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不动产权证</w:t>
      </w:r>
    </w:p>
    <w:p w14:paraId="3D21C1C5">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附件</w:t>
      </w:r>
      <w:r>
        <w:rPr>
          <w:rFonts w:hint="eastAsia"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 xml:space="preserve">  营业执照</w:t>
      </w:r>
    </w:p>
    <w:p w14:paraId="703CD92D">
      <w:pPr>
        <w:pStyle w:val="21"/>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附件4   检测报告</w:t>
      </w:r>
    </w:p>
    <w:p w14:paraId="6151A29F">
      <w:pPr>
        <w:rPr>
          <w:rFonts w:hint="default"/>
          <w:lang w:val="en-US" w:eastAsia="zh-CN"/>
        </w:rPr>
      </w:pPr>
      <w:r>
        <w:rPr>
          <w:rFonts w:hint="eastAsia" w:eastAsia="宋体" w:cs="Times New Roman"/>
          <w:color w:val="000000" w:themeColor="text1"/>
          <w:lang w:val="en-US" w:eastAsia="zh-CN"/>
          <w14:textFill>
            <w14:solidFill>
              <w14:schemeClr w14:val="tx1"/>
            </w14:solidFill>
          </w14:textFill>
        </w:rPr>
        <w:t>附件5  危废处置协议</w:t>
      </w:r>
    </w:p>
    <w:p w14:paraId="5BB573E5">
      <w:pPr>
        <w:ind w:firstLine="482"/>
        <w:rPr>
          <w:rFonts w:hint="eastAsia"/>
          <w:b/>
          <w:bCs/>
          <w:color w:val="000000" w:themeColor="text1"/>
          <w14:textFill>
            <w14:solidFill>
              <w14:schemeClr w14:val="tx1"/>
            </w14:solidFill>
          </w14:textFill>
        </w:rPr>
      </w:pPr>
      <w:r>
        <w:rPr>
          <w:rFonts w:hint="eastAsia"/>
          <w:b/>
          <w:bCs/>
          <w:color w:val="000000" w:themeColor="text1"/>
          <w:lang w:val="zh-CN"/>
          <w14:textFill>
            <w14:solidFill>
              <w14:schemeClr w14:val="tx1"/>
            </w14:solidFill>
          </w14:textFill>
        </w:rPr>
        <w:t>附图</w:t>
      </w:r>
      <w:r>
        <w:rPr>
          <w:rFonts w:hint="eastAsia"/>
          <w:b/>
          <w:bCs/>
          <w:color w:val="000000" w:themeColor="text1"/>
          <w14:textFill>
            <w14:solidFill>
              <w14:schemeClr w14:val="tx1"/>
            </w14:solidFill>
          </w14:textFill>
        </w:rPr>
        <w:t>:</w:t>
      </w:r>
    </w:p>
    <w:p w14:paraId="6FDD1F87">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附图1  项目地理位置图</w:t>
      </w:r>
    </w:p>
    <w:p w14:paraId="573DA01B">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附图2  项目环境保护目标图</w:t>
      </w:r>
    </w:p>
    <w:p w14:paraId="46AE3A43">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附图3  平面布置图</w:t>
      </w:r>
    </w:p>
    <w:p w14:paraId="7597E3CE">
      <w:pPr>
        <w:ind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附图4  一层平面布置图</w:t>
      </w:r>
    </w:p>
    <w:p w14:paraId="27644B30">
      <w:pPr>
        <w:ind w:firstLine="48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附图</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 xml:space="preserve">  厂区四周现状调查照片</w:t>
      </w:r>
    </w:p>
    <w:p w14:paraId="3DE36CA6">
      <w:pPr>
        <w:ind w:firstLine="480"/>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r>
        <w:rPr>
          <w:rFonts w:hint="eastAsia" w:ascii="Times New Roman" w:hAnsi="Times New Roman" w:eastAsia="宋体" w:cs="Times New Roman"/>
          <w:color w:val="000000" w:themeColor="text1"/>
          <w:lang w:eastAsia="zh-CN"/>
          <w14:textFill>
            <w14:solidFill>
              <w14:schemeClr w14:val="tx1"/>
            </w14:solidFill>
          </w14:textFill>
        </w:rPr>
        <w:t>附图</w:t>
      </w:r>
      <w:r>
        <w:rPr>
          <w:rFonts w:hint="eastAsia" w:ascii="Times New Roman" w:hAnsi="Times New Roman" w:eastAsia="宋体" w:cs="Times New Roman"/>
          <w:color w:val="000000" w:themeColor="text1"/>
          <w:lang w:val="en-US" w:eastAsia="zh-CN"/>
          <w14:textFill>
            <w14:solidFill>
              <w14:schemeClr w14:val="tx1"/>
            </w14:solidFill>
          </w14:textFill>
        </w:rPr>
        <w:t>6  监测点位图</w:t>
      </w:r>
    </w:p>
    <w:p w14:paraId="34948DFE">
      <w:pPr>
        <w:pStyle w:val="22"/>
        <w:adjustRightInd w:val="0"/>
        <w:snapToGrid w:val="0"/>
        <w:spacing w:before="0" w:beforeAutospacing="0" w:after="0" w:afterAutospacing="0" w:line="240" w:lineRule="auto"/>
        <w:ind w:firstLine="640"/>
        <w:outlineLvl w:val="0"/>
        <w:rPr>
          <w:rFonts w:ascii="黑体" w:hAnsi="黑体" w:eastAsia="黑体"/>
          <w:snapToGrid w:val="0"/>
          <w:color w:val="000000" w:themeColor="text1"/>
          <w:sz w:val="32"/>
          <w:szCs w:val="32"/>
          <w14:textFill>
            <w14:solidFill>
              <w14:schemeClr w14:val="tx1"/>
            </w14:solidFill>
          </w14:textFill>
        </w:rPr>
      </w:pPr>
      <w:bookmarkStart w:id="25" w:name="_Toc13769"/>
      <w:bookmarkStart w:id="26" w:name="_Toc1416"/>
      <w:r>
        <w:rPr>
          <w:rFonts w:hint="eastAsia" w:ascii="黑体" w:hAnsi="黑体" w:eastAsia="黑体"/>
          <w:snapToGrid w:val="0"/>
          <w:color w:val="000000" w:themeColor="text1"/>
          <w:sz w:val="32"/>
          <w:szCs w:val="32"/>
          <w14:textFill>
            <w14:solidFill>
              <w14:schemeClr w14:val="tx1"/>
            </w14:solidFill>
          </w14:textFill>
        </w:rPr>
        <w:t>附表</w:t>
      </w:r>
      <w:bookmarkEnd w:id="25"/>
      <w:bookmarkEnd w:id="26"/>
    </w:p>
    <w:p w14:paraId="2A82F499">
      <w:pPr>
        <w:pStyle w:val="22"/>
        <w:adjustRightInd w:val="0"/>
        <w:snapToGrid w:val="0"/>
        <w:spacing w:before="0" w:beforeAutospacing="0" w:after="0" w:afterAutospacing="0" w:line="240" w:lineRule="auto"/>
        <w:ind w:firstLine="760"/>
        <w:jc w:val="center"/>
        <w:outlineLvl w:val="0"/>
        <w:rPr>
          <w:rFonts w:hint="eastAsia" w:ascii="方正小标宋_GBK" w:hAnsi="黑体" w:eastAsia="方正小标宋_GBK"/>
          <w:snapToGrid w:val="0"/>
          <w:color w:val="000000" w:themeColor="text1"/>
          <w:sz w:val="38"/>
          <w:szCs w:val="38"/>
          <w14:textFill>
            <w14:solidFill>
              <w14:schemeClr w14:val="tx1"/>
            </w14:solidFill>
          </w14:textFill>
        </w:rPr>
      </w:pPr>
      <w:bookmarkStart w:id="27" w:name="_Toc27931"/>
      <w:bookmarkStart w:id="28" w:name="_Toc18039"/>
      <w:r>
        <w:rPr>
          <w:rFonts w:hint="eastAsia" w:ascii="方正小标宋_GBK" w:hAnsi="黑体" w:eastAsia="方正小标宋_GBK"/>
          <w:snapToGrid w:val="0"/>
          <w:color w:val="000000" w:themeColor="text1"/>
          <w:sz w:val="38"/>
          <w:szCs w:val="38"/>
          <w14:textFill>
            <w14:solidFill>
              <w14:schemeClr w14:val="tx1"/>
            </w14:solidFill>
          </w14:textFill>
        </w:rPr>
        <w:t>建设项目污染物排放量汇总表</w:t>
      </w:r>
      <w:bookmarkEnd w:id="27"/>
      <w:bookmarkEnd w:id="28"/>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501"/>
        <w:gridCol w:w="1701"/>
        <w:gridCol w:w="1276"/>
        <w:gridCol w:w="1701"/>
        <w:gridCol w:w="1559"/>
        <w:gridCol w:w="1761"/>
        <w:gridCol w:w="1642"/>
        <w:gridCol w:w="1143"/>
      </w:tblGrid>
      <w:tr w14:paraId="6097E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04" w:type="dxa"/>
            <w:tcBorders>
              <w:tl2br w:val="single" w:color="auto" w:sz="4" w:space="0"/>
            </w:tcBorders>
            <w:noWrap w:val="0"/>
            <w:tcMar>
              <w:left w:w="28" w:type="dxa"/>
              <w:right w:w="28" w:type="dxa"/>
            </w:tcMar>
            <w:vAlign w:val="center"/>
          </w:tcPr>
          <w:p w14:paraId="7403A431">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项目</w:t>
            </w:r>
          </w:p>
          <w:p w14:paraId="1FC504A3">
            <w:pPr>
              <w:spacing w:line="320" w:lineRule="exact"/>
              <w:ind w:firstLine="0" w:firstLineChars="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分类</w:t>
            </w:r>
          </w:p>
        </w:tc>
        <w:tc>
          <w:tcPr>
            <w:tcW w:w="1501" w:type="dxa"/>
            <w:noWrap w:val="0"/>
            <w:tcMar>
              <w:left w:w="28" w:type="dxa"/>
              <w:right w:w="28" w:type="dxa"/>
            </w:tcMar>
            <w:vAlign w:val="center"/>
          </w:tcPr>
          <w:p w14:paraId="5F1FB662">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污染物名称</w:t>
            </w:r>
          </w:p>
        </w:tc>
        <w:tc>
          <w:tcPr>
            <w:tcW w:w="1701" w:type="dxa"/>
            <w:noWrap w:val="0"/>
            <w:tcMar>
              <w:left w:w="28" w:type="dxa"/>
              <w:right w:w="28" w:type="dxa"/>
            </w:tcMar>
            <w:vAlign w:val="center"/>
          </w:tcPr>
          <w:p w14:paraId="3CB58F1E">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现有工程</w:t>
            </w:r>
          </w:p>
          <w:p w14:paraId="38445CB7">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排放量（固体废物产生量）</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1 \* GB3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①</w:t>
            </w:r>
            <w:r>
              <w:rPr>
                <w:rFonts w:hint="eastAsia"/>
                <w:color w:val="000000" w:themeColor="text1"/>
                <w:sz w:val="21"/>
                <w:szCs w:val="21"/>
                <w14:textFill>
                  <w14:solidFill>
                    <w14:schemeClr w14:val="tx1"/>
                  </w14:solidFill>
                </w14:textFill>
              </w:rPr>
              <w:fldChar w:fldCharType="end"/>
            </w:r>
          </w:p>
        </w:tc>
        <w:tc>
          <w:tcPr>
            <w:tcW w:w="1276" w:type="dxa"/>
            <w:noWrap w:val="0"/>
            <w:tcMar>
              <w:left w:w="28" w:type="dxa"/>
              <w:right w:w="28" w:type="dxa"/>
            </w:tcMar>
            <w:vAlign w:val="center"/>
          </w:tcPr>
          <w:p w14:paraId="5E72CF93">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现有工程</w:t>
            </w:r>
          </w:p>
          <w:p w14:paraId="263C61E3">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许可排放量</w:t>
            </w:r>
          </w:p>
          <w:p w14:paraId="35434693">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2 \* GB3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②</w:t>
            </w:r>
            <w:r>
              <w:rPr>
                <w:rFonts w:hint="eastAsia"/>
                <w:color w:val="000000" w:themeColor="text1"/>
                <w:sz w:val="21"/>
                <w:szCs w:val="21"/>
                <w14:textFill>
                  <w14:solidFill>
                    <w14:schemeClr w14:val="tx1"/>
                  </w14:solidFill>
                </w14:textFill>
              </w:rPr>
              <w:fldChar w:fldCharType="end"/>
            </w:r>
          </w:p>
        </w:tc>
        <w:tc>
          <w:tcPr>
            <w:tcW w:w="1701" w:type="dxa"/>
            <w:noWrap w:val="0"/>
            <w:tcMar>
              <w:left w:w="28" w:type="dxa"/>
              <w:right w:w="28" w:type="dxa"/>
            </w:tcMar>
            <w:vAlign w:val="center"/>
          </w:tcPr>
          <w:p w14:paraId="6D354F34">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在建工程</w:t>
            </w:r>
          </w:p>
          <w:p w14:paraId="7A39D0EF">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排放量（固体废物产生量）</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3 \* GB3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③</w:t>
            </w:r>
            <w:r>
              <w:rPr>
                <w:rFonts w:hint="eastAsia"/>
                <w:color w:val="000000" w:themeColor="text1"/>
                <w:sz w:val="21"/>
                <w:szCs w:val="21"/>
                <w14:textFill>
                  <w14:solidFill>
                    <w14:schemeClr w14:val="tx1"/>
                  </w14:solidFill>
                </w14:textFill>
              </w:rPr>
              <w:fldChar w:fldCharType="end"/>
            </w:r>
          </w:p>
        </w:tc>
        <w:tc>
          <w:tcPr>
            <w:tcW w:w="1559" w:type="dxa"/>
            <w:noWrap w:val="0"/>
            <w:tcMar>
              <w:left w:w="28" w:type="dxa"/>
              <w:right w:w="28" w:type="dxa"/>
            </w:tcMar>
            <w:vAlign w:val="center"/>
          </w:tcPr>
          <w:p w14:paraId="1AFC1820">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w:t>
            </w:r>
          </w:p>
          <w:p w14:paraId="318A77DC">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排放量（固体废物产生量）</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4 \* GB3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④</w:t>
            </w:r>
            <w:r>
              <w:rPr>
                <w:rFonts w:hint="eastAsia"/>
                <w:color w:val="000000" w:themeColor="text1"/>
                <w:sz w:val="21"/>
                <w:szCs w:val="21"/>
                <w14:textFill>
                  <w14:solidFill>
                    <w14:schemeClr w14:val="tx1"/>
                  </w14:solidFill>
                </w14:textFill>
              </w:rPr>
              <w:fldChar w:fldCharType="end"/>
            </w:r>
          </w:p>
        </w:tc>
        <w:tc>
          <w:tcPr>
            <w:tcW w:w="1761" w:type="dxa"/>
            <w:noWrap w:val="0"/>
            <w:tcMar>
              <w:left w:w="28" w:type="dxa"/>
              <w:right w:w="28" w:type="dxa"/>
            </w:tcMar>
            <w:vAlign w:val="center"/>
          </w:tcPr>
          <w:p w14:paraId="4A963468">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以新带老削减量</w:t>
            </w:r>
          </w:p>
          <w:p w14:paraId="29786751">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（新建项目不填）</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5 \* GB3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⑤</w:t>
            </w:r>
            <w:r>
              <w:rPr>
                <w:rFonts w:hint="eastAsia"/>
                <w:color w:val="000000" w:themeColor="text1"/>
                <w:sz w:val="21"/>
                <w:szCs w:val="21"/>
                <w14:textFill>
                  <w14:solidFill>
                    <w14:schemeClr w14:val="tx1"/>
                  </w14:solidFill>
                </w14:textFill>
              </w:rPr>
              <w:fldChar w:fldCharType="end"/>
            </w:r>
          </w:p>
        </w:tc>
        <w:tc>
          <w:tcPr>
            <w:tcW w:w="1642" w:type="dxa"/>
            <w:noWrap w:val="0"/>
            <w:tcMar>
              <w:left w:w="28" w:type="dxa"/>
              <w:right w:w="28" w:type="dxa"/>
            </w:tcMar>
            <w:vAlign w:val="center"/>
          </w:tcPr>
          <w:p w14:paraId="206742AC">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本项目建成后</w:t>
            </w:r>
          </w:p>
          <w:p w14:paraId="331A31E6">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全厂排放量（固体废物产生量）</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6 \* GB3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⑥</w:t>
            </w:r>
            <w:r>
              <w:rPr>
                <w:rFonts w:hint="eastAsia"/>
                <w:color w:val="000000" w:themeColor="text1"/>
                <w:sz w:val="21"/>
                <w:szCs w:val="21"/>
                <w14:textFill>
                  <w14:solidFill>
                    <w14:schemeClr w14:val="tx1"/>
                  </w14:solidFill>
                </w14:textFill>
              </w:rPr>
              <w:fldChar w:fldCharType="end"/>
            </w:r>
          </w:p>
        </w:tc>
        <w:tc>
          <w:tcPr>
            <w:tcW w:w="1143" w:type="dxa"/>
            <w:noWrap w:val="0"/>
            <w:tcMar>
              <w:left w:w="28" w:type="dxa"/>
              <w:right w:w="28" w:type="dxa"/>
            </w:tcMar>
            <w:vAlign w:val="center"/>
          </w:tcPr>
          <w:p w14:paraId="6CAEC771">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变化量</w:t>
            </w:r>
          </w:p>
          <w:p w14:paraId="15F510D3">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7 \* GB3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⑦</w:t>
            </w:r>
            <w:r>
              <w:rPr>
                <w:rFonts w:hint="eastAsia"/>
                <w:color w:val="000000" w:themeColor="text1"/>
                <w:sz w:val="21"/>
                <w:szCs w:val="21"/>
                <w14:textFill>
                  <w14:solidFill>
                    <w14:schemeClr w14:val="tx1"/>
                  </w14:solidFill>
                </w14:textFill>
              </w:rPr>
              <w:fldChar w:fldCharType="end"/>
            </w:r>
          </w:p>
        </w:tc>
      </w:tr>
      <w:tr w14:paraId="015B6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restart"/>
            <w:noWrap w:val="0"/>
            <w:vAlign w:val="center"/>
          </w:tcPr>
          <w:p w14:paraId="00B341C5">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废气</w:t>
            </w:r>
          </w:p>
        </w:tc>
        <w:tc>
          <w:tcPr>
            <w:tcW w:w="1501" w:type="dxa"/>
            <w:noWrap w:val="0"/>
            <w:vAlign w:val="center"/>
          </w:tcPr>
          <w:p w14:paraId="3FB1FF1F">
            <w:pPr>
              <w:spacing w:line="320" w:lineRule="exact"/>
              <w:ind w:firstLine="0" w:firstLineChars="0"/>
              <w:jc w:val="center"/>
              <w:rPr>
                <w:rFonts w:hint="eastAsia"/>
                <w:color w:val="auto"/>
                <w:sz w:val="21"/>
                <w:szCs w:val="21"/>
              </w:rPr>
            </w:pPr>
            <w:r>
              <w:rPr>
                <w:rFonts w:hint="eastAsia"/>
                <w:color w:val="auto"/>
                <w:sz w:val="21"/>
                <w:szCs w:val="21"/>
              </w:rPr>
              <w:t>颗粒物</w:t>
            </w:r>
          </w:p>
        </w:tc>
        <w:tc>
          <w:tcPr>
            <w:tcW w:w="1701" w:type="dxa"/>
            <w:noWrap w:val="0"/>
            <w:vAlign w:val="center"/>
          </w:tcPr>
          <w:p w14:paraId="6CD1707A">
            <w:pPr>
              <w:spacing w:line="320" w:lineRule="exact"/>
              <w:ind w:firstLine="0" w:firstLineChars="0"/>
              <w:jc w:val="center"/>
              <w:rPr>
                <w:rFonts w:hint="eastAsia"/>
                <w:color w:val="auto"/>
                <w:sz w:val="21"/>
                <w:szCs w:val="21"/>
              </w:rPr>
            </w:pPr>
            <w:r>
              <w:rPr>
                <w:rFonts w:hint="eastAsia"/>
                <w:color w:val="auto"/>
                <w:sz w:val="21"/>
                <w:szCs w:val="21"/>
              </w:rPr>
              <w:t>0.0</w:t>
            </w:r>
            <w:r>
              <w:rPr>
                <w:rFonts w:hint="eastAsia"/>
                <w:color w:val="auto"/>
                <w:sz w:val="21"/>
                <w:szCs w:val="21"/>
                <w:lang w:val="en-US" w:eastAsia="zh-CN"/>
              </w:rPr>
              <w:t>4614</w:t>
            </w:r>
            <w:r>
              <w:rPr>
                <w:rFonts w:hint="eastAsia"/>
                <w:color w:val="auto"/>
                <w:sz w:val="21"/>
                <w:szCs w:val="21"/>
              </w:rPr>
              <w:t>t/a</w:t>
            </w:r>
          </w:p>
        </w:tc>
        <w:tc>
          <w:tcPr>
            <w:tcW w:w="1276" w:type="dxa"/>
            <w:noWrap w:val="0"/>
            <w:vAlign w:val="center"/>
          </w:tcPr>
          <w:p w14:paraId="76F300D7">
            <w:pPr>
              <w:spacing w:line="320" w:lineRule="exact"/>
              <w:ind w:firstLine="0" w:firstLineChars="0"/>
              <w:jc w:val="center"/>
              <w:rPr>
                <w:rFonts w:hint="eastAsia"/>
                <w:color w:val="auto"/>
                <w:sz w:val="21"/>
                <w:szCs w:val="21"/>
              </w:rPr>
            </w:pPr>
            <w:r>
              <w:rPr>
                <w:rFonts w:hint="eastAsia"/>
                <w:color w:val="auto"/>
                <w:sz w:val="21"/>
                <w:szCs w:val="21"/>
              </w:rPr>
              <w:t>/</w:t>
            </w:r>
          </w:p>
        </w:tc>
        <w:tc>
          <w:tcPr>
            <w:tcW w:w="1701" w:type="dxa"/>
            <w:noWrap w:val="0"/>
            <w:vAlign w:val="center"/>
          </w:tcPr>
          <w:p w14:paraId="3F7F7399">
            <w:pPr>
              <w:spacing w:line="320" w:lineRule="exact"/>
              <w:ind w:firstLine="0" w:firstLineChars="0"/>
              <w:jc w:val="center"/>
              <w:rPr>
                <w:rFonts w:hint="eastAsia"/>
                <w:color w:val="auto"/>
                <w:sz w:val="21"/>
                <w:szCs w:val="21"/>
              </w:rPr>
            </w:pPr>
            <w:r>
              <w:rPr>
                <w:rFonts w:hint="eastAsia"/>
                <w:color w:val="auto"/>
                <w:sz w:val="21"/>
                <w:szCs w:val="21"/>
              </w:rPr>
              <w:t>/</w:t>
            </w:r>
          </w:p>
        </w:tc>
        <w:tc>
          <w:tcPr>
            <w:tcW w:w="1559" w:type="dxa"/>
            <w:noWrap w:val="0"/>
            <w:vAlign w:val="center"/>
          </w:tcPr>
          <w:p w14:paraId="1DBF5E1A">
            <w:pPr>
              <w:spacing w:line="320" w:lineRule="exact"/>
              <w:ind w:firstLine="0" w:firstLineChars="0"/>
              <w:jc w:val="center"/>
              <w:rPr>
                <w:rFonts w:hint="eastAsia"/>
                <w:color w:val="auto"/>
                <w:sz w:val="21"/>
                <w:szCs w:val="21"/>
              </w:rPr>
            </w:pPr>
            <w:r>
              <w:rPr>
                <w:rFonts w:hint="eastAsia"/>
                <w:color w:val="auto"/>
                <w:sz w:val="21"/>
                <w:szCs w:val="21"/>
              </w:rPr>
              <w:t>0.0</w:t>
            </w:r>
            <w:r>
              <w:rPr>
                <w:rFonts w:hint="eastAsia"/>
                <w:color w:val="auto"/>
                <w:sz w:val="21"/>
                <w:szCs w:val="21"/>
                <w:lang w:val="en-US" w:eastAsia="zh-CN"/>
              </w:rPr>
              <w:t>4614</w:t>
            </w:r>
            <w:r>
              <w:rPr>
                <w:rFonts w:hint="eastAsia"/>
                <w:color w:val="auto"/>
                <w:sz w:val="21"/>
                <w:szCs w:val="21"/>
              </w:rPr>
              <w:t>t/a</w:t>
            </w:r>
          </w:p>
        </w:tc>
        <w:tc>
          <w:tcPr>
            <w:tcW w:w="1761" w:type="dxa"/>
            <w:noWrap w:val="0"/>
            <w:vAlign w:val="center"/>
          </w:tcPr>
          <w:p w14:paraId="2C5E1D20">
            <w:pPr>
              <w:spacing w:line="320" w:lineRule="exact"/>
              <w:ind w:firstLine="0" w:firstLineChars="0"/>
              <w:jc w:val="center"/>
              <w:rPr>
                <w:rFonts w:hint="eastAsia"/>
                <w:color w:val="auto"/>
                <w:sz w:val="21"/>
                <w:szCs w:val="21"/>
              </w:rPr>
            </w:pPr>
            <w:r>
              <w:rPr>
                <w:rFonts w:hint="eastAsia"/>
                <w:color w:val="auto"/>
                <w:sz w:val="21"/>
                <w:szCs w:val="21"/>
              </w:rPr>
              <w:t>/</w:t>
            </w:r>
          </w:p>
        </w:tc>
        <w:tc>
          <w:tcPr>
            <w:tcW w:w="1642" w:type="dxa"/>
            <w:noWrap w:val="0"/>
            <w:vAlign w:val="center"/>
          </w:tcPr>
          <w:p w14:paraId="647F4D9F">
            <w:pPr>
              <w:spacing w:line="320" w:lineRule="exact"/>
              <w:ind w:firstLine="0" w:firstLineChars="0"/>
              <w:jc w:val="center"/>
              <w:rPr>
                <w:rFonts w:hint="eastAsia"/>
                <w:color w:val="auto"/>
                <w:sz w:val="21"/>
                <w:szCs w:val="21"/>
              </w:rPr>
            </w:pPr>
            <w:r>
              <w:rPr>
                <w:rFonts w:hint="eastAsia"/>
                <w:color w:val="auto"/>
                <w:sz w:val="21"/>
                <w:szCs w:val="21"/>
              </w:rPr>
              <w:t>0.0</w:t>
            </w:r>
            <w:r>
              <w:rPr>
                <w:rFonts w:hint="eastAsia"/>
                <w:color w:val="auto"/>
                <w:sz w:val="21"/>
                <w:szCs w:val="21"/>
                <w:lang w:val="en-US" w:eastAsia="zh-CN"/>
              </w:rPr>
              <w:t>4614</w:t>
            </w:r>
            <w:r>
              <w:rPr>
                <w:rFonts w:hint="eastAsia"/>
                <w:color w:val="auto"/>
                <w:sz w:val="21"/>
                <w:szCs w:val="21"/>
              </w:rPr>
              <w:t>t/a</w:t>
            </w:r>
          </w:p>
        </w:tc>
        <w:tc>
          <w:tcPr>
            <w:tcW w:w="1143" w:type="dxa"/>
            <w:noWrap w:val="0"/>
            <w:vAlign w:val="center"/>
          </w:tcPr>
          <w:p w14:paraId="454AD278">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0</w:t>
            </w:r>
          </w:p>
        </w:tc>
      </w:tr>
      <w:tr w14:paraId="579BA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3C89ED2B">
            <w:pPr>
              <w:spacing w:line="320" w:lineRule="exact"/>
              <w:ind w:firstLine="0" w:firstLineChars="0"/>
              <w:jc w:val="center"/>
              <w:rPr>
                <w:rFonts w:hint="eastAsia"/>
                <w:color w:val="000000" w:themeColor="text1"/>
                <w:sz w:val="21"/>
                <w:szCs w:val="21"/>
                <w14:textFill>
                  <w14:solidFill>
                    <w14:schemeClr w14:val="tx1"/>
                  </w14:solidFill>
                </w14:textFill>
              </w:rPr>
            </w:pPr>
          </w:p>
        </w:tc>
        <w:tc>
          <w:tcPr>
            <w:tcW w:w="1501" w:type="dxa"/>
            <w:noWrap w:val="0"/>
            <w:vAlign w:val="center"/>
          </w:tcPr>
          <w:p w14:paraId="5D11A433">
            <w:pPr>
              <w:spacing w:line="320" w:lineRule="exact"/>
              <w:ind w:firstLine="0" w:firstLineChars="0"/>
              <w:jc w:val="center"/>
              <w:rPr>
                <w:rFonts w:hint="eastAsia"/>
                <w:color w:val="auto"/>
                <w:sz w:val="21"/>
                <w:szCs w:val="21"/>
              </w:rPr>
            </w:pPr>
            <w:r>
              <w:rPr>
                <w:rFonts w:hint="eastAsia"/>
                <w:color w:val="auto"/>
                <w:sz w:val="21"/>
                <w:szCs w:val="21"/>
              </w:rPr>
              <w:t>非甲烷总烃</w:t>
            </w:r>
          </w:p>
        </w:tc>
        <w:tc>
          <w:tcPr>
            <w:tcW w:w="1701" w:type="dxa"/>
            <w:noWrap w:val="0"/>
            <w:vAlign w:val="center"/>
          </w:tcPr>
          <w:p w14:paraId="5CDC5D10">
            <w:pPr>
              <w:spacing w:line="320" w:lineRule="exact"/>
              <w:ind w:firstLine="0" w:firstLineChars="0"/>
              <w:jc w:val="center"/>
              <w:rPr>
                <w:rFonts w:hint="eastAsia"/>
                <w:color w:val="auto"/>
                <w:sz w:val="21"/>
                <w:szCs w:val="21"/>
              </w:rPr>
            </w:pPr>
            <w:r>
              <w:rPr>
                <w:rFonts w:hint="eastAsia"/>
                <w:color w:val="auto"/>
                <w:sz w:val="21"/>
                <w:szCs w:val="21"/>
              </w:rPr>
              <w:t>0.</w:t>
            </w:r>
            <w:r>
              <w:rPr>
                <w:rFonts w:hint="eastAsia"/>
                <w:color w:val="auto"/>
                <w:sz w:val="21"/>
                <w:szCs w:val="21"/>
                <w:lang w:val="en-US" w:eastAsia="zh-CN"/>
              </w:rPr>
              <w:t>0165</w:t>
            </w:r>
            <w:r>
              <w:rPr>
                <w:rFonts w:hint="eastAsia"/>
                <w:color w:val="auto"/>
                <w:sz w:val="21"/>
                <w:szCs w:val="21"/>
              </w:rPr>
              <w:t>t/a</w:t>
            </w:r>
          </w:p>
        </w:tc>
        <w:tc>
          <w:tcPr>
            <w:tcW w:w="1276" w:type="dxa"/>
            <w:noWrap w:val="0"/>
            <w:vAlign w:val="center"/>
          </w:tcPr>
          <w:p w14:paraId="34F4BEEC">
            <w:pPr>
              <w:spacing w:line="320" w:lineRule="exact"/>
              <w:ind w:firstLine="0" w:firstLineChars="0"/>
              <w:jc w:val="center"/>
              <w:rPr>
                <w:rFonts w:hint="eastAsia"/>
                <w:color w:val="auto"/>
                <w:sz w:val="21"/>
                <w:szCs w:val="21"/>
              </w:rPr>
            </w:pPr>
            <w:r>
              <w:rPr>
                <w:rFonts w:hint="eastAsia"/>
                <w:color w:val="auto"/>
                <w:sz w:val="21"/>
                <w:szCs w:val="21"/>
              </w:rPr>
              <w:t>/</w:t>
            </w:r>
          </w:p>
        </w:tc>
        <w:tc>
          <w:tcPr>
            <w:tcW w:w="1701" w:type="dxa"/>
            <w:noWrap w:val="0"/>
            <w:vAlign w:val="center"/>
          </w:tcPr>
          <w:p w14:paraId="4A50A08F">
            <w:pPr>
              <w:spacing w:line="320" w:lineRule="exact"/>
              <w:ind w:firstLine="0" w:firstLineChars="0"/>
              <w:jc w:val="center"/>
              <w:rPr>
                <w:rFonts w:hint="eastAsia"/>
                <w:color w:val="auto"/>
                <w:sz w:val="21"/>
                <w:szCs w:val="21"/>
              </w:rPr>
            </w:pPr>
            <w:r>
              <w:rPr>
                <w:rFonts w:hint="eastAsia"/>
                <w:color w:val="auto"/>
                <w:sz w:val="21"/>
                <w:szCs w:val="21"/>
              </w:rPr>
              <w:t>/</w:t>
            </w:r>
          </w:p>
        </w:tc>
        <w:tc>
          <w:tcPr>
            <w:tcW w:w="1559" w:type="dxa"/>
            <w:noWrap w:val="0"/>
            <w:vAlign w:val="center"/>
          </w:tcPr>
          <w:p w14:paraId="112B33C6">
            <w:pPr>
              <w:spacing w:line="320" w:lineRule="exact"/>
              <w:ind w:firstLine="0" w:firstLineChars="0"/>
              <w:jc w:val="center"/>
              <w:rPr>
                <w:rFonts w:hint="eastAsia"/>
                <w:color w:val="auto"/>
                <w:sz w:val="21"/>
                <w:szCs w:val="21"/>
              </w:rPr>
            </w:pPr>
            <w:r>
              <w:rPr>
                <w:rFonts w:hint="eastAsia"/>
                <w:color w:val="auto"/>
                <w:sz w:val="21"/>
                <w:szCs w:val="21"/>
              </w:rPr>
              <w:t>0.</w:t>
            </w:r>
            <w:r>
              <w:rPr>
                <w:rFonts w:hint="eastAsia"/>
                <w:color w:val="auto"/>
                <w:sz w:val="21"/>
                <w:szCs w:val="21"/>
                <w:lang w:val="en-US" w:eastAsia="zh-CN"/>
              </w:rPr>
              <w:t>0165</w:t>
            </w:r>
            <w:r>
              <w:rPr>
                <w:rFonts w:hint="eastAsia"/>
                <w:color w:val="auto"/>
                <w:sz w:val="21"/>
                <w:szCs w:val="21"/>
              </w:rPr>
              <w:t>t/a</w:t>
            </w:r>
          </w:p>
        </w:tc>
        <w:tc>
          <w:tcPr>
            <w:tcW w:w="1761" w:type="dxa"/>
            <w:noWrap w:val="0"/>
            <w:vAlign w:val="center"/>
          </w:tcPr>
          <w:p w14:paraId="384836B2">
            <w:pPr>
              <w:spacing w:line="320" w:lineRule="exact"/>
              <w:ind w:firstLine="0" w:firstLineChars="0"/>
              <w:jc w:val="center"/>
              <w:rPr>
                <w:rFonts w:hint="eastAsia"/>
                <w:color w:val="auto"/>
                <w:sz w:val="21"/>
                <w:szCs w:val="21"/>
              </w:rPr>
            </w:pPr>
            <w:r>
              <w:rPr>
                <w:rFonts w:hint="eastAsia"/>
                <w:color w:val="auto"/>
                <w:sz w:val="21"/>
                <w:szCs w:val="21"/>
              </w:rPr>
              <w:t>/</w:t>
            </w:r>
          </w:p>
        </w:tc>
        <w:tc>
          <w:tcPr>
            <w:tcW w:w="1642" w:type="dxa"/>
            <w:noWrap w:val="0"/>
            <w:vAlign w:val="center"/>
          </w:tcPr>
          <w:p w14:paraId="272412ED">
            <w:pPr>
              <w:spacing w:line="320" w:lineRule="exact"/>
              <w:ind w:firstLine="0" w:firstLineChars="0"/>
              <w:jc w:val="center"/>
              <w:rPr>
                <w:rFonts w:hint="eastAsia"/>
                <w:color w:val="auto"/>
                <w:sz w:val="21"/>
                <w:szCs w:val="21"/>
              </w:rPr>
            </w:pPr>
            <w:r>
              <w:rPr>
                <w:rFonts w:hint="eastAsia"/>
                <w:color w:val="auto"/>
                <w:sz w:val="21"/>
                <w:szCs w:val="21"/>
              </w:rPr>
              <w:t>0.</w:t>
            </w:r>
            <w:r>
              <w:rPr>
                <w:rFonts w:hint="eastAsia"/>
                <w:color w:val="auto"/>
                <w:sz w:val="21"/>
                <w:szCs w:val="21"/>
                <w:lang w:val="en-US" w:eastAsia="zh-CN"/>
              </w:rPr>
              <w:t>0165</w:t>
            </w:r>
            <w:r>
              <w:rPr>
                <w:rFonts w:hint="eastAsia"/>
                <w:color w:val="auto"/>
                <w:sz w:val="21"/>
                <w:szCs w:val="21"/>
              </w:rPr>
              <w:t>t/a</w:t>
            </w:r>
          </w:p>
        </w:tc>
        <w:tc>
          <w:tcPr>
            <w:tcW w:w="1143" w:type="dxa"/>
            <w:noWrap w:val="0"/>
            <w:vAlign w:val="center"/>
          </w:tcPr>
          <w:p w14:paraId="7CF2A09A">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0</w:t>
            </w:r>
          </w:p>
        </w:tc>
      </w:tr>
      <w:tr w14:paraId="6ECCE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restart"/>
            <w:noWrap w:val="0"/>
            <w:vAlign w:val="center"/>
          </w:tcPr>
          <w:p w14:paraId="3E7696FB">
            <w:pPr>
              <w:spacing w:line="32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1501" w:type="dxa"/>
            <w:noWrap w:val="0"/>
            <w:vAlign w:val="center"/>
          </w:tcPr>
          <w:p w14:paraId="1BEA0F43">
            <w:pPr>
              <w:spacing w:line="320" w:lineRule="exact"/>
              <w:ind w:firstLine="0" w:firstLineChars="0"/>
              <w:jc w:val="center"/>
              <w:rPr>
                <w:rFonts w:hint="eastAsia"/>
                <w:color w:val="auto"/>
                <w:sz w:val="21"/>
                <w:szCs w:val="21"/>
              </w:rPr>
            </w:pPr>
            <w:r>
              <w:rPr>
                <w:rFonts w:hint="eastAsia"/>
                <w:color w:val="auto"/>
                <w:sz w:val="21"/>
                <w:szCs w:val="21"/>
              </w:rPr>
              <w:t>CODcr</w:t>
            </w:r>
          </w:p>
        </w:tc>
        <w:tc>
          <w:tcPr>
            <w:tcW w:w="1701" w:type="dxa"/>
            <w:noWrap w:val="0"/>
            <w:vAlign w:val="center"/>
          </w:tcPr>
          <w:p w14:paraId="26D8D427">
            <w:pPr>
              <w:spacing w:line="240" w:lineRule="auto"/>
              <w:ind w:firstLine="0" w:firstLineChars="0"/>
              <w:jc w:val="center"/>
              <w:rPr>
                <w:rFonts w:hint="eastAsia"/>
                <w:color w:val="auto"/>
                <w:sz w:val="21"/>
                <w:szCs w:val="21"/>
              </w:rPr>
            </w:pPr>
            <w:r>
              <w:rPr>
                <w:rFonts w:hint="eastAsia"/>
                <w:color w:val="auto"/>
                <w:kern w:val="0"/>
                <w:sz w:val="21"/>
                <w:szCs w:val="21"/>
              </w:rPr>
              <w:t>0.</w:t>
            </w:r>
            <w:r>
              <w:rPr>
                <w:rFonts w:hint="eastAsia"/>
                <w:color w:val="auto"/>
                <w:kern w:val="0"/>
                <w:sz w:val="21"/>
                <w:szCs w:val="21"/>
                <w:lang w:val="en-US" w:eastAsia="zh-CN"/>
              </w:rPr>
              <w:t>273</w:t>
            </w:r>
            <w:r>
              <w:rPr>
                <w:rFonts w:hint="eastAsia"/>
                <w:color w:val="auto"/>
                <w:kern w:val="0"/>
                <w:sz w:val="21"/>
                <w:szCs w:val="21"/>
              </w:rPr>
              <w:t>1</w:t>
            </w:r>
            <w:r>
              <w:rPr>
                <w:rFonts w:hint="eastAsia"/>
                <w:color w:val="auto"/>
                <w:sz w:val="21"/>
                <w:szCs w:val="21"/>
              </w:rPr>
              <w:t>t/a</w:t>
            </w:r>
          </w:p>
        </w:tc>
        <w:tc>
          <w:tcPr>
            <w:tcW w:w="1276" w:type="dxa"/>
            <w:noWrap w:val="0"/>
            <w:vAlign w:val="center"/>
          </w:tcPr>
          <w:p w14:paraId="39ED803F">
            <w:pPr>
              <w:spacing w:line="320" w:lineRule="exact"/>
              <w:ind w:firstLine="0" w:firstLineChars="0"/>
              <w:jc w:val="center"/>
              <w:rPr>
                <w:rFonts w:hint="eastAsia"/>
                <w:color w:val="auto"/>
                <w:sz w:val="21"/>
                <w:szCs w:val="21"/>
              </w:rPr>
            </w:pPr>
            <w:r>
              <w:rPr>
                <w:rFonts w:hint="eastAsia"/>
                <w:color w:val="auto"/>
                <w:sz w:val="21"/>
                <w:szCs w:val="21"/>
              </w:rPr>
              <w:t>/</w:t>
            </w:r>
          </w:p>
        </w:tc>
        <w:tc>
          <w:tcPr>
            <w:tcW w:w="1701" w:type="dxa"/>
            <w:noWrap w:val="0"/>
            <w:vAlign w:val="center"/>
          </w:tcPr>
          <w:p w14:paraId="26CF215B">
            <w:pPr>
              <w:spacing w:line="320" w:lineRule="exact"/>
              <w:ind w:firstLine="0" w:firstLineChars="0"/>
              <w:jc w:val="center"/>
              <w:rPr>
                <w:rFonts w:hint="eastAsia"/>
                <w:color w:val="auto"/>
                <w:sz w:val="21"/>
                <w:szCs w:val="21"/>
              </w:rPr>
            </w:pPr>
            <w:r>
              <w:rPr>
                <w:rFonts w:hint="eastAsia"/>
                <w:color w:val="auto"/>
                <w:sz w:val="21"/>
                <w:szCs w:val="21"/>
              </w:rPr>
              <w:t>/</w:t>
            </w:r>
          </w:p>
        </w:tc>
        <w:tc>
          <w:tcPr>
            <w:tcW w:w="1559" w:type="dxa"/>
            <w:noWrap w:val="0"/>
            <w:vAlign w:val="center"/>
          </w:tcPr>
          <w:p w14:paraId="76733C2E">
            <w:pPr>
              <w:spacing w:line="240" w:lineRule="auto"/>
              <w:ind w:firstLine="0" w:firstLineChars="0"/>
              <w:jc w:val="center"/>
              <w:rPr>
                <w:rFonts w:hint="eastAsia"/>
                <w:color w:val="auto"/>
                <w:sz w:val="21"/>
                <w:szCs w:val="21"/>
              </w:rPr>
            </w:pPr>
            <w:r>
              <w:rPr>
                <w:rFonts w:hint="eastAsia"/>
                <w:color w:val="auto"/>
                <w:kern w:val="0"/>
                <w:sz w:val="21"/>
                <w:szCs w:val="21"/>
              </w:rPr>
              <w:t>0.</w:t>
            </w:r>
            <w:r>
              <w:rPr>
                <w:rFonts w:hint="eastAsia"/>
                <w:color w:val="auto"/>
                <w:kern w:val="0"/>
                <w:sz w:val="21"/>
                <w:szCs w:val="21"/>
                <w:lang w:val="en-US" w:eastAsia="zh-CN"/>
              </w:rPr>
              <w:t>273</w:t>
            </w:r>
            <w:r>
              <w:rPr>
                <w:rFonts w:hint="eastAsia"/>
                <w:color w:val="auto"/>
                <w:kern w:val="0"/>
                <w:sz w:val="21"/>
                <w:szCs w:val="21"/>
              </w:rPr>
              <w:t>1</w:t>
            </w:r>
            <w:r>
              <w:rPr>
                <w:rFonts w:hint="eastAsia"/>
                <w:color w:val="auto"/>
                <w:sz w:val="21"/>
                <w:szCs w:val="21"/>
              </w:rPr>
              <w:t>t/a</w:t>
            </w:r>
          </w:p>
        </w:tc>
        <w:tc>
          <w:tcPr>
            <w:tcW w:w="1761" w:type="dxa"/>
            <w:noWrap w:val="0"/>
            <w:vAlign w:val="center"/>
          </w:tcPr>
          <w:p w14:paraId="71207B01">
            <w:pPr>
              <w:spacing w:line="320" w:lineRule="exact"/>
              <w:ind w:firstLine="0" w:firstLineChars="0"/>
              <w:jc w:val="center"/>
              <w:rPr>
                <w:rFonts w:hint="eastAsia"/>
                <w:color w:val="auto"/>
                <w:sz w:val="21"/>
                <w:szCs w:val="21"/>
              </w:rPr>
            </w:pPr>
            <w:r>
              <w:rPr>
                <w:rFonts w:hint="eastAsia"/>
                <w:color w:val="auto"/>
                <w:sz w:val="21"/>
                <w:szCs w:val="21"/>
              </w:rPr>
              <w:t>/</w:t>
            </w:r>
          </w:p>
        </w:tc>
        <w:tc>
          <w:tcPr>
            <w:tcW w:w="1642" w:type="dxa"/>
            <w:noWrap w:val="0"/>
            <w:vAlign w:val="center"/>
          </w:tcPr>
          <w:p w14:paraId="2A20202B">
            <w:pPr>
              <w:spacing w:line="240" w:lineRule="auto"/>
              <w:ind w:firstLine="0" w:firstLineChars="0"/>
              <w:jc w:val="center"/>
              <w:rPr>
                <w:rFonts w:hint="eastAsia"/>
                <w:color w:val="auto"/>
                <w:sz w:val="21"/>
                <w:szCs w:val="21"/>
              </w:rPr>
            </w:pPr>
            <w:r>
              <w:rPr>
                <w:rFonts w:hint="eastAsia"/>
                <w:color w:val="auto"/>
                <w:kern w:val="0"/>
                <w:sz w:val="21"/>
                <w:szCs w:val="21"/>
              </w:rPr>
              <w:t>0.</w:t>
            </w:r>
            <w:r>
              <w:rPr>
                <w:rFonts w:hint="eastAsia"/>
                <w:color w:val="auto"/>
                <w:kern w:val="0"/>
                <w:sz w:val="21"/>
                <w:szCs w:val="21"/>
                <w:lang w:val="en-US" w:eastAsia="zh-CN"/>
              </w:rPr>
              <w:t>273</w:t>
            </w:r>
            <w:r>
              <w:rPr>
                <w:rFonts w:hint="eastAsia"/>
                <w:color w:val="auto"/>
                <w:kern w:val="0"/>
                <w:sz w:val="21"/>
                <w:szCs w:val="21"/>
              </w:rPr>
              <w:t>1</w:t>
            </w:r>
            <w:r>
              <w:rPr>
                <w:rFonts w:hint="eastAsia"/>
                <w:color w:val="auto"/>
                <w:sz w:val="21"/>
                <w:szCs w:val="21"/>
              </w:rPr>
              <w:t>t/a</w:t>
            </w:r>
          </w:p>
        </w:tc>
        <w:tc>
          <w:tcPr>
            <w:tcW w:w="1143" w:type="dxa"/>
            <w:noWrap w:val="0"/>
            <w:vAlign w:val="center"/>
          </w:tcPr>
          <w:p w14:paraId="0CCC8F7F">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0</w:t>
            </w:r>
          </w:p>
        </w:tc>
      </w:tr>
      <w:tr w14:paraId="39A77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tcBorders>
              <w:bottom w:val="single" w:color="000000" w:sz="6" w:space="0"/>
            </w:tcBorders>
            <w:noWrap w:val="0"/>
            <w:vAlign w:val="center"/>
          </w:tcPr>
          <w:p w14:paraId="4DE603DC">
            <w:pPr>
              <w:spacing w:line="320" w:lineRule="exact"/>
              <w:ind w:firstLine="0" w:firstLineChars="0"/>
              <w:jc w:val="center"/>
              <w:rPr>
                <w:rFonts w:hint="eastAsia"/>
                <w:color w:val="000000" w:themeColor="text1"/>
                <w:sz w:val="21"/>
                <w:szCs w:val="21"/>
                <w14:textFill>
                  <w14:solidFill>
                    <w14:schemeClr w14:val="tx1"/>
                  </w14:solidFill>
                </w14:textFill>
              </w:rPr>
            </w:pPr>
          </w:p>
        </w:tc>
        <w:tc>
          <w:tcPr>
            <w:tcW w:w="1501" w:type="dxa"/>
            <w:tcBorders>
              <w:bottom w:val="single" w:color="000000" w:sz="6" w:space="0"/>
            </w:tcBorders>
            <w:shd w:val="clear" w:color="auto" w:fill="auto"/>
            <w:noWrap w:val="0"/>
            <w:vAlign w:val="center"/>
          </w:tcPr>
          <w:p w14:paraId="6CEAA0FA">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NH</w:t>
            </w:r>
            <w:r>
              <w:rPr>
                <w:rFonts w:hint="eastAsia"/>
                <w:color w:val="auto"/>
                <w:sz w:val="21"/>
                <w:szCs w:val="21"/>
                <w:vertAlign w:val="subscript"/>
              </w:rPr>
              <w:t>3</w:t>
            </w:r>
            <w:r>
              <w:rPr>
                <w:rFonts w:hint="eastAsia"/>
                <w:color w:val="auto"/>
                <w:sz w:val="21"/>
                <w:szCs w:val="21"/>
              </w:rPr>
              <w:t>-N</w:t>
            </w:r>
          </w:p>
        </w:tc>
        <w:tc>
          <w:tcPr>
            <w:tcW w:w="1701" w:type="dxa"/>
            <w:shd w:val="clear" w:color="auto" w:fill="auto"/>
            <w:noWrap w:val="0"/>
            <w:vAlign w:val="center"/>
          </w:tcPr>
          <w:p w14:paraId="40863DE5">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0"/>
                <w:sz w:val="21"/>
                <w:szCs w:val="21"/>
                <w:lang w:val="en-US" w:eastAsia="zh-CN"/>
              </w:rPr>
              <w:t>0.023</w:t>
            </w:r>
            <w:r>
              <w:rPr>
                <w:rFonts w:hint="eastAsia"/>
                <w:color w:val="auto"/>
                <w:sz w:val="21"/>
                <w:szCs w:val="21"/>
              </w:rPr>
              <w:t>t/a</w:t>
            </w:r>
          </w:p>
        </w:tc>
        <w:tc>
          <w:tcPr>
            <w:tcW w:w="1276" w:type="dxa"/>
            <w:shd w:val="clear" w:color="auto" w:fill="auto"/>
            <w:noWrap w:val="0"/>
            <w:vAlign w:val="center"/>
          </w:tcPr>
          <w:p w14:paraId="35F9F871">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w:t>
            </w:r>
          </w:p>
        </w:tc>
        <w:tc>
          <w:tcPr>
            <w:tcW w:w="1701" w:type="dxa"/>
            <w:shd w:val="clear" w:color="auto" w:fill="auto"/>
            <w:noWrap w:val="0"/>
            <w:vAlign w:val="center"/>
          </w:tcPr>
          <w:p w14:paraId="396E905D">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w:t>
            </w:r>
          </w:p>
        </w:tc>
        <w:tc>
          <w:tcPr>
            <w:tcW w:w="1559" w:type="dxa"/>
            <w:shd w:val="clear" w:color="auto" w:fill="auto"/>
            <w:noWrap w:val="0"/>
            <w:vAlign w:val="center"/>
          </w:tcPr>
          <w:p w14:paraId="1F15FD86">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0"/>
                <w:sz w:val="21"/>
                <w:szCs w:val="21"/>
                <w:lang w:val="en-US" w:eastAsia="zh-CN"/>
              </w:rPr>
              <w:t>0.023</w:t>
            </w:r>
            <w:r>
              <w:rPr>
                <w:rFonts w:hint="eastAsia"/>
                <w:color w:val="auto"/>
                <w:sz w:val="21"/>
                <w:szCs w:val="21"/>
              </w:rPr>
              <w:t>t/a</w:t>
            </w:r>
          </w:p>
        </w:tc>
        <w:tc>
          <w:tcPr>
            <w:tcW w:w="1761" w:type="dxa"/>
            <w:shd w:val="clear" w:color="auto" w:fill="auto"/>
            <w:noWrap w:val="0"/>
            <w:vAlign w:val="center"/>
          </w:tcPr>
          <w:p w14:paraId="5CE62C0B">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w:t>
            </w:r>
          </w:p>
        </w:tc>
        <w:tc>
          <w:tcPr>
            <w:tcW w:w="1642" w:type="dxa"/>
            <w:shd w:val="clear" w:color="auto" w:fill="auto"/>
            <w:noWrap w:val="0"/>
            <w:vAlign w:val="center"/>
          </w:tcPr>
          <w:p w14:paraId="5CF88ACA">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0"/>
                <w:sz w:val="21"/>
                <w:szCs w:val="21"/>
                <w:lang w:val="en-US" w:eastAsia="zh-CN"/>
              </w:rPr>
              <w:t>0.023</w:t>
            </w:r>
            <w:r>
              <w:rPr>
                <w:rFonts w:hint="eastAsia"/>
                <w:color w:val="auto"/>
                <w:sz w:val="21"/>
                <w:szCs w:val="21"/>
              </w:rPr>
              <w:t>t/a</w:t>
            </w:r>
          </w:p>
        </w:tc>
        <w:tc>
          <w:tcPr>
            <w:tcW w:w="1143" w:type="dxa"/>
            <w:shd w:val="clear" w:color="auto" w:fill="auto"/>
            <w:noWrap w:val="0"/>
            <w:vAlign w:val="center"/>
          </w:tcPr>
          <w:p w14:paraId="7C3778CC">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w:t>
            </w:r>
          </w:p>
        </w:tc>
      </w:tr>
      <w:tr w14:paraId="63089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tcBorders>
              <w:bottom w:val="single" w:color="000000" w:sz="6" w:space="0"/>
            </w:tcBorders>
            <w:noWrap w:val="0"/>
            <w:vAlign w:val="center"/>
          </w:tcPr>
          <w:p w14:paraId="3464D875">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一般工业固体废物</w:t>
            </w:r>
          </w:p>
        </w:tc>
        <w:tc>
          <w:tcPr>
            <w:tcW w:w="1501" w:type="dxa"/>
            <w:tcBorders>
              <w:bottom w:val="single" w:color="000000" w:sz="6" w:space="0"/>
            </w:tcBorders>
            <w:noWrap w:val="0"/>
            <w:vAlign w:val="center"/>
          </w:tcPr>
          <w:p w14:paraId="23155370">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废零部件</w:t>
            </w:r>
          </w:p>
        </w:tc>
        <w:tc>
          <w:tcPr>
            <w:tcW w:w="1701" w:type="dxa"/>
            <w:noWrap w:val="0"/>
            <w:vAlign w:val="center"/>
          </w:tcPr>
          <w:p w14:paraId="20B54D48">
            <w:pPr>
              <w:pStyle w:val="42"/>
              <w:ind w:firstLine="0" w:firstLineChars="0"/>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u w:val="none"/>
                <w:lang w:val="en-US" w:eastAsia="zh-CN"/>
              </w:rPr>
              <w:t>0.5</w:t>
            </w:r>
            <w:r>
              <w:rPr>
                <w:rFonts w:hint="default" w:ascii="Times New Roman" w:hAnsi="Times New Roman" w:cs="Times New Roman"/>
                <w:color w:val="auto"/>
                <w:sz w:val="21"/>
                <w:szCs w:val="21"/>
              </w:rPr>
              <w:t>t/a</w:t>
            </w:r>
          </w:p>
        </w:tc>
        <w:tc>
          <w:tcPr>
            <w:tcW w:w="1276" w:type="dxa"/>
            <w:noWrap w:val="0"/>
            <w:vAlign w:val="center"/>
          </w:tcPr>
          <w:p w14:paraId="03C5999C">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1701" w:type="dxa"/>
            <w:noWrap w:val="0"/>
            <w:vAlign w:val="center"/>
          </w:tcPr>
          <w:p w14:paraId="0BF34DC8">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1559" w:type="dxa"/>
            <w:noWrap w:val="0"/>
            <w:vAlign w:val="center"/>
          </w:tcPr>
          <w:p w14:paraId="0E8B2B73">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0.5</w:t>
            </w:r>
            <w:r>
              <w:rPr>
                <w:rFonts w:hint="default" w:ascii="Times New Roman" w:hAnsi="Times New Roman" w:cs="Times New Roman"/>
                <w:color w:val="auto"/>
                <w:sz w:val="21"/>
                <w:szCs w:val="21"/>
              </w:rPr>
              <w:t>t/a</w:t>
            </w:r>
          </w:p>
        </w:tc>
        <w:tc>
          <w:tcPr>
            <w:tcW w:w="1761" w:type="dxa"/>
            <w:noWrap w:val="0"/>
            <w:vAlign w:val="center"/>
          </w:tcPr>
          <w:p w14:paraId="01309955">
            <w:pPr>
              <w:spacing w:line="320" w:lineRule="exact"/>
              <w:ind w:firstLine="0" w:firstLineChars="0"/>
              <w:jc w:val="center"/>
              <w:rPr>
                <w:rFonts w:hint="eastAsia" w:ascii="Times New Roman" w:hAnsi="Times New Roman" w:eastAsia="宋体" w:cs="Times New Roman"/>
                <w:color w:val="auto"/>
                <w:sz w:val="21"/>
                <w:szCs w:val="21"/>
              </w:rPr>
            </w:pPr>
            <w:r>
              <w:rPr>
                <w:rFonts w:hint="eastAsia"/>
                <w:color w:val="auto"/>
                <w:sz w:val="21"/>
                <w:szCs w:val="21"/>
              </w:rPr>
              <w:t>/</w:t>
            </w:r>
          </w:p>
        </w:tc>
        <w:tc>
          <w:tcPr>
            <w:tcW w:w="1642" w:type="dxa"/>
            <w:noWrap w:val="0"/>
            <w:vAlign w:val="center"/>
          </w:tcPr>
          <w:p w14:paraId="33C311FC">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0.5</w:t>
            </w:r>
            <w:r>
              <w:rPr>
                <w:rFonts w:hint="default" w:ascii="Times New Roman" w:hAnsi="Times New Roman" w:cs="Times New Roman"/>
                <w:color w:val="auto"/>
                <w:sz w:val="21"/>
                <w:szCs w:val="21"/>
              </w:rPr>
              <w:t>t/a</w:t>
            </w:r>
          </w:p>
        </w:tc>
        <w:tc>
          <w:tcPr>
            <w:tcW w:w="1143" w:type="dxa"/>
            <w:noWrap w:val="0"/>
            <w:vAlign w:val="center"/>
          </w:tcPr>
          <w:p w14:paraId="649751CA">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w:t>
            </w:r>
          </w:p>
        </w:tc>
      </w:tr>
      <w:tr w14:paraId="0EE5E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restart"/>
            <w:tcBorders>
              <w:top w:val="single" w:color="000000" w:sz="6" w:space="0"/>
            </w:tcBorders>
            <w:noWrap w:val="0"/>
            <w:vAlign w:val="center"/>
          </w:tcPr>
          <w:p w14:paraId="19B8E00F">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危险废物</w:t>
            </w:r>
          </w:p>
        </w:tc>
        <w:tc>
          <w:tcPr>
            <w:tcW w:w="1501" w:type="dxa"/>
            <w:tcBorders>
              <w:top w:val="single" w:color="000000" w:sz="6" w:space="0"/>
            </w:tcBorders>
            <w:noWrap w:val="0"/>
            <w:vAlign w:val="center"/>
          </w:tcPr>
          <w:p w14:paraId="27035E94">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rPr>
              <w:t>废机油</w:t>
            </w:r>
          </w:p>
        </w:tc>
        <w:tc>
          <w:tcPr>
            <w:tcW w:w="1701" w:type="dxa"/>
            <w:noWrap w:val="0"/>
            <w:vAlign w:val="center"/>
          </w:tcPr>
          <w:p w14:paraId="3780E86F">
            <w:pPr>
              <w:pStyle w:val="42"/>
              <w:ind w:firstLine="0" w:firstLineChars="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8</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noWrap w:val="0"/>
            <w:vAlign w:val="center"/>
          </w:tcPr>
          <w:p w14:paraId="5BA4F77B">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1701" w:type="dxa"/>
            <w:noWrap w:val="0"/>
            <w:vAlign w:val="center"/>
          </w:tcPr>
          <w:p w14:paraId="0DC057D3">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1559" w:type="dxa"/>
            <w:noWrap w:val="0"/>
            <w:vAlign w:val="center"/>
          </w:tcPr>
          <w:p w14:paraId="2F47F06B">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8</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noWrap w:val="0"/>
            <w:vAlign w:val="center"/>
          </w:tcPr>
          <w:p w14:paraId="59319686">
            <w:pPr>
              <w:spacing w:line="320" w:lineRule="exact"/>
              <w:ind w:firstLine="0" w:firstLineChars="0"/>
              <w:jc w:val="center"/>
              <w:rPr>
                <w:rFonts w:hint="eastAsia" w:ascii="Times New Roman" w:hAnsi="Times New Roman" w:eastAsia="宋体" w:cs="Times New Roman"/>
                <w:color w:val="auto"/>
                <w:sz w:val="21"/>
                <w:szCs w:val="21"/>
              </w:rPr>
            </w:pPr>
            <w:r>
              <w:rPr>
                <w:rFonts w:hint="eastAsia"/>
                <w:color w:val="auto"/>
                <w:sz w:val="21"/>
                <w:szCs w:val="21"/>
              </w:rPr>
              <w:t>/</w:t>
            </w:r>
          </w:p>
        </w:tc>
        <w:tc>
          <w:tcPr>
            <w:tcW w:w="1642" w:type="dxa"/>
            <w:noWrap w:val="0"/>
            <w:vAlign w:val="center"/>
          </w:tcPr>
          <w:p w14:paraId="28340610">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8</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noWrap w:val="0"/>
            <w:vAlign w:val="center"/>
          </w:tcPr>
          <w:p w14:paraId="5D2A81D1">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w:t>
            </w:r>
          </w:p>
        </w:tc>
      </w:tr>
      <w:tr w14:paraId="624EA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13F360F7">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noWrap w:val="0"/>
            <w:vAlign w:val="center"/>
          </w:tcPr>
          <w:p w14:paraId="739D9A5A">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rPr>
              <w:t>废</w:t>
            </w:r>
            <w:r>
              <w:rPr>
                <w:rFonts w:hint="eastAsia" w:ascii="Times New Roman" w:hAnsi="Times New Roman" w:eastAsia="宋体" w:cs="Times New Roman"/>
                <w:color w:val="auto"/>
                <w:u w:val="none"/>
                <w:lang w:val="en-US" w:eastAsia="zh-CN"/>
              </w:rPr>
              <w:t>机</w:t>
            </w:r>
            <w:r>
              <w:rPr>
                <w:rFonts w:hint="eastAsia" w:ascii="Times New Roman" w:hAnsi="Times New Roman" w:eastAsia="宋体" w:cs="Times New Roman"/>
                <w:color w:val="auto"/>
                <w:u w:val="none"/>
              </w:rPr>
              <w:t>油桶</w:t>
            </w:r>
            <w:r>
              <w:rPr>
                <w:rFonts w:hint="eastAsia"/>
                <w:color w:val="auto"/>
                <w:lang w:eastAsia="zh-CN"/>
              </w:rPr>
              <w:t>、</w:t>
            </w:r>
            <w:r>
              <w:rPr>
                <w:rFonts w:hint="eastAsia"/>
                <w:color w:val="auto"/>
                <w:lang w:val="en-US" w:eastAsia="zh-CN"/>
              </w:rPr>
              <w:t>机油格</w:t>
            </w:r>
          </w:p>
        </w:tc>
        <w:tc>
          <w:tcPr>
            <w:tcW w:w="1701" w:type="dxa"/>
            <w:noWrap w:val="0"/>
            <w:vAlign w:val="center"/>
          </w:tcPr>
          <w:p w14:paraId="28AA708C">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0.4</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noWrap w:val="0"/>
            <w:vAlign w:val="center"/>
          </w:tcPr>
          <w:p w14:paraId="38E81813">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1701" w:type="dxa"/>
            <w:noWrap w:val="0"/>
            <w:vAlign w:val="center"/>
          </w:tcPr>
          <w:p w14:paraId="579C5E9C">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1559" w:type="dxa"/>
            <w:noWrap w:val="0"/>
            <w:vAlign w:val="center"/>
          </w:tcPr>
          <w:p w14:paraId="6D368AF2">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0.4</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noWrap w:val="0"/>
            <w:vAlign w:val="center"/>
          </w:tcPr>
          <w:p w14:paraId="2330E2DA">
            <w:pPr>
              <w:spacing w:line="320" w:lineRule="exact"/>
              <w:ind w:firstLine="0" w:firstLineChars="0"/>
              <w:jc w:val="center"/>
              <w:rPr>
                <w:rFonts w:hint="eastAsia" w:ascii="Times New Roman" w:hAnsi="Times New Roman" w:eastAsia="宋体" w:cs="Times New Roman"/>
                <w:color w:val="auto"/>
                <w:sz w:val="21"/>
                <w:szCs w:val="21"/>
              </w:rPr>
            </w:pPr>
            <w:r>
              <w:rPr>
                <w:rFonts w:hint="eastAsia"/>
                <w:color w:val="auto"/>
                <w:sz w:val="21"/>
                <w:szCs w:val="21"/>
              </w:rPr>
              <w:t>/</w:t>
            </w:r>
          </w:p>
        </w:tc>
        <w:tc>
          <w:tcPr>
            <w:tcW w:w="1642" w:type="dxa"/>
            <w:noWrap w:val="0"/>
            <w:vAlign w:val="center"/>
          </w:tcPr>
          <w:p w14:paraId="6453A3C0">
            <w:pPr>
              <w:pStyle w:val="42"/>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u w:val="none"/>
                <w:lang w:val="en-US" w:eastAsia="zh-CN"/>
              </w:rPr>
              <w:t>0.4</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noWrap w:val="0"/>
            <w:vAlign w:val="center"/>
          </w:tcPr>
          <w:p w14:paraId="438E221C">
            <w:pPr>
              <w:spacing w:line="320" w:lineRule="exac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w:t>
            </w:r>
          </w:p>
        </w:tc>
      </w:tr>
      <w:tr w14:paraId="03A77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0C5FCD62">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bottom w:val="single" w:color="000000" w:sz="6" w:space="0"/>
            </w:tcBorders>
            <w:noWrap w:val="0"/>
            <w:vAlign w:val="center"/>
          </w:tcPr>
          <w:p w14:paraId="4C96933A">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color w:val="auto"/>
              </w:rPr>
              <w:t>废</w:t>
            </w:r>
            <w:r>
              <w:rPr>
                <w:rFonts w:hint="eastAsia"/>
                <w:color w:val="auto"/>
              </w:rPr>
              <w:t>油漆</w:t>
            </w:r>
            <w:r>
              <w:rPr>
                <w:color w:val="auto"/>
              </w:rPr>
              <w:t>桶</w:t>
            </w:r>
            <w:r>
              <w:rPr>
                <w:rFonts w:hint="eastAsia"/>
                <w:color w:val="auto"/>
              </w:rPr>
              <w:t>、废</w:t>
            </w:r>
            <w:r>
              <w:rPr>
                <w:rFonts w:hint="eastAsia"/>
                <w:color w:val="auto"/>
                <w:lang w:eastAsia="zh-CN"/>
              </w:rPr>
              <w:t>稀释剂</w:t>
            </w:r>
            <w:r>
              <w:rPr>
                <w:rFonts w:hint="eastAsia"/>
                <w:color w:val="auto"/>
              </w:rPr>
              <w:t>桶</w:t>
            </w:r>
          </w:p>
        </w:tc>
        <w:tc>
          <w:tcPr>
            <w:tcW w:w="1701" w:type="dxa"/>
            <w:tcBorders>
              <w:bottom w:val="single" w:color="000000" w:sz="6" w:space="0"/>
            </w:tcBorders>
            <w:noWrap w:val="0"/>
            <w:vAlign w:val="center"/>
          </w:tcPr>
          <w:p w14:paraId="5094861B">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rPr>
              <w:t>0.</w:t>
            </w:r>
            <w:r>
              <w:rPr>
                <w:rFonts w:hint="eastAsia" w:ascii="Times New Roman" w:hAnsi="Times New Roman" w:eastAsia="宋体" w:cs="Times New Roman"/>
                <w:color w:val="auto"/>
                <w:u w:val="none"/>
                <w:lang w:val="en-US" w:eastAsia="zh-CN"/>
              </w:rPr>
              <w:t>3</w:t>
            </w:r>
            <w:r>
              <w:rPr>
                <w:rFonts w:hint="eastAsia" w:ascii="Times New Roman" w:hAnsi="Times New Roman" w:cs="Times New Roman"/>
                <w:color w:val="auto"/>
                <w:u w:val="none"/>
                <w:lang w:val="en-US" w:eastAsia="zh-CN"/>
              </w:rPr>
              <w:t>65</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bottom w:val="single" w:color="000000" w:sz="6" w:space="0"/>
            </w:tcBorders>
            <w:noWrap w:val="0"/>
            <w:vAlign w:val="center"/>
          </w:tcPr>
          <w:p w14:paraId="4DE19F25">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bottom w:val="single" w:color="000000" w:sz="6" w:space="0"/>
            </w:tcBorders>
            <w:noWrap w:val="0"/>
            <w:vAlign w:val="center"/>
          </w:tcPr>
          <w:p w14:paraId="05BA060F">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bottom w:val="single" w:color="000000" w:sz="6" w:space="0"/>
            </w:tcBorders>
            <w:noWrap w:val="0"/>
            <w:vAlign w:val="center"/>
          </w:tcPr>
          <w:p w14:paraId="1E3F3A04">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rPr>
              <w:t>0.</w:t>
            </w:r>
            <w:r>
              <w:rPr>
                <w:rFonts w:hint="eastAsia" w:ascii="Times New Roman" w:hAnsi="Times New Roman" w:eastAsia="宋体" w:cs="Times New Roman"/>
                <w:color w:val="auto"/>
                <w:u w:val="none"/>
                <w:lang w:val="en-US" w:eastAsia="zh-CN"/>
              </w:rPr>
              <w:t>3</w:t>
            </w:r>
            <w:r>
              <w:rPr>
                <w:rFonts w:hint="eastAsia" w:ascii="Times New Roman" w:hAnsi="Times New Roman" w:cs="Times New Roman"/>
                <w:color w:val="auto"/>
                <w:u w:val="none"/>
                <w:lang w:val="en-US" w:eastAsia="zh-CN"/>
              </w:rPr>
              <w:t>65</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bottom w:val="single" w:color="000000" w:sz="6" w:space="0"/>
            </w:tcBorders>
            <w:noWrap w:val="0"/>
            <w:vAlign w:val="center"/>
          </w:tcPr>
          <w:p w14:paraId="093AD98C">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42" w:type="dxa"/>
            <w:tcBorders>
              <w:bottom w:val="single" w:color="000000" w:sz="6" w:space="0"/>
            </w:tcBorders>
            <w:noWrap w:val="0"/>
            <w:vAlign w:val="center"/>
          </w:tcPr>
          <w:p w14:paraId="005ABE5E">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rPr>
              <w:t>0.</w:t>
            </w:r>
            <w:r>
              <w:rPr>
                <w:rFonts w:hint="eastAsia" w:ascii="Times New Roman" w:hAnsi="Times New Roman" w:eastAsia="宋体" w:cs="Times New Roman"/>
                <w:color w:val="auto"/>
                <w:u w:val="none"/>
                <w:lang w:val="en-US" w:eastAsia="zh-CN"/>
              </w:rPr>
              <w:t>3</w:t>
            </w:r>
            <w:r>
              <w:rPr>
                <w:rFonts w:hint="eastAsia" w:ascii="Times New Roman" w:hAnsi="Times New Roman" w:cs="Times New Roman"/>
                <w:color w:val="auto"/>
                <w:u w:val="none"/>
                <w:lang w:val="en-US" w:eastAsia="zh-CN"/>
              </w:rPr>
              <w:t>65</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bottom w:val="single" w:color="000000" w:sz="6" w:space="0"/>
            </w:tcBorders>
            <w:noWrap w:val="0"/>
            <w:vAlign w:val="top"/>
          </w:tcPr>
          <w:p w14:paraId="51B47C37">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2DF92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7F240724">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6C7FA96C">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lang w:val="en-US" w:eastAsia="zh-CN"/>
              </w:rPr>
              <w:t>废洗枪手废溶剂</w:t>
            </w:r>
          </w:p>
        </w:tc>
        <w:tc>
          <w:tcPr>
            <w:tcW w:w="1701" w:type="dxa"/>
            <w:tcBorders>
              <w:top w:val="single" w:color="000000" w:sz="6" w:space="0"/>
              <w:bottom w:val="single" w:color="000000" w:sz="6" w:space="0"/>
            </w:tcBorders>
            <w:noWrap w:val="0"/>
            <w:vAlign w:val="center"/>
          </w:tcPr>
          <w:p w14:paraId="59FD8361">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noWrap w:val="0"/>
            <w:vAlign w:val="center"/>
          </w:tcPr>
          <w:p w14:paraId="5CA7304D">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top w:val="single" w:color="000000" w:sz="6" w:space="0"/>
              <w:bottom w:val="single" w:color="000000" w:sz="6" w:space="0"/>
            </w:tcBorders>
            <w:noWrap w:val="0"/>
            <w:vAlign w:val="center"/>
          </w:tcPr>
          <w:p w14:paraId="2FB771B2">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top w:val="single" w:color="000000" w:sz="6" w:space="0"/>
              <w:bottom w:val="single" w:color="000000" w:sz="6" w:space="0"/>
            </w:tcBorders>
            <w:noWrap w:val="0"/>
            <w:vAlign w:val="center"/>
          </w:tcPr>
          <w:p w14:paraId="0A36F1ED">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noWrap w:val="0"/>
            <w:vAlign w:val="center"/>
          </w:tcPr>
          <w:p w14:paraId="7DFB4FF0">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42" w:type="dxa"/>
            <w:tcBorders>
              <w:top w:val="single" w:color="000000" w:sz="6" w:space="0"/>
              <w:bottom w:val="single" w:color="000000" w:sz="6" w:space="0"/>
            </w:tcBorders>
            <w:noWrap w:val="0"/>
            <w:vAlign w:val="center"/>
          </w:tcPr>
          <w:p w14:paraId="0C4A0685">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noWrap w:val="0"/>
            <w:vAlign w:val="top"/>
          </w:tcPr>
          <w:p w14:paraId="4FA9FA96">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55E73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5E0162FB">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2E675913">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auto"/>
                <w:u w:val="none"/>
                <w:lang w:val="en-US" w:eastAsia="zh-CN"/>
              </w:rPr>
              <w:t>废</w:t>
            </w:r>
            <w:r>
              <w:rPr>
                <w:rFonts w:hint="eastAsia" w:ascii="Times New Roman" w:hAnsi="Times New Roman" w:eastAsia="宋体" w:cs="Times New Roman"/>
                <w:color w:val="auto"/>
                <w:u w:val="none"/>
                <w:lang w:eastAsia="zh-CN"/>
              </w:rPr>
              <w:t>漆渣</w:t>
            </w:r>
          </w:p>
        </w:tc>
        <w:tc>
          <w:tcPr>
            <w:tcW w:w="1701" w:type="dxa"/>
            <w:tcBorders>
              <w:top w:val="single" w:color="000000" w:sz="6" w:space="0"/>
              <w:bottom w:val="single" w:color="000000" w:sz="6" w:space="0"/>
            </w:tcBorders>
            <w:noWrap w:val="0"/>
            <w:vAlign w:val="center"/>
          </w:tcPr>
          <w:p w14:paraId="56AD155D">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auto"/>
                <w:u w:val="none"/>
                <w:lang w:val="en-US" w:eastAsia="zh-CN"/>
              </w:rPr>
              <w:t>0.1</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noWrap w:val="0"/>
            <w:vAlign w:val="center"/>
          </w:tcPr>
          <w:p w14:paraId="1DF8CEB3">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top w:val="single" w:color="000000" w:sz="6" w:space="0"/>
              <w:bottom w:val="single" w:color="000000" w:sz="6" w:space="0"/>
            </w:tcBorders>
            <w:noWrap w:val="0"/>
            <w:vAlign w:val="center"/>
          </w:tcPr>
          <w:p w14:paraId="5F5E7CBC">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top w:val="single" w:color="000000" w:sz="6" w:space="0"/>
              <w:bottom w:val="single" w:color="000000" w:sz="6" w:space="0"/>
            </w:tcBorders>
            <w:noWrap w:val="0"/>
            <w:vAlign w:val="center"/>
          </w:tcPr>
          <w:p w14:paraId="6BC455B3">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auto"/>
                <w:u w:val="none"/>
                <w:lang w:val="en-US" w:eastAsia="zh-CN"/>
              </w:rPr>
              <w:t>0.1</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noWrap w:val="0"/>
            <w:vAlign w:val="center"/>
          </w:tcPr>
          <w:p w14:paraId="3F70694C">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42" w:type="dxa"/>
            <w:tcBorders>
              <w:top w:val="single" w:color="000000" w:sz="6" w:space="0"/>
              <w:bottom w:val="single" w:color="000000" w:sz="6" w:space="0"/>
            </w:tcBorders>
            <w:noWrap w:val="0"/>
            <w:vAlign w:val="center"/>
          </w:tcPr>
          <w:p w14:paraId="694B3A0B">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auto"/>
                <w:u w:val="none"/>
                <w:lang w:val="en-US" w:eastAsia="zh-CN"/>
              </w:rPr>
              <w:t>0.1</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noWrap w:val="0"/>
            <w:vAlign w:val="top"/>
          </w:tcPr>
          <w:p w14:paraId="04ED7B6D">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471E9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7C5BEDAC">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0302CDFD">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auto"/>
                <w:lang w:val="en-US" w:eastAsia="zh-CN"/>
              </w:rPr>
              <w:t>废</w:t>
            </w:r>
            <w:r>
              <w:rPr>
                <w:color w:val="auto"/>
              </w:rPr>
              <w:t>含油</w:t>
            </w:r>
            <w:r>
              <w:rPr>
                <w:rFonts w:hint="eastAsia"/>
                <w:color w:val="auto"/>
                <w:lang w:val="en-US" w:eastAsia="zh-CN"/>
              </w:rPr>
              <w:t>手套、</w:t>
            </w:r>
            <w:r>
              <w:rPr>
                <w:color w:val="auto"/>
              </w:rPr>
              <w:t>抹布</w:t>
            </w:r>
          </w:p>
        </w:tc>
        <w:tc>
          <w:tcPr>
            <w:tcW w:w="1701" w:type="dxa"/>
            <w:tcBorders>
              <w:top w:val="single" w:color="000000" w:sz="6" w:space="0"/>
              <w:bottom w:val="single" w:color="000000" w:sz="6" w:space="0"/>
            </w:tcBorders>
            <w:noWrap w:val="0"/>
            <w:vAlign w:val="center"/>
          </w:tcPr>
          <w:p w14:paraId="74D67556">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rPr>
              <w:t>0.05</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noWrap w:val="0"/>
            <w:vAlign w:val="center"/>
          </w:tcPr>
          <w:p w14:paraId="612C613D">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top w:val="single" w:color="000000" w:sz="6" w:space="0"/>
              <w:bottom w:val="single" w:color="000000" w:sz="6" w:space="0"/>
            </w:tcBorders>
            <w:noWrap w:val="0"/>
            <w:vAlign w:val="center"/>
          </w:tcPr>
          <w:p w14:paraId="67C1E8D7">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top w:val="single" w:color="000000" w:sz="6" w:space="0"/>
              <w:bottom w:val="single" w:color="000000" w:sz="6" w:space="0"/>
            </w:tcBorders>
            <w:noWrap w:val="0"/>
            <w:vAlign w:val="center"/>
          </w:tcPr>
          <w:p w14:paraId="29FB771A">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rPr>
              <w:t>0.05</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noWrap w:val="0"/>
            <w:vAlign w:val="center"/>
          </w:tcPr>
          <w:p w14:paraId="3A10D095">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42" w:type="dxa"/>
            <w:tcBorders>
              <w:top w:val="single" w:color="000000" w:sz="6" w:space="0"/>
              <w:bottom w:val="single" w:color="000000" w:sz="6" w:space="0"/>
            </w:tcBorders>
            <w:noWrap w:val="0"/>
            <w:vAlign w:val="center"/>
          </w:tcPr>
          <w:p w14:paraId="75521442">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rPr>
              <w:t>0.05</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noWrap w:val="0"/>
            <w:vAlign w:val="top"/>
          </w:tcPr>
          <w:p w14:paraId="03E9CECE">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5A02C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32B1EEE7">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20065042">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rPr>
              <w:t>废过滤棉</w:t>
            </w:r>
          </w:p>
        </w:tc>
        <w:tc>
          <w:tcPr>
            <w:tcW w:w="1701" w:type="dxa"/>
            <w:tcBorders>
              <w:top w:val="single" w:color="000000" w:sz="6" w:space="0"/>
              <w:bottom w:val="single" w:color="000000" w:sz="6" w:space="0"/>
            </w:tcBorders>
            <w:noWrap w:val="0"/>
            <w:vAlign w:val="center"/>
          </w:tcPr>
          <w:p w14:paraId="7927762F">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lang w:val="en-US" w:eastAsia="zh-CN"/>
              </w:rPr>
              <w:t>0.04</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noWrap w:val="0"/>
            <w:vAlign w:val="center"/>
          </w:tcPr>
          <w:p w14:paraId="65368D7A">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top w:val="single" w:color="000000" w:sz="6" w:space="0"/>
              <w:bottom w:val="single" w:color="000000" w:sz="6" w:space="0"/>
            </w:tcBorders>
            <w:noWrap w:val="0"/>
            <w:vAlign w:val="center"/>
          </w:tcPr>
          <w:p w14:paraId="72174694">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top w:val="single" w:color="000000" w:sz="6" w:space="0"/>
              <w:bottom w:val="single" w:color="000000" w:sz="6" w:space="0"/>
            </w:tcBorders>
            <w:noWrap w:val="0"/>
            <w:vAlign w:val="center"/>
          </w:tcPr>
          <w:p w14:paraId="3190A7C7">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lang w:val="en-US" w:eastAsia="zh-CN"/>
              </w:rPr>
              <w:t>0.04</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noWrap w:val="0"/>
            <w:vAlign w:val="center"/>
          </w:tcPr>
          <w:p w14:paraId="71CDCFD1">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642" w:type="dxa"/>
            <w:tcBorders>
              <w:top w:val="single" w:color="000000" w:sz="6" w:space="0"/>
              <w:bottom w:val="single" w:color="000000" w:sz="6" w:space="0"/>
            </w:tcBorders>
            <w:noWrap w:val="0"/>
            <w:vAlign w:val="center"/>
          </w:tcPr>
          <w:p w14:paraId="09B424CD">
            <w:pPr>
              <w:pStyle w:val="42"/>
              <w:ind w:firstLine="0" w:firstLineChars="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u w:val="none"/>
                <w:lang w:val="en-US" w:eastAsia="zh-CN"/>
              </w:rPr>
              <w:t>0.04</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noWrap w:val="0"/>
            <w:vAlign w:val="top"/>
          </w:tcPr>
          <w:p w14:paraId="64F1BBB6">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3D255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517CCDB1">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1EBD01F4">
            <w:pPr>
              <w:pStyle w:val="42"/>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auto"/>
                <w:u w:val="none"/>
              </w:rPr>
              <w:t>废活性炭</w:t>
            </w:r>
          </w:p>
        </w:tc>
        <w:tc>
          <w:tcPr>
            <w:tcW w:w="1701" w:type="dxa"/>
            <w:tcBorders>
              <w:top w:val="single" w:color="000000" w:sz="6" w:space="0"/>
              <w:bottom w:val="single" w:color="000000" w:sz="6" w:space="0"/>
            </w:tcBorders>
            <w:noWrap w:val="0"/>
            <w:vAlign w:val="center"/>
          </w:tcPr>
          <w:p w14:paraId="33BB2111">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shd w:val="clear" w:color="auto" w:fill="auto"/>
            <w:noWrap w:val="0"/>
            <w:vAlign w:val="center"/>
          </w:tcPr>
          <w:p w14:paraId="62D0E3F2">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1701" w:type="dxa"/>
            <w:tcBorders>
              <w:top w:val="single" w:color="000000" w:sz="6" w:space="0"/>
              <w:bottom w:val="single" w:color="000000" w:sz="6" w:space="0"/>
            </w:tcBorders>
            <w:shd w:val="clear" w:color="auto" w:fill="auto"/>
            <w:noWrap w:val="0"/>
            <w:vAlign w:val="center"/>
          </w:tcPr>
          <w:p w14:paraId="68D7DFE1">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1559" w:type="dxa"/>
            <w:tcBorders>
              <w:top w:val="single" w:color="000000" w:sz="6" w:space="0"/>
              <w:bottom w:val="single" w:color="000000" w:sz="6" w:space="0"/>
            </w:tcBorders>
            <w:noWrap w:val="0"/>
            <w:vAlign w:val="center"/>
          </w:tcPr>
          <w:p w14:paraId="5AE98D99">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shd w:val="clear" w:color="auto" w:fill="auto"/>
            <w:noWrap w:val="0"/>
            <w:vAlign w:val="center"/>
          </w:tcPr>
          <w:p w14:paraId="5EA9D5FB">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1642" w:type="dxa"/>
            <w:tcBorders>
              <w:top w:val="single" w:color="000000" w:sz="6" w:space="0"/>
              <w:bottom w:val="single" w:color="000000" w:sz="6" w:space="0"/>
            </w:tcBorders>
            <w:noWrap w:val="0"/>
            <w:vAlign w:val="center"/>
          </w:tcPr>
          <w:p w14:paraId="49B0C3C7">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shd w:val="clear" w:color="auto" w:fill="auto"/>
            <w:noWrap w:val="0"/>
            <w:vAlign w:val="center"/>
          </w:tcPr>
          <w:p w14:paraId="723410D9">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w:t>
            </w:r>
          </w:p>
        </w:tc>
      </w:tr>
      <w:tr w14:paraId="351F6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4E00C528">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586976EC">
            <w:pPr>
              <w:pStyle w:val="42"/>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auto"/>
                <w:u w:val="none"/>
                <w:lang w:val="en-US" w:eastAsia="zh-CN"/>
              </w:rPr>
              <w:t>废铅蓄电池</w:t>
            </w:r>
          </w:p>
        </w:tc>
        <w:tc>
          <w:tcPr>
            <w:tcW w:w="1701" w:type="dxa"/>
            <w:tcBorders>
              <w:top w:val="single" w:color="000000" w:sz="6" w:space="0"/>
              <w:bottom w:val="single" w:color="000000" w:sz="6" w:space="0"/>
            </w:tcBorders>
            <w:noWrap w:val="0"/>
            <w:vAlign w:val="center"/>
          </w:tcPr>
          <w:p w14:paraId="100E40BA">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0.5</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shd w:val="clear" w:color="auto" w:fill="auto"/>
            <w:noWrap w:val="0"/>
            <w:vAlign w:val="center"/>
          </w:tcPr>
          <w:p w14:paraId="7F18FE8F">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1701" w:type="dxa"/>
            <w:tcBorders>
              <w:top w:val="single" w:color="000000" w:sz="6" w:space="0"/>
              <w:bottom w:val="single" w:color="000000" w:sz="6" w:space="0"/>
            </w:tcBorders>
            <w:shd w:val="clear" w:color="auto" w:fill="auto"/>
            <w:noWrap w:val="0"/>
            <w:vAlign w:val="center"/>
          </w:tcPr>
          <w:p w14:paraId="482EDA96">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1559" w:type="dxa"/>
            <w:tcBorders>
              <w:top w:val="single" w:color="000000" w:sz="6" w:space="0"/>
              <w:bottom w:val="single" w:color="000000" w:sz="6" w:space="0"/>
            </w:tcBorders>
            <w:noWrap w:val="0"/>
            <w:vAlign w:val="center"/>
          </w:tcPr>
          <w:p w14:paraId="7E10D80D">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0.5</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shd w:val="clear" w:color="auto" w:fill="auto"/>
            <w:noWrap w:val="0"/>
            <w:vAlign w:val="center"/>
          </w:tcPr>
          <w:p w14:paraId="28BC72C4">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1642" w:type="dxa"/>
            <w:tcBorders>
              <w:top w:val="single" w:color="000000" w:sz="6" w:space="0"/>
              <w:bottom w:val="single" w:color="000000" w:sz="6" w:space="0"/>
            </w:tcBorders>
            <w:noWrap w:val="0"/>
            <w:vAlign w:val="center"/>
          </w:tcPr>
          <w:p w14:paraId="4F251E19">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0.5</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shd w:val="clear" w:color="auto" w:fill="auto"/>
            <w:noWrap w:val="0"/>
            <w:vAlign w:val="center"/>
          </w:tcPr>
          <w:p w14:paraId="495ABF5B">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w:t>
            </w:r>
          </w:p>
        </w:tc>
      </w:tr>
      <w:tr w14:paraId="6C7D6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7001D25A">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30BEFA2F">
            <w:pPr>
              <w:pStyle w:val="42"/>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auto"/>
                <w:u w:val="none"/>
                <w:lang w:val="en-US" w:eastAsia="zh-CN"/>
              </w:rPr>
              <w:t>废紫外灯管</w:t>
            </w:r>
          </w:p>
        </w:tc>
        <w:tc>
          <w:tcPr>
            <w:tcW w:w="1701" w:type="dxa"/>
            <w:tcBorders>
              <w:top w:val="single" w:color="000000" w:sz="6" w:space="0"/>
              <w:bottom w:val="single" w:color="000000" w:sz="6" w:space="0"/>
            </w:tcBorders>
            <w:noWrap w:val="0"/>
            <w:vAlign w:val="center"/>
          </w:tcPr>
          <w:p w14:paraId="10923E8B">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0.004</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shd w:val="clear" w:color="auto" w:fill="auto"/>
            <w:noWrap w:val="0"/>
            <w:vAlign w:val="center"/>
          </w:tcPr>
          <w:p w14:paraId="6358F3AF">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top w:val="single" w:color="000000" w:sz="6" w:space="0"/>
              <w:bottom w:val="single" w:color="000000" w:sz="6" w:space="0"/>
            </w:tcBorders>
            <w:shd w:val="clear" w:color="auto" w:fill="auto"/>
            <w:noWrap w:val="0"/>
            <w:vAlign w:val="center"/>
          </w:tcPr>
          <w:p w14:paraId="2590EBCD">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top w:val="single" w:color="000000" w:sz="6" w:space="0"/>
              <w:bottom w:val="single" w:color="000000" w:sz="6" w:space="0"/>
            </w:tcBorders>
            <w:noWrap w:val="0"/>
            <w:vAlign w:val="center"/>
          </w:tcPr>
          <w:p w14:paraId="255D3CC4">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0.004</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shd w:val="clear" w:color="auto" w:fill="auto"/>
            <w:noWrap w:val="0"/>
            <w:vAlign w:val="center"/>
          </w:tcPr>
          <w:p w14:paraId="2F3CD571">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642" w:type="dxa"/>
            <w:tcBorders>
              <w:top w:val="single" w:color="000000" w:sz="6" w:space="0"/>
              <w:bottom w:val="single" w:color="000000" w:sz="6" w:space="0"/>
            </w:tcBorders>
            <w:noWrap w:val="0"/>
            <w:vAlign w:val="center"/>
          </w:tcPr>
          <w:p w14:paraId="7121C564">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0.004</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shd w:val="clear" w:color="auto" w:fill="auto"/>
            <w:noWrap w:val="0"/>
            <w:vAlign w:val="center"/>
          </w:tcPr>
          <w:p w14:paraId="485AC311">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w:t>
            </w:r>
          </w:p>
        </w:tc>
      </w:tr>
      <w:tr w14:paraId="1C844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4B3400A9">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bottom w:val="single" w:color="000000" w:sz="6" w:space="0"/>
            </w:tcBorders>
            <w:noWrap w:val="0"/>
            <w:vAlign w:val="center"/>
          </w:tcPr>
          <w:p w14:paraId="2D52C6D8">
            <w:pPr>
              <w:pStyle w:val="42"/>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auto"/>
                <w:lang w:val="en-US" w:eastAsia="zh-CN"/>
              </w:rPr>
              <w:t>废石棉刹车片</w:t>
            </w:r>
          </w:p>
        </w:tc>
        <w:tc>
          <w:tcPr>
            <w:tcW w:w="1701" w:type="dxa"/>
            <w:tcBorders>
              <w:top w:val="single" w:color="000000" w:sz="6" w:space="0"/>
              <w:bottom w:val="single" w:color="000000" w:sz="6" w:space="0"/>
            </w:tcBorders>
            <w:noWrap w:val="0"/>
            <w:vAlign w:val="center"/>
          </w:tcPr>
          <w:p w14:paraId="184F379C">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bottom w:val="single" w:color="000000" w:sz="6" w:space="0"/>
            </w:tcBorders>
            <w:shd w:val="clear" w:color="auto" w:fill="auto"/>
            <w:noWrap w:val="0"/>
            <w:vAlign w:val="center"/>
          </w:tcPr>
          <w:p w14:paraId="32BF71B8">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top w:val="single" w:color="000000" w:sz="6" w:space="0"/>
              <w:bottom w:val="single" w:color="000000" w:sz="6" w:space="0"/>
            </w:tcBorders>
            <w:shd w:val="clear" w:color="auto" w:fill="auto"/>
            <w:noWrap w:val="0"/>
            <w:vAlign w:val="center"/>
          </w:tcPr>
          <w:p w14:paraId="7C94BECE">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top w:val="single" w:color="000000" w:sz="6" w:space="0"/>
              <w:bottom w:val="single" w:color="000000" w:sz="6" w:space="0"/>
            </w:tcBorders>
            <w:noWrap w:val="0"/>
            <w:vAlign w:val="center"/>
          </w:tcPr>
          <w:p w14:paraId="0048DB1B">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bottom w:val="single" w:color="000000" w:sz="6" w:space="0"/>
            </w:tcBorders>
            <w:shd w:val="clear" w:color="auto" w:fill="auto"/>
            <w:noWrap w:val="0"/>
            <w:vAlign w:val="center"/>
          </w:tcPr>
          <w:p w14:paraId="47E2FE47">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642" w:type="dxa"/>
            <w:tcBorders>
              <w:top w:val="single" w:color="000000" w:sz="6" w:space="0"/>
              <w:bottom w:val="single" w:color="000000" w:sz="6" w:space="0"/>
            </w:tcBorders>
            <w:noWrap w:val="0"/>
            <w:vAlign w:val="center"/>
          </w:tcPr>
          <w:p w14:paraId="6812766A">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0.2</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bottom w:val="single" w:color="000000" w:sz="6" w:space="0"/>
            </w:tcBorders>
            <w:shd w:val="clear" w:color="auto" w:fill="auto"/>
            <w:noWrap w:val="0"/>
            <w:vAlign w:val="top"/>
          </w:tcPr>
          <w:p w14:paraId="1B5599DB">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491D1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4" w:type="dxa"/>
            <w:vMerge w:val="continue"/>
            <w:noWrap w:val="0"/>
            <w:vAlign w:val="center"/>
          </w:tcPr>
          <w:p w14:paraId="1CFE5D53">
            <w:pPr>
              <w:spacing w:line="320" w:lineRule="exact"/>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1501" w:type="dxa"/>
            <w:tcBorders>
              <w:top w:val="single" w:color="000000" w:sz="6" w:space="0"/>
            </w:tcBorders>
            <w:noWrap w:val="0"/>
            <w:vAlign w:val="center"/>
          </w:tcPr>
          <w:p w14:paraId="3247CF56">
            <w:pPr>
              <w:pStyle w:val="42"/>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auto"/>
                <w:lang w:val="en-US" w:eastAsia="zh-CN"/>
              </w:rPr>
              <w:t>废催化剂</w:t>
            </w:r>
          </w:p>
        </w:tc>
        <w:tc>
          <w:tcPr>
            <w:tcW w:w="1701" w:type="dxa"/>
            <w:tcBorders>
              <w:top w:val="single" w:color="000000" w:sz="6" w:space="0"/>
            </w:tcBorders>
            <w:noWrap w:val="0"/>
            <w:vAlign w:val="center"/>
          </w:tcPr>
          <w:p w14:paraId="771EC820">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0.05</w:t>
            </w:r>
            <w:r>
              <w:rPr>
                <w:rFonts w:hint="default" w:ascii="Times New Roman" w:hAnsi="Times New Roman" w:cs="Times New Roman"/>
                <w:color w:val="000000" w:themeColor="text1"/>
                <w:sz w:val="21"/>
                <w:szCs w:val="21"/>
                <w14:textFill>
                  <w14:solidFill>
                    <w14:schemeClr w14:val="tx1"/>
                  </w14:solidFill>
                </w14:textFill>
              </w:rPr>
              <w:t>t/a</w:t>
            </w:r>
          </w:p>
        </w:tc>
        <w:tc>
          <w:tcPr>
            <w:tcW w:w="1276" w:type="dxa"/>
            <w:tcBorders>
              <w:top w:val="single" w:color="000000" w:sz="6" w:space="0"/>
            </w:tcBorders>
            <w:shd w:val="clear" w:color="auto" w:fill="auto"/>
            <w:noWrap w:val="0"/>
            <w:vAlign w:val="center"/>
          </w:tcPr>
          <w:p w14:paraId="6A5EDB28">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701" w:type="dxa"/>
            <w:tcBorders>
              <w:top w:val="single" w:color="000000" w:sz="6" w:space="0"/>
            </w:tcBorders>
            <w:shd w:val="clear" w:color="auto" w:fill="auto"/>
            <w:noWrap w:val="0"/>
            <w:vAlign w:val="center"/>
          </w:tcPr>
          <w:p w14:paraId="35DC8DF0">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559" w:type="dxa"/>
            <w:tcBorders>
              <w:top w:val="single" w:color="000000" w:sz="6" w:space="0"/>
            </w:tcBorders>
            <w:noWrap w:val="0"/>
            <w:vAlign w:val="center"/>
          </w:tcPr>
          <w:p w14:paraId="7366575D">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0.05</w:t>
            </w:r>
            <w:r>
              <w:rPr>
                <w:rFonts w:hint="default" w:ascii="Times New Roman" w:hAnsi="Times New Roman" w:cs="Times New Roman"/>
                <w:color w:val="000000" w:themeColor="text1"/>
                <w:sz w:val="21"/>
                <w:szCs w:val="21"/>
                <w14:textFill>
                  <w14:solidFill>
                    <w14:schemeClr w14:val="tx1"/>
                  </w14:solidFill>
                </w14:textFill>
              </w:rPr>
              <w:t>t/a</w:t>
            </w:r>
          </w:p>
        </w:tc>
        <w:tc>
          <w:tcPr>
            <w:tcW w:w="1761" w:type="dxa"/>
            <w:tcBorders>
              <w:top w:val="single" w:color="000000" w:sz="6" w:space="0"/>
            </w:tcBorders>
            <w:shd w:val="clear" w:color="auto" w:fill="auto"/>
            <w:noWrap w:val="0"/>
            <w:vAlign w:val="center"/>
          </w:tcPr>
          <w:p w14:paraId="13060E9E">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642" w:type="dxa"/>
            <w:tcBorders>
              <w:top w:val="single" w:color="000000" w:sz="6" w:space="0"/>
            </w:tcBorders>
            <w:noWrap w:val="0"/>
            <w:vAlign w:val="center"/>
          </w:tcPr>
          <w:p w14:paraId="5A8BC051">
            <w:pPr>
              <w:pStyle w:val="42"/>
              <w:ind w:firstLine="0" w:firstLineChars="0"/>
              <w:rPr>
                <w:rFonts w:hint="eastAsia" w:ascii="Times New Roman" w:hAnsi="Times New Roman" w:eastAsia="宋体" w:cs="Times New Roman"/>
                <w:color w:val="000000" w:themeColor="text1"/>
                <w:u w:val="none"/>
                <w:lang w:val="en-US" w:eastAsia="zh-CN"/>
                <w14:textFill>
                  <w14:solidFill>
                    <w14:schemeClr w14:val="tx1"/>
                  </w14:solidFill>
                </w14:textFill>
              </w:rPr>
            </w:pPr>
            <w:r>
              <w:rPr>
                <w:rFonts w:hint="eastAsia" w:ascii="Times New Roman" w:hAnsi="Times New Roman" w:eastAsia="宋体" w:cs="Times New Roman"/>
                <w:color w:val="auto"/>
                <w:u w:val="none"/>
                <w:lang w:val="en-US" w:eastAsia="zh-CN"/>
              </w:rPr>
              <w:t>0.05</w:t>
            </w:r>
            <w:r>
              <w:rPr>
                <w:rFonts w:hint="default" w:ascii="Times New Roman" w:hAnsi="Times New Roman" w:cs="Times New Roman"/>
                <w:color w:val="000000" w:themeColor="text1"/>
                <w:sz w:val="21"/>
                <w:szCs w:val="21"/>
                <w14:textFill>
                  <w14:solidFill>
                    <w14:schemeClr w14:val="tx1"/>
                  </w14:solidFill>
                </w14:textFill>
              </w:rPr>
              <w:t>t/a</w:t>
            </w:r>
          </w:p>
        </w:tc>
        <w:tc>
          <w:tcPr>
            <w:tcW w:w="1143" w:type="dxa"/>
            <w:tcBorders>
              <w:top w:val="single" w:color="000000" w:sz="6" w:space="0"/>
            </w:tcBorders>
            <w:shd w:val="clear" w:color="auto" w:fill="auto"/>
            <w:noWrap w:val="0"/>
            <w:vAlign w:val="top"/>
          </w:tcPr>
          <w:p w14:paraId="56BD9F19">
            <w:pPr>
              <w:spacing w:line="320" w:lineRule="exact"/>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bl>
    <w:p w14:paraId="3D00709D">
      <w:pPr>
        <w:pStyle w:val="38"/>
        <w:spacing w:before="192" w:beforeLines="80" w:after="24" w:line="240" w:lineRule="auto"/>
        <w:ind w:left="480" w:hanging="480"/>
        <w:jc w:val="left"/>
        <w:rPr>
          <w:rFonts w:hAnsi="宋体" w:eastAsia="黑体"/>
          <w:color w:val="000000" w:themeColor="text1"/>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D9C9">
    <w:pPr>
      <w:pStyle w:val="1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36D71">
                          <w:pPr>
                            <w:pStyle w:val="1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V068s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CUljluc+OX7t8uPX5efX8mq&#10;ev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T1dOvLAQAAnQMAAA4AAAAAAAAAAQAgAAAAHgEAAGRycy9lMm9E&#10;b2MueG1sUEsFBgAAAAAGAAYAWQEAAFsFAAAAAA==&#10;">
              <v:fill on="f" focussize="0,0"/>
              <v:stroke on="f"/>
              <v:imagedata o:title=""/>
              <o:lock v:ext="edit" aspectratio="f"/>
              <v:textbox inset="0mm,0mm,0mm,0mm" style="mso-fit-shape-to-text:t;">
                <w:txbxContent>
                  <w:p w14:paraId="1C736D71">
                    <w:pPr>
                      <w:pStyle w:val="1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758A">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9353">
    <w:pPr>
      <w:pStyle w:val="1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CB48BB">
                          <w:pPr>
                            <w:pStyle w:val="1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60tp3LAQAAnQMAAA4AAAAAAAAAAQAgAAAAHgEAAGRycy9lMm9E&#10;b2MueG1sUEsFBgAAAAAGAAYAWQEAAFsFAAAAAA==&#10;">
              <v:fill on="f" focussize="0,0"/>
              <v:stroke on="f"/>
              <v:imagedata o:title=""/>
              <o:lock v:ext="edit" aspectratio="f"/>
              <v:textbox inset="0mm,0mm,0mm,0mm" style="mso-fit-shape-to-text:t;">
                <w:txbxContent>
                  <w:p w14:paraId="12CB48BB">
                    <w:pPr>
                      <w:pStyle w:val="1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69544"/>
    <w:multiLevelType w:val="multilevel"/>
    <w:tmpl w:val="5F369544"/>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C9FB733"/>
    <w:multiLevelType w:val="multilevel"/>
    <w:tmpl w:val="6C9FB733"/>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0791EA5"/>
    <w:multiLevelType w:val="multilevel"/>
    <w:tmpl w:val="70791EA5"/>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710" w:firstLine="0"/>
      </w:pPr>
      <w:rPr>
        <w:rFonts w:hint="eastAsia"/>
      </w:rPr>
    </w:lvl>
    <w:lvl w:ilvl="3" w:tentative="0">
      <w:start w:val="1"/>
      <w:numFmt w:val="decimal"/>
      <w:lvlRestart w:val="2"/>
      <w:pStyle w:val="91"/>
      <w:suff w:val="space"/>
      <w:lvlText w:val="表%1.%2-%4"/>
      <w:lvlJc w:val="left"/>
      <w:pPr>
        <w:ind w:left="2836" w:firstLine="0"/>
      </w:pPr>
      <w:rPr>
        <w:rFonts w:hint="eastAsia"/>
        <w:b w:val="0"/>
        <w:color w:val="auto"/>
        <w:lang w:val="en-US"/>
      </w:rPr>
    </w:lvl>
    <w:lvl w:ilvl="4" w:tentative="0">
      <w:start w:val="1"/>
      <w:numFmt w:val="decimal"/>
      <w:lvlRestart w:val="3"/>
      <w:suff w:val="space"/>
      <w:lvlText w:val="%1.%2.%3.%5"/>
      <w:lvlJc w:val="left"/>
      <w:pPr>
        <w:ind w:left="0" w:firstLine="0"/>
      </w:pPr>
      <w:rPr>
        <w:rFonts w:hint="eastAsia"/>
      </w:rPr>
    </w:lvl>
    <w:lvl w:ilvl="5" w:tentative="0">
      <w:start w:val="1"/>
      <w:numFmt w:val="decimal"/>
      <w:lvlRestart w:val="2"/>
      <w:suff w:val="space"/>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N2Y0ZGVlZmY3MDViNGY5NjFkYWY3YzRmYzllOTIifQ=="/>
  </w:docVars>
  <w:rsids>
    <w:rsidRoot w:val="00A14947"/>
    <w:rsid w:val="000060B3"/>
    <w:rsid w:val="000115E6"/>
    <w:rsid w:val="0004364B"/>
    <w:rsid w:val="00061B1F"/>
    <w:rsid w:val="00061F10"/>
    <w:rsid w:val="000733C4"/>
    <w:rsid w:val="00073FC8"/>
    <w:rsid w:val="00074783"/>
    <w:rsid w:val="0008070B"/>
    <w:rsid w:val="000810AC"/>
    <w:rsid w:val="00081A02"/>
    <w:rsid w:val="00082231"/>
    <w:rsid w:val="00092D38"/>
    <w:rsid w:val="0009377B"/>
    <w:rsid w:val="000A20C9"/>
    <w:rsid w:val="000A5661"/>
    <w:rsid w:val="000B058F"/>
    <w:rsid w:val="000B4467"/>
    <w:rsid w:val="000B4DB9"/>
    <w:rsid w:val="000C09AC"/>
    <w:rsid w:val="000C767F"/>
    <w:rsid w:val="000D5A44"/>
    <w:rsid w:val="000E3ED2"/>
    <w:rsid w:val="00106C2C"/>
    <w:rsid w:val="00131F42"/>
    <w:rsid w:val="001357F1"/>
    <w:rsid w:val="00140FA8"/>
    <w:rsid w:val="00142FEB"/>
    <w:rsid w:val="00143A2D"/>
    <w:rsid w:val="00145A41"/>
    <w:rsid w:val="00151675"/>
    <w:rsid w:val="00153C29"/>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00E43"/>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041"/>
    <w:rsid w:val="002B7B00"/>
    <w:rsid w:val="002B7C44"/>
    <w:rsid w:val="002C1295"/>
    <w:rsid w:val="002C2B17"/>
    <w:rsid w:val="002C53A1"/>
    <w:rsid w:val="002D3DD0"/>
    <w:rsid w:val="002D5419"/>
    <w:rsid w:val="002D7985"/>
    <w:rsid w:val="002E1F3A"/>
    <w:rsid w:val="002E298A"/>
    <w:rsid w:val="00301978"/>
    <w:rsid w:val="0030332C"/>
    <w:rsid w:val="003051C2"/>
    <w:rsid w:val="00312296"/>
    <w:rsid w:val="00314F0E"/>
    <w:rsid w:val="00321D8E"/>
    <w:rsid w:val="003225E0"/>
    <w:rsid w:val="00325928"/>
    <w:rsid w:val="00332863"/>
    <w:rsid w:val="0033684D"/>
    <w:rsid w:val="00337B42"/>
    <w:rsid w:val="00341B42"/>
    <w:rsid w:val="0034348F"/>
    <w:rsid w:val="0035408E"/>
    <w:rsid w:val="00356653"/>
    <w:rsid w:val="0035743F"/>
    <w:rsid w:val="00357BE2"/>
    <w:rsid w:val="0036170C"/>
    <w:rsid w:val="00363DBD"/>
    <w:rsid w:val="00366E0F"/>
    <w:rsid w:val="00381040"/>
    <w:rsid w:val="00381A72"/>
    <w:rsid w:val="00384676"/>
    <w:rsid w:val="00390857"/>
    <w:rsid w:val="003A4BF3"/>
    <w:rsid w:val="003B420D"/>
    <w:rsid w:val="003B54E7"/>
    <w:rsid w:val="003C6101"/>
    <w:rsid w:val="003C6C16"/>
    <w:rsid w:val="003C7ADD"/>
    <w:rsid w:val="003D794D"/>
    <w:rsid w:val="003E3058"/>
    <w:rsid w:val="003E76A9"/>
    <w:rsid w:val="003F0809"/>
    <w:rsid w:val="003F6A8C"/>
    <w:rsid w:val="003F755C"/>
    <w:rsid w:val="00406F01"/>
    <w:rsid w:val="0041062C"/>
    <w:rsid w:val="00415D36"/>
    <w:rsid w:val="00416362"/>
    <w:rsid w:val="00416D50"/>
    <w:rsid w:val="00416FD5"/>
    <w:rsid w:val="00417772"/>
    <w:rsid w:val="00420E6A"/>
    <w:rsid w:val="00425A9E"/>
    <w:rsid w:val="00426D6B"/>
    <w:rsid w:val="00426E10"/>
    <w:rsid w:val="00431E6C"/>
    <w:rsid w:val="00433CE7"/>
    <w:rsid w:val="00452738"/>
    <w:rsid w:val="00456091"/>
    <w:rsid w:val="00466321"/>
    <w:rsid w:val="004813F2"/>
    <w:rsid w:val="00484B9B"/>
    <w:rsid w:val="004855F6"/>
    <w:rsid w:val="0048661E"/>
    <w:rsid w:val="00494670"/>
    <w:rsid w:val="004A3823"/>
    <w:rsid w:val="004E6946"/>
    <w:rsid w:val="004F1AD8"/>
    <w:rsid w:val="005039CB"/>
    <w:rsid w:val="0050558F"/>
    <w:rsid w:val="00506286"/>
    <w:rsid w:val="005067AF"/>
    <w:rsid w:val="00510813"/>
    <w:rsid w:val="00511990"/>
    <w:rsid w:val="00511DE0"/>
    <w:rsid w:val="00514870"/>
    <w:rsid w:val="00514B9B"/>
    <w:rsid w:val="00517F02"/>
    <w:rsid w:val="00524303"/>
    <w:rsid w:val="005258A2"/>
    <w:rsid w:val="005401AE"/>
    <w:rsid w:val="00542E07"/>
    <w:rsid w:val="00545424"/>
    <w:rsid w:val="005462C5"/>
    <w:rsid w:val="00554A7B"/>
    <w:rsid w:val="0055572C"/>
    <w:rsid w:val="0056106A"/>
    <w:rsid w:val="005720AE"/>
    <w:rsid w:val="00594D77"/>
    <w:rsid w:val="005969E4"/>
    <w:rsid w:val="005A06B7"/>
    <w:rsid w:val="005A1759"/>
    <w:rsid w:val="005A68A7"/>
    <w:rsid w:val="005D36AB"/>
    <w:rsid w:val="005E15F9"/>
    <w:rsid w:val="005F2B24"/>
    <w:rsid w:val="00617CC3"/>
    <w:rsid w:val="00635B77"/>
    <w:rsid w:val="006377A6"/>
    <w:rsid w:val="00637A3D"/>
    <w:rsid w:val="006411EF"/>
    <w:rsid w:val="006748B8"/>
    <w:rsid w:val="006775C3"/>
    <w:rsid w:val="0069290A"/>
    <w:rsid w:val="0069775A"/>
    <w:rsid w:val="00697813"/>
    <w:rsid w:val="006A3EE8"/>
    <w:rsid w:val="006A72BF"/>
    <w:rsid w:val="006B03F2"/>
    <w:rsid w:val="006B37DC"/>
    <w:rsid w:val="006B4939"/>
    <w:rsid w:val="006B4F68"/>
    <w:rsid w:val="006C0592"/>
    <w:rsid w:val="006C272E"/>
    <w:rsid w:val="006C4015"/>
    <w:rsid w:val="006C5479"/>
    <w:rsid w:val="006D13B5"/>
    <w:rsid w:val="006E12FF"/>
    <w:rsid w:val="006E607E"/>
    <w:rsid w:val="00706C5D"/>
    <w:rsid w:val="007077A0"/>
    <w:rsid w:val="00732922"/>
    <w:rsid w:val="0075162E"/>
    <w:rsid w:val="00754034"/>
    <w:rsid w:val="00756556"/>
    <w:rsid w:val="007618C4"/>
    <w:rsid w:val="00767980"/>
    <w:rsid w:val="00770B19"/>
    <w:rsid w:val="00771FF9"/>
    <w:rsid w:val="0077463F"/>
    <w:rsid w:val="007836EA"/>
    <w:rsid w:val="00784CDA"/>
    <w:rsid w:val="007906C4"/>
    <w:rsid w:val="007940EA"/>
    <w:rsid w:val="007967E8"/>
    <w:rsid w:val="007A2170"/>
    <w:rsid w:val="007A22BF"/>
    <w:rsid w:val="007A3323"/>
    <w:rsid w:val="007B72B8"/>
    <w:rsid w:val="007B7A58"/>
    <w:rsid w:val="007C21B5"/>
    <w:rsid w:val="007E1845"/>
    <w:rsid w:val="007E4BD2"/>
    <w:rsid w:val="007E56A1"/>
    <w:rsid w:val="007E6FB6"/>
    <w:rsid w:val="00801393"/>
    <w:rsid w:val="00802F88"/>
    <w:rsid w:val="0081293E"/>
    <w:rsid w:val="00815465"/>
    <w:rsid w:val="008156F7"/>
    <w:rsid w:val="00817E9A"/>
    <w:rsid w:val="008267C2"/>
    <w:rsid w:val="008306BD"/>
    <w:rsid w:val="00831A80"/>
    <w:rsid w:val="00833743"/>
    <w:rsid w:val="008340A4"/>
    <w:rsid w:val="00835B2F"/>
    <w:rsid w:val="008363AE"/>
    <w:rsid w:val="0087135F"/>
    <w:rsid w:val="00872D94"/>
    <w:rsid w:val="00880364"/>
    <w:rsid w:val="00891592"/>
    <w:rsid w:val="00891AB0"/>
    <w:rsid w:val="00891E9E"/>
    <w:rsid w:val="008A23ED"/>
    <w:rsid w:val="008A2F68"/>
    <w:rsid w:val="008B3893"/>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068B8"/>
    <w:rsid w:val="00907ECD"/>
    <w:rsid w:val="0091736D"/>
    <w:rsid w:val="0093037A"/>
    <w:rsid w:val="0094154D"/>
    <w:rsid w:val="0095155F"/>
    <w:rsid w:val="00954429"/>
    <w:rsid w:val="009563CE"/>
    <w:rsid w:val="00976328"/>
    <w:rsid w:val="0097680D"/>
    <w:rsid w:val="00976A91"/>
    <w:rsid w:val="00982438"/>
    <w:rsid w:val="0098404C"/>
    <w:rsid w:val="00985283"/>
    <w:rsid w:val="00990E6B"/>
    <w:rsid w:val="00995992"/>
    <w:rsid w:val="009A03E5"/>
    <w:rsid w:val="009A0F3B"/>
    <w:rsid w:val="009A1BB4"/>
    <w:rsid w:val="009A2628"/>
    <w:rsid w:val="009A3200"/>
    <w:rsid w:val="009A3AED"/>
    <w:rsid w:val="009B0897"/>
    <w:rsid w:val="009B2D62"/>
    <w:rsid w:val="009B7BD9"/>
    <w:rsid w:val="009C7DD5"/>
    <w:rsid w:val="009E227D"/>
    <w:rsid w:val="009E5019"/>
    <w:rsid w:val="00A02E7D"/>
    <w:rsid w:val="00A04F1B"/>
    <w:rsid w:val="00A0501B"/>
    <w:rsid w:val="00A14947"/>
    <w:rsid w:val="00A32A83"/>
    <w:rsid w:val="00A368DB"/>
    <w:rsid w:val="00A423AA"/>
    <w:rsid w:val="00A53EC6"/>
    <w:rsid w:val="00A55C0F"/>
    <w:rsid w:val="00A655D3"/>
    <w:rsid w:val="00A66518"/>
    <w:rsid w:val="00A67B6B"/>
    <w:rsid w:val="00A86966"/>
    <w:rsid w:val="00A8713F"/>
    <w:rsid w:val="00A90BA1"/>
    <w:rsid w:val="00A97A9A"/>
    <w:rsid w:val="00AA0671"/>
    <w:rsid w:val="00AA2531"/>
    <w:rsid w:val="00AB1E09"/>
    <w:rsid w:val="00AB5330"/>
    <w:rsid w:val="00AB6C77"/>
    <w:rsid w:val="00AB7747"/>
    <w:rsid w:val="00AC14CE"/>
    <w:rsid w:val="00AC2A56"/>
    <w:rsid w:val="00AD055E"/>
    <w:rsid w:val="00AD47A7"/>
    <w:rsid w:val="00AF0CBF"/>
    <w:rsid w:val="00AF257F"/>
    <w:rsid w:val="00AF33CF"/>
    <w:rsid w:val="00AF4D50"/>
    <w:rsid w:val="00AF6179"/>
    <w:rsid w:val="00B0155F"/>
    <w:rsid w:val="00B1295A"/>
    <w:rsid w:val="00B20A45"/>
    <w:rsid w:val="00B22C5C"/>
    <w:rsid w:val="00B24F30"/>
    <w:rsid w:val="00B31ABF"/>
    <w:rsid w:val="00B33BE3"/>
    <w:rsid w:val="00B4700A"/>
    <w:rsid w:val="00B47384"/>
    <w:rsid w:val="00B53B5D"/>
    <w:rsid w:val="00B561B7"/>
    <w:rsid w:val="00B6055E"/>
    <w:rsid w:val="00B6317D"/>
    <w:rsid w:val="00B7723F"/>
    <w:rsid w:val="00B80534"/>
    <w:rsid w:val="00B8433C"/>
    <w:rsid w:val="00B87491"/>
    <w:rsid w:val="00BA29E9"/>
    <w:rsid w:val="00BA7142"/>
    <w:rsid w:val="00BB237C"/>
    <w:rsid w:val="00BB2E60"/>
    <w:rsid w:val="00BB41A3"/>
    <w:rsid w:val="00BC32DC"/>
    <w:rsid w:val="00BC35B6"/>
    <w:rsid w:val="00BC66B9"/>
    <w:rsid w:val="00BD1B51"/>
    <w:rsid w:val="00BD4596"/>
    <w:rsid w:val="00BE1405"/>
    <w:rsid w:val="00BE312D"/>
    <w:rsid w:val="00BF1C20"/>
    <w:rsid w:val="00C0482F"/>
    <w:rsid w:val="00C10578"/>
    <w:rsid w:val="00C135BC"/>
    <w:rsid w:val="00C15C95"/>
    <w:rsid w:val="00C2596A"/>
    <w:rsid w:val="00C27537"/>
    <w:rsid w:val="00C328FE"/>
    <w:rsid w:val="00C33507"/>
    <w:rsid w:val="00C35938"/>
    <w:rsid w:val="00C36374"/>
    <w:rsid w:val="00C4409D"/>
    <w:rsid w:val="00C44E72"/>
    <w:rsid w:val="00C45A06"/>
    <w:rsid w:val="00C47E5B"/>
    <w:rsid w:val="00C541E4"/>
    <w:rsid w:val="00C61E4B"/>
    <w:rsid w:val="00C64BFF"/>
    <w:rsid w:val="00C704E9"/>
    <w:rsid w:val="00C7332C"/>
    <w:rsid w:val="00C763C9"/>
    <w:rsid w:val="00C80057"/>
    <w:rsid w:val="00C80AC1"/>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13557"/>
    <w:rsid w:val="00D308ED"/>
    <w:rsid w:val="00D354A2"/>
    <w:rsid w:val="00D36D86"/>
    <w:rsid w:val="00D428AA"/>
    <w:rsid w:val="00D50A34"/>
    <w:rsid w:val="00D53EFA"/>
    <w:rsid w:val="00D6733E"/>
    <w:rsid w:val="00D94872"/>
    <w:rsid w:val="00D94A7C"/>
    <w:rsid w:val="00D95896"/>
    <w:rsid w:val="00DB2983"/>
    <w:rsid w:val="00DB3391"/>
    <w:rsid w:val="00DC1257"/>
    <w:rsid w:val="00DC3DC0"/>
    <w:rsid w:val="00DC5B2B"/>
    <w:rsid w:val="00DD318D"/>
    <w:rsid w:val="00DE32AB"/>
    <w:rsid w:val="00DE33CC"/>
    <w:rsid w:val="00DE72A2"/>
    <w:rsid w:val="00DF2E12"/>
    <w:rsid w:val="00DF514A"/>
    <w:rsid w:val="00DF6047"/>
    <w:rsid w:val="00DF6690"/>
    <w:rsid w:val="00DF6804"/>
    <w:rsid w:val="00E0358D"/>
    <w:rsid w:val="00E04323"/>
    <w:rsid w:val="00E070A2"/>
    <w:rsid w:val="00E16B5C"/>
    <w:rsid w:val="00E23F45"/>
    <w:rsid w:val="00E2656A"/>
    <w:rsid w:val="00E412D0"/>
    <w:rsid w:val="00E56322"/>
    <w:rsid w:val="00E60982"/>
    <w:rsid w:val="00E62C62"/>
    <w:rsid w:val="00E6321E"/>
    <w:rsid w:val="00E654C1"/>
    <w:rsid w:val="00E65D97"/>
    <w:rsid w:val="00E72A5A"/>
    <w:rsid w:val="00E73354"/>
    <w:rsid w:val="00E84E54"/>
    <w:rsid w:val="00E92325"/>
    <w:rsid w:val="00E9242D"/>
    <w:rsid w:val="00EB5255"/>
    <w:rsid w:val="00EB546F"/>
    <w:rsid w:val="00EB5C47"/>
    <w:rsid w:val="00ED0639"/>
    <w:rsid w:val="00EE584E"/>
    <w:rsid w:val="00EF4755"/>
    <w:rsid w:val="00EF7135"/>
    <w:rsid w:val="00F027DB"/>
    <w:rsid w:val="00F02C50"/>
    <w:rsid w:val="00F135AE"/>
    <w:rsid w:val="00F14A7A"/>
    <w:rsid w:val="00F22985"/>
    <w:rsid w:val="00F3383E"/>
    <w:rsid w:val="00F35CCF"/>
    <w:rsid w:val="00F465A7"/>
    <w:rsid w:val="00F50B7C"/>
    <w:rsid w:val="00F550E6"/>
    <w:rsid w:val="00F6334B"/>
    <w:rsid w:val="00F65CFC"/>
    <w:rsid w:val="00F74345"/>
    <w:rsid w:val="00F80A0A"/>
    <w:rsid w:val="00F82B19"/>
    <w:rsid w:val="00F9212D"/>
    <w:rsid w:val="00F965DA"/>
    <w:rsid w:val="00FA1E76"/>
    <w:rsid w:val="00FA406A"/>
    <w:rsid w:val="00FB503A"/>
    <w:rsid w:val="00FB516C"/>
    <w:rsid w:val="00FD0236"/>
    <w:rsid w:val="00FD18F4"/>
    <w:rsid w:val="00FD1CD4"/>
    <w:rsid w:val="00FD54DB"/>
    <w:rsid w:val="00FD572A"/>
    <w:rsid w:val="00FD619F"/>
    <w:rsid w:val="00FF666F"/>
    <w:rsid w:val="01290F7E"/>
    <w:rsid w:val="014B49E7"/>
    <w:rsid w:val="01593EE2"/>
    <w:rsid w:val="015D1E09"/>
    <w:rsid w:val="015E71CB"/>
    <w:rsid w:val="0165325A"/>
    <w:rsid w:val="016C1863"/>
    <w:rsid w:val="017D478D"/>
    <w:rsid w:val="01932548"/>
    <w:rsid w:val="01BA1010"/>
    <w:rsid w:val="01CD7566"/>
    <w:rsid w:val="01D86DA1"/>
    <w:rsid w:val="01F820A1"/>
    <w:rsid w:val="0210171C"/>
    <w:rsid w:val="02235B0E"/>
    <w:rsid w:val="022E5EA7"/>
    <w:rsid w:val="023D53B1"/>
    <w:rsid w:val="02697903"/>
    <w:rsid w:val="028C1950"/>
    <w:rsid w:val="02BC7D06"/>
    <w:rsid w:val="02BE3545"/>
    <w:rsid w:val="02C31E14"/>
    <w:rsid w:val="02CF14AA"/>
    <w:rsid w:val="02D05A65"/>
    <w:rsid w:val="02D27476"/>
    <w:rsid w:val="02F96569"/>
    <w:rsid w:val="030011E1"/>
    <w:rsid w:val="03100C26"/>
    <w:rsid w:val="03273A4E"/>
    <w:rsid w:val="033B3028"/>
    <w:rsid w:val="03535432"/>
    <w:rsid w:val="035706A0"/>
    <w:rsid w:val="0359335C"/>
    <w:rsid w:val="036E7057"/>
    <w:rsid w:val="0386476F"/>
    <w:rsid w:val="038D18A6"/>
    <w:rsid w:val="039C1979"/>
    <w:rsid w:val="03B40C19"/>
    <w:rsid w:val="03C446D9"/>
    <w:rsid w:val="03EA7B21"/>
    <w:rsid w:val="040C5A1F"/>
    <w:rsid w:val="04150EAD"/>
    <w:rsid w:val="04450FCC"/>
    <w:rsid w:val="04492AEE"/>
    <w:rsid w:val="04846363"/>
    <w:rsid w:val="04930B73"/>
    <w:rsid w:val="04A75D62"/>
    <w:rsid w:val="04CE1F84"/>
    <w:rsid w:val="04D01703"/>
    <w:rsid w:val="04D0318B"/>
    <w:rsid w:val="053B29DC"/>
    <w:rsid w:val="05402FF1"/>
    <w:rsid w:val="05403E39"/>
    <w:rsid w:val="054045A4"/>
    <w:rsid w:val="05580ED4"/>
    <w:rsid w:val="057D3441"/>
    <w:rsid w:val="05BB5375"/>
    <w:rsid w:val="05F20A45"/>
    <w:rsid w:val="05F83EAE"/>
    <w:rsid w:val="06193463"/>
    <w:rsid w:val="063E7D85"/>
    <w:rsid w:val="06415A03"/>
    <w:rsid w:val="06673A96"/>
    <w:rsid w:val="06674C6D"/>
    <w:rsid w:val="067A394D"/>
    <w:rsid w:val="0684226E"/>
    <w:rsid w:val="06875D43"/>
    <w:rsid w:val="06BA7D75"/>
    <w:rsid w:val="06CE64BD"/>
    <w:rsid w:val="07167054"/>
    <w:rsid w:val="07240C36"/>
    <w:rsid w:val="07256E42"/>
    <w:rsid w:val="07293586"/>
    <w:rsid w:val="07295285"/>
    <w:rsid w:val="074B5BB4"/>
    <w:rsid w:val="075910E0"/>
    <w:rsid w:val="07636392"/>
    <w:rsid w:val="07650989"/>
    <w:rsid w:val="076D582B"/>
    <w:rsid w:val="07731819"/>
    <w:rsid w:val="07770C56"/>
    <w:rsid w:val="07825660"/>
    <w:rsid w:val="07AE4685"/>
    <w:rsid w:val="07D1292D"/>
    <w:rsid w:val="07D93D20"/>
    <w:rsid w:val="07E819C9"/>
    <w:rsid w:val="08110A1D"/>
    <w:rsid w:val="082F6217"/>
    <w:rsid w:val="083F351E"/>
    <w:rsid w:val="08487F22"/>
    <w:rsid w:val="087E1C1F"/>
    <w:rsid w:val="088A30FF"/>
    <w:rsid w:val="08CB6262"/>
    <w:rsid w:val="08FD4A0D"/>
    <w:rsid w:val="09214893"/>
    <w:rsid w:val="092217DD"/>
    <w:rsid w:val="09241E8E"/>
    <w:rsid w:val="09367B0A"/>
    <w:rsid w:val="0938428C"/>
    <w:rsid w:val="093A7294"/>
    <w:rsid w:val="098766D7"/>
    <w:rsid w:val="098A7CA9"/>
    <w:rsid w:val="09E5152E"/>
    <w:rsid w:val="09E8480C"/>
    <w:rsid w:val="09F64DC7"/>
    <w:rsid w:val="0A0B0E13"/>
    <w:rsid w:val="0A103ADD"/>
    <w:rsid w:val="0A263993"/>
    <w:rsid w:val="0A2907FC"/>
    <w:rsid w:val="0A2D3AC2"/>
    <w:rsid w:val="0A771712"/>
    <w:rsid w:val="0A7C1081"/>
    <w:rsid w:val="0A7C2FEB"/>
    <w:rsid w:val="0AA755DF"/>
    <w:rsid w:val="0AB96FFF"/>
    <w:rsid w:val="0AE7534D"/>
    <w:rsid w:val="0AED6C17"/>
    <w:rsid w:val="0B120D44"/>
    <w:rsid w:val="0B1446EF"/>
    <w:rsid w:val="0B1A305C"/>
    <w:rsid w:val="0B971310"/>
    <w:rsid w:val="0B9A6334"/>
    <w:rsid w:val="0BAE1D10"/>
    <w:rsid w:val="0BD27BF6"/>
    <w:rsid w:val="0BD75B32"/>
    <w:rsid w:val="0BE5233C"/>
    <w:rsid w:val="0BE979E8"/>
    <w:rsid w:val="0BEB4698"/>
    <w:rsid w:val="0C14470F"/>
    <w:rsid w:val="0C3B3C7D"/>
    <w:rsid w:val="0C54210C"/>
    <w:rsid w:val="0C6E02E5"/>
    <w:rsid w:val="0C7E7956"/>
    <w:rsid w:val="0C83197D"/>
    <w:rsid w:val="0C9A31F0"/>
    <w:rsid w:val="0CA971D2"/>
    <w:rsid w:val="0CAB2EAE"/>
    <w:rsid w:val="0CB067BE"/>
    <w:rsid w:val="0CD34ECA"/>
    <w:rsid w:val="0D13618D"/>
    <w:rsid w:val="0D2C0260"/>
    <w:rsid w:val="0D330985"/>
    <w:rsid w:val="0D4C5AE1"/>
    <w:rsid w:val="0D621C7D"/>
    <w:rsid w:val="0D883B34"/>
    <w:rsid w:val="0D891140"/>
    <w:rsid w:val="0D9B64BA"/>
    <w:rsid w:val="0DC174FE"/>
    <w:rsid w:val="0DCD6328"/>
    <w:rsid w:val="0DE26A32"/>
    <w:rsid w:val="0DE64201"/>
    <w:rsid w:val="0DF56797"/>
    <w:rsid w:val="0E06770C"/>
    <w:rsid w:val="0E0849BE"/>
    <w:rsid w:val="0E245572"/>
    <w:rsid w:val="0E4F4A42"/>
    <w:rsid w:val="0E73034D"/>
    <w:rsid w:val="0E825B5E"/>
    <w:rsid w:val="0E927B7C"/>
    <w:rsid w:val="0E9F768C"/>
    <w:rsid w:val="0EC51C6C"/>
    <w:rsid w:val="0ED13D9C"/>
    <w:rsid w:val="0ED2335F"/>
    <w:rsid w:val="0F035B62"/>
    <w:rsid w:val="0F113188"/>
    <w:rsid w:val="0F13775A"/>
    <w:rsid w:val="0F3320FE"/>
    <w:rsid w:val="0F5F45FE"/>
    <w:rsid w:val="0F737C41"/>
    <w:rsid w:val="0F965E57"/>
    <w:rsid w:val="0F9A112B"/>
    <w:rsid w:val="0FA525BE"/>
    <w:rsid w:val="0FB846F1"/>
    <w:rsid w:val="0FCC4E3B"/>
    <w:rsid w:val="0FDE5286"/>
    <w:rsid w:val="0FF57CA2"/>
    <w:rsid w:val="0FF86B93"/>
    <w:rsid w:val="0FFC617D"/>
    <w:rsid w:val="1026140F"/>
    <w:rsid w:val="1050722C"/>
    <w:rsid w:val="106D2F64"/>
    <w:rsid w:val="10717588"/>
    <w:rsid w:val="10804B4A"/>
    <w:rsid w:val="10807E0D"/>
    <w:rsid w:val="108252A3"/>
    <w:rsid w:val="10B35AF6"/>
    <w:rsid w:val="10B63710"/>
    <w:rsid w:val="10C608F6"/>
    <w:rsid w:val="10CE1978"/>
    <w:rsid w:val="10F10820"/>
    <w:rsid w:val="111C2F7A"/>
    <w:rsid w:val="11373ABD"/>
    <w:rsid w:val="11434105"/>
    <w:rsid w:val="115C04AD"/>
    <w:rsid w:val="11665CA1"/>
    <w:rsid w:val="1169503D"/>
    <w:rsid w:val="11760EC5"/>
    <w:rsid w:val="118045F5"/>
    <w:rsid w:val="118A1C16"/>
    <w:rsid w:val="118F66DA"/>
    <w:rsid w:val="11A0056A"/>
    <w:rsid w:val="11A73446"/>
    <w:rsid w:val="11AB6A7C"/>
    <w:rsid w:val="11C50562"/>
    <w:rsid w:val="11DF51F0"/>
    <w:rsid w:val="12086674"/>
    <w:rsid w:val="1215405E"/>
    <w:rsid w:val="124A57A9"/>
    <w:rsid w:val="12735249"/>
    <w:rsid w:val="129C4937"/>
    <w:rsid w:val="12AE0195"/>
    <w:rsid w:val="12C0761F"/>
    <w:rsid w:val="12E5461B"/>
    <w:rsid w:val="12F27869"/>
    <w:rsid w:val="13080E90"/>
    <w:rsid w:val="131D3031"/>
    <w:rsid w:val="13417327"/>
    <w:rsid w:val="1344612C"/>
    <w:rsid w:val="134C3538"/>
    <w:rsid w:val="136515FF"/>
    <w:rsid w:val="13682F57"/>
    <w:rsid w:val="13951726"/>
    <w:rsid w:val="13AD5C04"/>
    <w:rsid w:val="13C42ADB"/>
    <w:rsid w:val="13DD3755"/>
    <w:rsid w:val="13F53AE2"/>
    <w:rsid w:val="142E41BA"/>
    <w:rsid w:val="14396509"/>
    <w:rsid w:val="144017A4"/>
    <w:rsid w:val="14480E52"/>
    <w:rsid w:val="1456668F"/>
    <w:rsid w:val="1457366A"/>
    <w:rsid w:val="14601D7C"/>
    <w:rsid w:val="1462302C"/>
    <w:rsid w:val="148337CA"/>
    <w:rsid w:val="14927336"/>
    <w:rsid w:val="14DD2C3C"/>
    <w:rsid w:val="14E70D5B"/>
    <w:rsid w:val="1504525C"/>
    <w:rsid w:val="15373E0B"/>
    <w:rsid w:val="154C5FE1"/>
    <w:rsid w:val="154D4DB8"/>
    <w:rsid w:val="15B47C71"/>
    <w:rsid w:val="15BF7C8B"/>
    <w:rsid w:val="15C724C9"/>
    <w:rsid w:val="15E37124"/>
    <w:rsid w:val="15ED547E"/>
    <w:rsid w:val="15EF7F09"/>
    <w:rsid w:val="15F335E7"/>
    <w:rsid w:val="15F35DEB"/>
    <w:rsid w:val="16087E1D"/>
    <w:rsid w:val="16235394"/>
    <w:rsid w:val="163B2879"/>
    <w:rsid w:val="164C0EAF"/>
    <w:rsid w:val="16567334"/>
    <w:rsid w:val="167D6F70"/>
    <w:rsid w:val="167F7D01"/>
    <w:rsid w:val="16966D04"/>
    <w:rsid w:val="16AE015C"/>
    <w:rsid w:val="16B72732"/>
    <w:rsid w:val="16BE130A"/>
    <w:rsid w:val="16C46FE7"/>
    <w:rsid w:val="16E00B16"/>
    <w:rsid w:val="16F65783"/>
    <w:rsid w:val="16FC6699"/>
    <w:rsid w:val="17060D55"/>
    <w:rsid w:val="17255A08"/>
    <w:rsid w:val="172B380A"/>
    <w:rsid w:val="174E092D"/>
    <w:rsid w:val="1761646F"/>
    <w:rsid w:val="17701D14"/>
    <w:rsid w:val="17735226"/>
    <w:rsid w:val="17B15172"/>
    <w:rsid w:val="17D9491B"/>
    <w:rsid w:val="17E54B40"/>
    <w:rsid w:val="17F13F68"/>
    <w:rsid w:val="180E34E8"/>
    <w:rsid w:val="183B3351"/>
    <w:rsid w:val="18511A82"/>
    <w:rsid w:val="18517338"/>
    <w:rsid w:val="1855203D"/>
    <w:rsid w:val="185B536B"/>
    <w:rsid w:val="187C631C"/>
    <w:rsid w:val="189F624C"/>
    <w:rsid w:val="18D558B3"/>
    <w:rsid w:val="18E7242D"/>
    <w:rsid w:val="18E96CFD"/>
    <w:rsid w:val="18FE4652"/>
    <w:rsid w:val="19457D54"/>
    <w:rsid w:val="19481A81"/>
    <w:rsid w:val="194E5B91"/>
    <w:rsid w:val="19915300"/>
    <w:rsid w:val="19966A1B"/>
    <w:rsid w:val="19A44517"/>
    <w:rsid w:val="19AE379B"/>
    <w:rsid w:val="19B47B73"/>
    <w:rsid w:val="19C232D4"/>
    <w:rsid w:val="19C42D18"/>
    <w:rsid w:val="19D01914"/>
    <w:rsid w:val="19D212B4"/>
    <w:rsid w:val="19D22B7F"/>
    <w:rsid w:val="19E358F3"/>
    <w:rsid w:val="1A05542B"/>
    <w:rsid w:val="1A1773DF"/>
    <w:rsid w:val="1A1C66C0"/>
    <w:rsid w:val="1A2D5CFF"/>
    <w:rsid w:val="1A3A3310"/>
    <w:rsid w:val="1A42393B"/>
    <w:rsid w:val="1AAD45DE"/>
    <w:rsid w:val="1ABE55EE"/>
    <w:rsid w:val="1B046F80"/>
    <w:rsid w:val="1B0C5F6E"/>
    <w:rsid w:val="1B1F3725"/>
    <w:rsid w:val="1B271982"/>
    <w:rsid w:val="1B2F01BA"/>
    <w:rsid w:val="1B3267B5"/>
    <w:rsid w:val="1B3902DD"/>
    <w:rsid w:val="1B40161D"/>
    <w:rsid w:val="1B441859"/>
    <w:rsid w:val="1B623FAD"/>
    <w:rsid w:val="1B6606B1"/>
    <w:rsid w:val="1B6D6F3A"/>
    <w:rsid w:val="1B7259B0"/>
    <w:rsid w:val="1B8344B5"/>
    <w:rsid w:val="1BAA0256"/>
    <w:rsid w:val="1BB215F7"/>
    <w:rsid w:val="1BC258CB"/>
    <w:rsid w:val="1BC83DAE"/>
    <w:rsid w:val="1C063CE4"/>
    <w:rsid w:val="1C2F5C31"/>
    <w:rsid w:val="1C4927E8"/>
    <w:rsid w:val="1C540FBC"/>
    <w:rsid w:val="1C5E7925"/>
    <w:rsid w:val="1C952C05"/>
    <w:rsid w:val="1C9B7A05"/>
    <w:rsid w:val="1CA24697"/>
    <w:rsid w:val="1CCC1F57"/>
    <w:rsid w:val="1CF9709D"/>
    <w:rsid w:val="1CFD070F"/>
    <w:rsid w:val="1D173F48"/>
    <w:rsid w:val="1D1C03C5"/>
    <w:rsid w:val="1D207C95"/>
    <w:rsid w:val="1D3849FD"/>
    <w:rsid w:val="1D586D16"/>
    <w:rsid w:val="1D5F6196"/>
    <w:rsid w:val="1D6132A5"/>
    <w:rsid w:val="1D6E70D6"/>
    <w:rsid w:val="1D8E56D5"/>
    <w:rsid w:val="1D9308BD"/>
    <w:rsid w:val="1DC80A69"/>
    <w:rsid w:val="1DF91CEC"/>
    <w:rsid w:val="1E0D3085"/>
    <w:rsid w:val="1E1C7DDF"/>
    <w:rsid w:val="1E495956"/>
    <w:rsid w:val="1E4B0497"/>
    <w:rsid w:val="1E5A22DA"/>
    <w:rsid w:val="1E5E1371"/>
    <w:rsid w:val="1E68619D"/>
    <w:rsid w:val="1E722BF5"/>
    <w:rsid w:val="1E7A43DA"/>
    <w:rsid w:val="1EBA4931"/>
    <w:rsid w:val="1EDD1365"/>
    <w:rsid w:val="1EEF62CD"/>
    <w:rsid w:val="1F2332A4"/>
    <w:rsid w:val="1F3033E0"/>
    <w:rsid w:val="1F3333E7"/>
    <w:rsid w:val="1F340921"/>
    <w:rsid w:val="1F7155A1"/>
    <w:rsid w:val="1F901726"/>
    <w:rsid w:val="1FB41916"/>
    <w:rsid w:val="1FC25247"/>
    <w:rsid w:val="1FC654AC"/>
    <w:rsid w:val="1FC74620"/>
    <w:rsid w:val="1FDE0F55"/>
    <w:rsid w:val="1FE66ECB"/>
    <w:rsid w:val="1FE7539E"/>
    <w:rsid w:val="1FFC71EE"/>
    <w:rsid w:val="20005396"/>
    <w:rsid w:val="201A7FB9"/>
    <w:rsid w:val="203767C6"/>
    <w:rsid w:val="20465950"/>
    <w:rsid w:val="20671BE0"/>
    <w:rsid w:val="2076562B"/>
    <w:rsid w:val="208B1506"/>
    <w:rsid w:val="208B1A2D"/>
    <w:rsid w:val="20963CB8"/>
    <w:rsid w:val="20A81A1B"/>
    <w:rsid w:val="20A9775C"/>
    <w:rsid w:val="20B07FB6"/>
    <w:rsid w:val="20B1527D"/>
    <w:rsid w:val="20B646FB"/>
    <w:rsid w:val="20CF163F"/>
    <w:rsid w:val="20F200CB"/>
    <w:rsid w:val="20F274D9"/>
    <w:rsid w:val="2101479B"/>
    <w:rsid w:val="213B74B1"/>
    <w:rsid w:val="21507B40"/>
    <w:rsid w:val="21516760"/>
    <w:rsid w:val="215A2310"/>
    <w:rsid w:val="216862FD"/>
    <w:rsid w:val="21972421"/>
    <w:rsid w:val="219A43B2"/>
    <w:rsid w:val="21B91FE3"/>
    <w:rsid w:val="21CA04A2"/>
    <w:rsid w:val="21CA49D3"/>
    <w:rsid w:val="21DE318A"/>
    <w:rsid w:val="21E67249"/>
    <w:rsid w:val="21E84440"/>
    <w:rsid w:val="21EF5B80"/>
    <w:rsid w:val="2210082E"/>
    <w:rsid w:val="221D14F5"/>
    <w:rsid w:val="221F0889"/>
    <w:rsid w:val="22377D1C"/>
    <w:rsid w:val="22576990"/>
    <w:rsid w:val="22B85789"/>
    <w:rsid w:val="22BF668E"/>
    <w:rsid w:val="22EB6579"/>
    <w:rsid w:val="22F47480"/>
    <w:rsid w:val="23053EBF"/>
    <w:rsid w:val="232274C8"/>
    <w:rsid w:val="23231211"/>
    <w:rsid w:val="23276892"/>
    <w:rsid w:val="23582B3E"/>
    <w:rsid w:val="236B2561"/>
    <w:rsid w:val="23737B69"/>
    <w:rsid w:val="237544B8"/>
    <w:rsid w:val="23880BB9"/>
    <w:rsid w:val="23897CB7"/>
    <w:rsid w:val="239879A2"/>
    <w:rsid w:val="23DE1C48"/>
    <w:rsid w:val="23E84741"/>
    <w:rsid w:val="240210CD"/>
    <w:rsid w:val="240F46B6"/>
    <w:rsid w:val="24173723"/>
    <w:rsid w:val="24271D5D"/>
    <w:rsid w:val="243A0310"/>
    <w:rsid w:val="24487048"/>
    <w:rsid w:val="245817BE"/>
    <w:rsid w:val="245E3510"/>
    <w:rsid w:val="245F1C2C"/>
    <w:rsid w:val="248A1E01"/>
    <w:rsid w:val="249479E4"/>
    <w:rsid w:val="24BF09F7"/>
    <w:rsid w:val="24C16CBD"/>
    <w:rsid w:val="24D43571"/>
    <w:rsid w:val="24DF4D8F"/>
    <w:rsid w:val="24FF75CD"/>
    <w:rsid w:val="250D59BB"/>
    <w:rsid w:val="25270E8B"/>
    <w:rsid w:val="252D53FE"/>
    <w:rsid w:val="252F1AE8"/>
    <w:rsid w:val="25427233"/>
    <w:rsid w:val="254E4427"/>
    <w:rsid w:val="25585F5F"/>
    <w:rsid w:val="25590621"/>
    <w:rsid w:val="255D0D5D"/>
    <w:rsid w:val="25664C67"/>
    <w:rsid w:val="257F3613"/>
    <w:rsid w:val="25AB6EA2"/>
    <w:rsid w:val="25B65727"/>
    <w:rsid w:val="25D7012F"/>
    <w:rsid w:val="25E71D52"/>
    <w:rsid w:val="25E97FC5"/>
    <w:rsid w:val="25EA2C2E"/>
    <w:rsid w:val="25EC2D81"/>
    <w:rsid w:val="261614E1"/>
    <w:rsid w:val="262D624E"/>
    <w:rsid w:val="26385992"/>
    <w:rsid w:val="264A32DF"/>
    <w:rsid w:val="264A5E3F"/>
    <w:rsid w:val="264D5ED8"/>
    <w:rsid w:val="26721FB7"/>
    <w:rsid w:val="26751875"/>
    <w:rsid w:val="26755F33"/>
    <w:rsid w:val="26920320"/>
    <w:rsid w:val="26B662EF"/>
    <w:rsid w:val="26B96967"/>
    <w:rsid w:val="26BF22D4"/>
    <w:rsid w:val="26C561E1"/>
    <w:rsid w:val="26E63E5F"/>
    <w:rsid w:val="26EE0F5D"/>
    <w:rsid w:val="27372B8A"/>
    <w:rsid w:val="277057A2"/>
    <w:rsid w:val="278734E4"/>
    <w:rsid w:val="2797719B"/>
    <w:rsid w:val="279D03D6"/>
    <w:rsid w:val="27EE22FC"/>
    <w:rsid w:val="2807037D"/>
    <w:rsid w:val="28105543"/>
    <w:rsid w:val="284A0FF5"/>
    <w:rsid w:val="285210B9"/>
    <w:rsid w:val="286A6F71"/>
    <w:rsid w:val="28AB5967"/>
    <w:rsid w:val="28AC77F5"/>
    <w:rsid w:val="28B121D1"/>
    <w:rsid w:val="28B66659"/>
    <w:rsid w:val="28C06890"/>
    <w:rsid w:val="28D347DD"/>
    <w:rsid w:val="29010F9F"/>
    <w:rsid w:val="29173FF1"/>
    <w:rsid w:val="29206EB8"/>
    <w:rsid w:val="292F0245"/>
    <w:rsid w:val="29595666"/>
    <w:rsid w:val="296B28BB"/>
    <w:rsid w:val="297D6D44"/>
    <w:rsid w:val="29874881"/>
    <w:rsid w:val="29E325E0"/>
    <w:rsid w:val="29EC4FC9"/>
    <w:rsid w:val="29FE2511"/>
    <w:rsid w:val="2A1C3B8E"/>
    <w:rsid w:val="2A262A33"/>
    <w:rsid w:val="2A452503"/>
    <w:rsid w:val="2A496A6F"/>
    <w:rsid w:val="2A8710E9"/>
    <w:rsid w:val="2A932D53"/>
    <w:rsid w:val="2AAD7386"/>
    <w:rsid w:val="2AAF6413"/>
    <w:rsid w:val="2ABA52C4"/>
    <w:rsid w:val="2AEA48ED"/>
    <w:rsid w:val="2B0C1615"/>
    <w:rsid w:val="2B2C16FF"/>
    <w:rsid w:val="2B583E2A"/>
    <w:rsid w:val="2B707820"/>
    <w:rsid w:val="2B801BA7"/>
    <w:rsid w:val="2B81456D"/>
    <w:rsid w:val="2B8C4734"/>
    <w:rsid w:val="2BA936A8"/>
    <w:rsid w:val="2BAF1FE4"/>
    <w:rsid w:val="2BC229F3"/>
    <w:rsid w:val="2BEA26BE"/>
    <w:rsid w:val="2C04375B"/>
    <w:rsid w:val="2C1102EE"/>
    <w:rsid w:val="2C315A5A"/>
    <w:rsid w:val="2C347EC1"/>
    <w:rsid w:val="2C4B1C25"/>
    <w:rsid w:val="2C50635D"/>
    <w:rsid w:val="2C724660"/>
    <w:rsid w:val="2C8E3426"/>
    <w:rsid w:val="2C8E5305"/>
    <w:rsid w:val="2C912078"/>
    <w:rsid w:val="2C9762B4"/>
    <w:rsid w:val="2CA2352F"/>
    <w:rsid w:val="2CEB563E"/>
    <w:rsid w:val="2D0042B6"/>
    <w:rsid w:val="2D1C18BB"/>
    <w:rsid w:val="2D297418"/>
    <w:rsid w:val="2D323F34"/>
    <w:rsid w:val="2D426E35"/>
    <w:rsid w:val="2D5A48F4"/>
    <w:rsid w:val="2D632021"/>
    <w:rsid w:val="2D703A18"/>
    <w:rsid w:val="2D71730D"/>
    <w:rsid w:val="2D8F7F54"/>
    <w:rsid w:val="2D9E56F5"/>
    <w:rsid w:val="2DA225FD"/>
    <w:rsid w:val="2DD227B8"/>
    <w:rsid w:val="2DEF7B6A"/>
    <w:rsid w:val="2E0B2ACC"/>
    <w:rsid w:val="2E215DBB"/>
    <w:rsid w:val="2E52624E"/>
    <w:rsid w:val="2E533FD5"/>
    <w:rsid w:val="2E5D33D6"/>
    <w:rsid w:val="2E5E5C1F"/>
    <w:rsid w:val="2E667F96"/>
    <w:rsid w:val="2E6C2644"/>
    <w:rsid w:val="2E705E5A"/>
    <w:rsid w:val="2E8226AB"/>
    <w:rsid w:val="2E8E4140"/>
    <w:rsid w:val="2EBE6F3E"/>
    <w:rsid w:val="2F1F3844"/>
    <w:rsid w:val="2F28099A"/>
    <w:rsid w:val="2F28586D"/>
    <w:rsid w:val="2F396265"/>
    <w:rsid w:val="2F3B2A6E"/>
    <w:rsid w:val="2F5A568C"/>
    <w:rsid w:val="2F867F7E"/>
    <w:rsid w:val="2FB551AD"/>
    <w:rsid w:val="2FB737C8"/>
    <w:rsid w:val="2FD065E6"/>
    <w:rsid w:val="2FD96870"/>
    <w:rsid w:val="2FDF1F8E"/>
    <w:rsid w:val="2FE47CD6"/>
    <w:rsid w:val="2FEE7084"/>
    <w:rsid w:val="2FF0372E"/>
    <w:rsid w:val="30085C5B"/>
    <w:rsid w:val="300A63CA"/>
    <w:rsid w:val="301E73AB"/>
    <w:rsid w:val="305245CE"/>
    <w:rsid w:val="305303BD"/>
    <w:rsid w:val="30580BC9"/>
    <w:rsid w:val="30585BF7"/>
    <w:rsid w:val="307865DE"/>
    <w:rsid w:val="308455A5"/>
    <w:rsid w:val="30A64860"/>
    <w:rsid w:val="30BC7BEA"/>
    <w:rsid w:val="30D50F78"/>
    <w:rsid w:val="30F47E4E"/>
    <w:rsid w:val="30FB48DB"/>
    <w:rsid w:val="311E2ED7"/>
    <w:rsid w:val="314224E0"/>
    <w:rsid w:val="315619EE"/>
    <w:rsid w:val="315C449C"/>
    <w:rsid w:val="31622A14"/>
    <w:rsid w:val="31860132"/>
    <w:rsid w:val="319C428F"/>
    <w:rsid w:val="31AB124D"/>
    <w:rsid w:val="31B82709"/>
    <w:rsid w:val="31D05482"/>
    <w:rsid w:val="31F4143C"/>
    <w:rsid w:val="320356BF"/>
    <w:rsid w:val="3205221E"/>
    <w:rsid w:val="32081862"/>
    <w:rsid w:val="320F14C1"/>
    <w:rsid w:val="322B44EF"/>
    <w:rsid w:val="32400B34"/>
    <w:rsid w:val="32627887"/>
    <w:rsid w:val="32774ADB"/>
    <w:rsid w:val="32951F62"/>
    <w:rsid w:val="32964197"/>
    <w:rsid w:val="329E6876"/>
    <w:rsid w:val="32AA3B29"/>
    <w:rsid w:val="32E5510F"/>
    <w:rsid w:val="32F420C0"/>
    <w:rsid w:val="32F61FE2"/>
    <w:rsid w:val="330048D6"/>
    <w:rsid w:val="330A1801"/>
    <w:rsid w:val="33245703"/>
    <w:rsid w:val="332C6A3E"/>
    <w:rsid w:val="333015F2"/>
    <w:rsid w:val="334B6320"/>
    <w:rsid w:val="335D0251"/>
    <w:rsid w:val="335E6B33"/>
    <w:rsid w:val="3363215A"/>
    <w:rsid w:val="33670156"/>
    <w:rsid w:val="336C51E4"/>
    <w:rsid w:val="33924FAC"/>
    <w:rsid w:val="33973E0B"/>
    <w:rsid w:val="33A075C0"/>
    <w:rsid w:val="33AA05E8"/>
    <w:rsid w:val="33C22015"/>
    <w:rsid w:val="33D934D4"/>
    <w:rsid w:val="33D9561C"/>
    <w:rsid w:val="33DE5327"/>
    <w:rsid w:val="33E058A4"/>
    <w:rsid w:val="33FE2F6A"/>
    <w:rsid w:val="340E07E5"/>
    <w:rsid w:val="34235BF7"/>
    <w:rsid w:val="34335589"/>
    <w:rsid w:val="348338B6"/>
    <w:rsid w:val="34890682"/>
    <w:rsid w:val="349D5752"/>
    <w:rsid w:val="34A418FC"/>
    <w:rsid w:val="34DB15D1"/>
    <w:rsid w:val="34FD723D"/>
    <w:rsid w:val="35091591"/>
    <w:rsid w:val="3509378F"/>
    <w:rsid w:val="350E4CE5"/>
    <w:rsid w:val="351D0B54"/>
    <w:rsid w:val="354E4DF5"/>
    <w:rsid w:val="354F6655"/>
    <w:rsid w:val="3555526F"/>
    <w:rsid w:val="35584B93"/>
    <w:rsid w:val="356B7267"/>
    <w:rsid w:val="358C5FA8"/>
    <w:rsid w:val="358C72C7"/>
    <w:rsid w:val="359D443D"/>
    <w:rsid w:val="35A87489"/>
    <w:rsid w:val="35B363DD"/>
    <w:rsid w:val="35C15DF1"/>
    <w:rsid w:val="35F570D4"/>
    <w:rsid w:val="36022C46"/>
    <w:rsid w:val="36074A7F"/>
    <w:rsid w:val="360C0002"/>
    <w:rsid w:val="361A2B23"/>
    <w:rsid w:val="362E6E81"/>
    <w:rsid w:val="363E0826"/>
    <w:rsid w:val="364E4E16"/>
    <w:rsid w:val="36760AE9"/>
    <w:rsid w:val="36915905"/>
    <w:rsid w:val="36923549"/>
    <w:rsid w:val="36A12AC7"/>
    <w:rsid w:val="36B75FBF"/>
    <w:rsid w:val="36BD0C45"/>
    <w:rsid w:val="36CC46F5"/>
    <w:rsid w:val="36D239CE"/>
    <w:rsid w:val="36F40202"/>
    <w:rsid w:val="37062A96"/>
    <w:rsid w:val="372178CA"/>
    <w:rsid w:val="3729447F"/>
    <w:rsid w:val="37377A94"/>
    <w:rsid w:val="374D3656"/>
    <w:rsid w:val="37630D83"/>
    <w:rsid w:val="376407A2"/>
    <w:rsid w:val="37725793"/>
    <w:rsid w:val="37A93783"/>
    <w:rsid w:val="37C4140A"/>
    <w:rsid w:val="37E00298"/>
    <w:rsid w:val="37F84740"/>
    <w:rsid w:val="37FC066A"/>
    <w:rsid w:val="380C1BC0"/>
    <w:rsid w:val="380D1E8F"/>
    <w:rsid w:val="381772A0"/>
    <w:rsid w:val="38275F04"/>
    <w:rsid w:val="382D2F7D"/>
    <w:rsid w:val="383908E9"/>
    <w:rsid w:val="38401BD6"/>
    <w:rsid w:val="38604B0B"/>
    <w:rsid w:val="38646BF9"/>
    <w:rsid w:val="38677666"/>
    <w:rsid w:val="38685C89"/>
    <w:rsid w:val="386D241A"/>
    <w:rsid w:val="38707E8C"/>
    <w:rsid w:val="387A674C"/>
    <w:rsid w:val="38815040"/>
    <w:rsid w:val="389B5BEA"/>
    <w:rsid w:val="38A0417B"/>
    <w:rsid w:val="38B302F9"/>
    <w:rsid w:val="38B3472F"/>
    <w:rsid w:val="38BE3DD3"/>
    <w:rsid w:val="38C13E23"/>
    <w:rsid w:val="38F12CD3"/>
    <w:rsid w:val="38F94775"/>
    <w:rsid w:val="391E081D"/>
    <w:rsid w:val="392971ED"/>
    <w:rsid w:val="39325651"/>
    <w:rsid w:val="393F756C"/>
    <w:rsid w:val="395872A2"/>
    <w:rsid w:val="396C29CA"/>
    <w:rsid w:val="398159B8"/>
    <w:rsid w:val="39926182"/>
    <w:rsid w:val="3994365A"/>
    <w:rsid w:val="3A0379ED"/>
    <w:rsid w:val="3A0C128A"/>
    <w:rsid w:val="3A1E67A6"/>
    <w:rsid w:val="3A3D667B"/>
    <w:rsid w:val="3A4D19D4"/>
    <w:rsid w:val="3A647D60"/>
    <w:rsid w:val="3A872856"/>
    <w:rsid w:val="3A8B650F"/>
    <w:rsid w:val="3AAA0386"/>
    <w:rsid w:val="3AB3405B"/>
    <w:rsid w:val="3ACD0488"/>
    <w:rsid w:val="3AEB54CE"/>
    <w:rsid w:val="3AEC164D"/>
    <w:rsid w:val="3B060C2E"/>
    <w:rsid w:val="3B1C49CC"/>
    <w:rsid w:val="3B1C786D"/>
    <w:rsid w:val="3B3763D1"/>
    <w:rsid w:val="3B3B099B"/>
    <w:rsid w:val="3B402C2D"/>
    <w:rsid w:val="3B4549C0"/>
    <w:rsid w:val="3B713194"/>
    <w:rsid w:val="3B815CB3"/>
    <w:rsid w:val="3B915EEC"/>
    <w:rsid w:val="3BB345F3"/>
    <w:rsid w:val="3BCD6A01"/>
    <w:rsid w:val="3BD96AD2"/>
    <w:rsid w:val="3BEE0357"/>
    <w:rsid w:val="3BF40835"/>
    <w:rsid w:val="3BF82174"/>
    <w:rsid w:val="3BFD0FE5"/>
    <w:rsid w:val="3C1960D7"/>
    <w:rsid w:val="3C2F6E1E"/>
    <w:rsid w:val="3C4F64BA"/>
    <w:rsid w:val="3C6C4AE9"/>
    <w:rsid w:val="3C790B6E"/>
    <w:rsid w:val="3C8A6E3C"/>
    <w:rsid w:val="3C8D6FB1"/>
    <w:rsid w:val="3C9133DD"/>
    <w:rsid w:val="3CBB0761"/>
    <w:rsid w:val="3CC55484"/>
    <w:rsid w:val="3CD31AD7"/>
    <w:rsid w:val="3CDA245A"/>
    <w:rsid w:val="3D1E06B7"/>
    <w:rsid w:val="3D20645C"/>
    <w:rsid w:val="3D3F477C"/>
    <w:rsid w:val="3D4457B5"/>
    <w:rsid w:val="3D562151"/>
    <w:rsid w:val="3DAD2317"/>
    <w:rsid w:val="3DC52B1B"/>
    <w:rsid w:val="3DD3167A"/>
    <w:rsid w:val="3DE7432E"/>
    <w:rsid w:val="3DF21D6F"/>
    <w:rsid w:val="3DF83E38"/>
    <w:rsid w:val="3E03338C"/>
    <w:rsid w:val="3E425114"/>
    <w:rsid w:val="3E600859"/>
    <w:rsid w:val="3E7262CB"/>
    <w:rsid w:val="3EBF5EC2"/>
    <w:rsid w:val="3EBF64F8"/>
    <w:rsid w:val="3EC44D49"/>
    <w:rsid w:val="3EDA0523"/>
    <w:rsid w:val="3F0062A9"/>
    <w:rsid w:val="3F0E727B"/>
    <w:rsid w:val="3F202BEA"/>
    <w:rsid w:val="3F4546CA"/>
    <w:rsid w:val="3F683268"/>
    <w:rsid w:val="3F694E87"/>
    <w:rsid w:val="3F8C7C18"/>
    <w:rsid w:val="3F9A31E0"/>
    <w:rsid w:val="3F9D57ED"/>
    <w:rsid w:val="3FAE1215"/>
    <w:rsid w:val="3FBA731C"/>
    <w:rsid w:val="3FC41290"/>
    <w:rsid w:val="3FD344B0"/>
    <w:rsid w:val="3FE86698"/>
    <w:rsid w:val="3FEC3520"/>
    <w:rsid w:val="3FF41EF8"/>
    <w:rsid w:val="40044397"/>
    <w:rsid w:val="401D2804"/>
    <w:rsid w:val="407A6407"/>
    <w:rsid w:val="408154F3"/>
    <w:rsid w:val="408769F6"/>
    <w:rsid w:val="40C27F71"/>
    <w:rsid w:val="40C66233"/>
    <w:rsid w:val="40D36145"/>
    <w:rsid w:val="40EB23A1"/>
    <w:rsid w:val="40F221BF"/>
    <w:rsid w:val="40FD201B"/>
    <w:rsid w:val="41070F3E"/>
    <w:rsid w:val="41372857"/>
    <w:rsid w:val="41506142"/>
    <w:rsid w:val="415B592E"/>
    <w:rsid w:val="41842516"/>
    <w:rsid w:val="41876D5D"/>
    <w:rsid w:val="419C2B3B"/>
    <w:rsid w:val="41A95E77"/>
    <w:rsid w:val="41B90E95"/>
    <w:rsid w:val="41EC3DB8"/>
    <w:rsid w:val="4200449D"/>
    <w:rsid w:val="422B6354"/>
    <w:rsid w:val="423A3BCC"/>
    <w:rsid w:val="424E57D2"/>
    <w:rsid w:val="425B2CFB"/>
    <w:rsid w:val="42717C84"/>
    <w:rsid w:val="42A71645"/>
    <w:rsid w:val="42B26C49"/>
    <w:rsid w:val="42B4218A"/>
    <w:rsid w:val="42BC538A"/>
    <w:rsid w:val="42D36D64"/>
    <w:rsid w:val="42D65F34"/>
    <w:rsid w:val="42E42CCB"/>
    <w:rsid w:val="42F869F2"/>
    <w:rsid w:val="430E3B7E"/>
    <w:rsid w:val="431A516A"/>
    <w:rsid w:val="43347798"/>
    <w:rsid w:val="433A6FE6"/>
    <w:rsid w:val="43480868"/>
    <w:rsid w:val="434877A5"/>
    <w:rsid w:val="4350713C"/>
    <w:rsid w:val="436653E0"/>
    <w:rsid w:val="4376346D"/>
    <w:rsid w:val="437C12E8"/>
    <w:rsid w:val="437C732A"/>
    <w:rsid w:val="437F26E6"/>
    <w:rsid w:val="43A93FCF"/>
    <w:rsid w:val="43AA5046"/>
    <w:rsid w:val="43C4431A"/>
    <w:rsid w:val="43F40803"/>
    <w:rsid w:val="441D54C9"/>
    <w:rsid w:val="442623D0"/>
    <w:rsid w:val="4426495C"/>
    <w:rsid w:val="448512B0"/>
    <w:rsid w:val="448D193E"/>
    <w:rsid w:val="448D794F"/>
    <w:rsid w:val="448F5B56"/>
    <w:rsid w:val="44A54257"/>
    <w:rsid w:val="44B951CC"/>
    <w:rsid w:val="44C747CC"/>
    <w:rsid w:val="44CD14E0"/>
    <w:rsid w:val="44D6336D"/>
    <w:rsid w:val="44ED3CA5"/>
    <w:rsid w:val="44F20B0B"/>
    <w:rsid w:val="450C2CDB"/>
    <w:rsid w:val="450C374E"/>
    <w:rsid w:val="452E5F4C"/>
    <w:rsid w:val="453A6A23"/>
    <w:rsid w:val="454A6FCB"/>
    <w:rsid w:val="45612018"/>
    <w:rsid w:val="457256E0"/>
    <w:rsid w:val="458946E9"/>
    <w:rsid w:val="45A2038E"/>
    <w:rsid w:val="45A47C0E"/>
    <w:rsid w:val="45EC4EF4"/>
    <w:rsid w:val="46252F12"/>
    <w:rsid w:val="462E2DF0"/>
    <w:rsid w:val="463D754A"/>
    <w:rsid w:val="46577FD6"/>
    <w:rsid w:val="4663360B"/>
    <w:rsid w:val="46683C12"/>
    <w:rsid w:val="46771647"/>
    <w:rsid w:val="46864AE5"/>
    <w:rsid w:val="469F6A79"/>
    <w:rsid w:val="46B21106"/>
    <w:rsid w:val="46B848FE"/>
    <w:rsid w:val="46C360D7"/>
    <w:rsid w:val="46C84923"/>
    <w:rsid w:val="46CC29A7"/>
    <w:rsid w:val="46D01A4F"/>
    <w:rsid w:val="46D955A7"/>
    <w:rsid w:val="46DA4E4A"/>
    <w:rsid w:val="46DF75F7"/>
    <w:rsid w:val="47133957"/>
    <w:rsid w:val="47303416"/>
    <w:rsid w:val="47384003"/>
    <w:rsid w:val="4761511A"/>
    <w:rsid w:val="478645E6"/>
    <w:rsid w:val="478B01F4"/>
    <w:rsid w:val="47A07E0C"/>
    <w:rsid w:val="47AF5A1F"/>
    <w:rsid w:val="47B14FA1"/>
    <w:rsid w:val="47BE2E76"/>
    <w:rsid w:val="47D61CD1"/>
    <w:rsid w:val="48191D9F"/>
    <w:rsid w:val="481E59F2"/>
    <w:rsid w:val="48400F6D"/>
    <w:rsid w:val="485C5262"/>
    <w:rsid w:val="4870272E"/>
    <w:rsid w:val="489D6486"/>
    <w:rsid w:val="48A56BA1"/>
    <w:rsid w:val="48DE63C3"/>
    <w:rsid w:val="48E823FB"/>
    <w:rsid w:val="48FE1841"/>
    <w:rsid w:val="4916028E"/>
    <w:rsid w:val="491B2F76"/>
    <w:rsid w:val="492C5C6D"/>
    <w:rsid w:val="494964CE"/>
    <w:rsid w:val="49597937"/>
    <w:rsid w:val="49651404"/>
    <w:rsid w:val="497E0921"/>
    <w:rsid w:val="49B67D6B"/>
    <w:rsid w:val="49DC7715"/>
    <w:rsid w:val="49F31C28"/>
    <w:rsid w:val="4A023139"/>
    <w:rsid w:val="4A0A1909"/>
    <w:rsid w:val="4A1959EB"/>
    <w:rsid w:val="4A1A079F"/>
    <w:rsid w:val="4A3E5026"/>
    <w:rsid w:val="4A7B576F"/>
    <w:rsid w:val="4A7F1833"/>
    <w:rsid w:val="4A826ECA"/>
    <w:rsid w:val="4AC11E1A"/>
    <w:rsid w:val="4AD621D7"/>
    <w:rsid w:val="4ADF16F3"/>
    <w:rsid w:val="4AF561A9"/>
    <w:rsid w:val="4B3350AC"/>
    <w:rsid w:val="4B90585C"/>
    <w:rsid w:val="4B976B77"/>
    <w:rsid w:val="4BF67423"/>
    <w:rsid w:val="4C00576B"/>
    <w:rsid w:val="4C275F84"/>
    <w:rsid w:val="4C276BC0"/>
    <w:rsid w:val="4C4A0649"/>
    <w:rsid w:val="4C6E7D2A"/>
    <w:rsid w:val="4C7E5ECA"/>
    <w:rsid w:val="4C876AA5"/>
    <w:rsid w:val="4C9C7E3F"/>
    <w:rsid w:val="4C9E2B86"/>
    <w:rsid w:val="4CA21380"/>
    <w:rsid w:val="4CA84651"/>
    <w:rsid w:val="4CAA6FD7"/>
    <w:rsid w:val="4CBB2A14"/>
    <w:rsid w:val="4CC20075"/>
    <w:rsid w:val="4CDA3FA2"/>
    <w:rsid w:val="4CE74AA9"/>
    <w:rsid w:val="4D0C5CD6"/>
    <w:rsid w:val="4D0E00FB"/>
    <w:rsid w:val="4D176606"/>
    <w:rsid w:val="4D4A3D56"/>
    <w:rsid w:val="4D4E738E"/>
    <w:rsid w:val="4DAF77C9"/>
    <w:rsid w:val="4DC31C35"/>
    <w:rsid w:val="4DC515A5"/>
    <w:rsid w:val="4DEC4FB0"/>
    <w:rsid w:val="4E075D8A"/>
    <w:rsid w:val="4E2B1A2D"/>
    <w:rsid w:val="4E5251A3"/>
    <w:rsid w:val="4E72078C"/>
    <w:rsid w:val="4E9C6AE9"/>
    <w:rsid w:val="4EA90CAE"/>
    <w:rsid w:val="4EC00FAD"/>
    <w:rsid w:val="4EC0295F"/>
    <w:rsid w:val="4ED92673"/>
    <w:rsid w:val="4EF639B0"/>
    <w:rsid w:val="4EF81A72"/>
    <w:rsid w:val="4F0B05B4"/>
    <w:rsid w:val="4F125021"/>
    <w:rsid w:val="4F2F2D76"/>
    <w:rsid w:val="4F360182"/>
    <w:rsid w:val="4F57580C"/>
    <w:rsid w:val="4F5F1F61"/>
    <w:rsid w:val="4F9843DC"/>
    <w:rsid w:val="4F9918AD"/>
    <w:rsid w:val="4FC62A8C"/>
    <w:rsid w:val="4FCD085F"/>
    <w:rsid w:val="4FE20F0D"/>
    <w:rsid w:val="4FE51552"/>
    <w:rsid w:val="50000001"/>
    <w:rsid w:val="500E2ED6"/>
    <w:rsid w:val="501F6B33"/>
    <w:rsid w:val="5027550C"/>
    <w:rsid w:val="503B5685"/>
    <w:rsid w:val="503C31D2"/>
    <w:rsid w:val="50504C4B"/>
    <w:rsid w:val="505A5524"/>
    <w:rsid w:val="507635A3"/>
    <w:rsid w:val="507F4EAA"/>
    <w:rsid w:val="50850E6E"/>
    <w:rsid w:val="508640E6"/>
    <w:rsid w:val="509A5FF6"/>
    <w:rsid w:val="509C6E7C"/>
    <w:rsid w:val="509C7DFC"/>
    <w:rsid w:val="509F79AE"/>
    <w:rsid w:val="50C1794B"/>
    <w:rsid w:val="50D575FF"/>
    <w:rsid w:val="50DA290B"/>
    <w:rsid w:val="510D7118"/>
    <w:rsid w:val="5111412B"/>
    <w:rsid w:val="5126542F"/>
    <w:rsid w:val="513149E8"/>
    <w:rsid w:val="5162104E"/>
    <w:rsid w:val="5165269B"/>
    <w:rsid w:val="51827557"/>
    <w:rsid w:val="518A5153"/>
    <w:rsid w:val="519A48E9"/>
    <w:rsid w:val="519F67B0"/>
    <w:rsid w:val="51A14996"/>
    <w:rsid w:val="51D44F2D"/>
    <w:rsid w:val="51E548D3"/>
    <w:rsid w:val="51EC762A"/>
    <w:rsid w:val="51EC7777"/>
    <w:rsid w:val="522E2B14"/>
    <w:rsid w:val="5237428E"/>
    <w:rsid w:val="523D2E73"/>
    <w:rsid w:val="52666914"/>
    <w:rsid w:val="5291586A"/>
    <w:rsid w:val="52D341F1"/>
    <w:rsid w:val="52D37D03"/>
    <w:rsid w:val="52EE53BE"/>
    <w:rsid w:val="530E0E43"/>
    <w:rsid w:val="530F6F88"/>
    <w:rsid w:val="535321C1"/>
    <w:rsid w:val="536F1D83"/>
    <w:rsid w:val="538E07A2"/>
    <w:rsid w:val="538E3809"/>
    <w:rsid w:val="53A039CC"/>
    <w:rsid w:val="53A1505A"/>
    <w:rsid w:val="53A73388"/>
    <w:rsid w:val="53B40C71"/>
    <w:rsid w:val="54063E08"/>
    <w:rsid w:val="543437E8"/>
    <w:rsid w:val="54504554"/>
    <w:rsid w:val="545B0FE3"/>
    <w:rsid w:val="546C6511"/>
    <w:rsid w:val="54733A61"/>
    <w:rsid w:val="54A343F4"/>
    <w:rsid w:val="54A45BF1"/>
    <w:rsid w:val="54AA1B9C"/>
    <w:rsid w:val="54B428FD"/>
    <w:rsid w:val="54C039B0"/>
    <w:rsid w:val="54E25430"/>
    <w:rsid w:val="54F73313"/>
    <w:rsid w:val="54F80955"/>
    <w:rsid w:val="55312EB3"/>
    <w:rsid w:val="555170A7"/>
    <w:rsid w:val="55623313"/>
    <w:rsid w:val="55797948"/>
    <w:rsid w:val="5587536D"/>
    <w:rsid w:val="559B174B"/>
    <w:rsid w:val="55A15289"/>
    <w:rsid w:val="55AB1EE1"/>
    <w:rsid w:val="55B42837"/>
    <w:rsid w:val="55CE0CF4"/>
    <w:rsid w:val="55CE392B"/>
    <w:rsid w:val="55DD43AB"/>
    <w:rsid w:val="55F33BA2"/>
    <w:rsid w:val="560F1802"/>
    <w:rsid w:val="562035D8"/>
    <w:rsid w:val="562B7F15"/>
    <w:rsid w:val="56384502"/>
    <w:rsid w:val="5653251F"/>
    <w:rsid w:val="5654390C"/>
    <w:rsid w:val="565D0EC4"/>
    <w:rsid w:val="56715AEE"/>
    <w:rsid w:val="56841F56"/>
    <w:rsid w:val="568D129A"/>
    <w:rsid w:val="569F51AC"/>
    <w:rsid w:val="56A47221"/>
    <w:rsid w:val="56B22A9C"/>
    <w:rsid w:val="56C113E6"/>
    <w:rsid w:val="56DB5E7F"/>
    <w:rsid w:val="56F61683"/>
    <w:rsid w:val="570C5A58"/>
    <w:rsid w:val="57210798"/>
    <w:rsid w:val="572B68B4"/>
    <w:rsid w:val="5774461D"/>
    <w:rsid w:val="579A3A46"/>
    <w:rsid w:val="579F756C"/>
    <w:rsid w:val="57A965D6"/>
    <w:rsid w:val="57B72A76"/>
    <w:rsid w:val="57C3426C"/>
    <w:rsid w:val="57CE1F93"/>
    <w:rsid w:val="57E35678"/>
    <w:rsid w:val="57F32D37"/>
    <w:rsid w:val="58036146"/>
    <w:rsid w:val="586B0907"/>
    <w:rsid w:val="587072A9"/>
    <w:rsid w:val="588743D1"/>
    <w:rsid w:val="5887701A"/>
    <w:rsid w:val="5898534D"/>
    <w:rsid w:val="58AE64F9"/>
    <w:rsid w:val="58B62562"/>
    <w:rsid w:val="58BB7A17"/>
    <w:rsid w:val="58BE3938"/>
    <w:rsid w:val="58FB2D8B"/>
    <w:rsid w:val="58FB310B"/>
    <w:rsid w:val="590F14A0"/>
    <w:rsid w:val="591150E3"/>
    <w:rsid w:val="592B4413"/>
    <w:rsid w:val="593D758D"/>
    <w:rsid w:val="597920CE"/>
    <w:rsid w:val="599D5761"/>
    <w:rsid w:val="59B04FC5"/>
    <w:rsid w:val="59C0439F"/>
    <w:rsid w:val="59D3726C"/>
    <w:rsid w:val="59D54705"/>
    <w:rsid w:val="59E508D1"/>
    <w:rsid w:val="59F65985"/>
    <w:rsid w:val="5A1D52DF"/>
    <w:rsid w:val="5A2028CF"/>
    <w:rsid w:val="5A2D3A76"/>
    <w:rsid w:val="5A440245"/>
    <w:rsid w:val="5A4C15F2"/>
    <w:rsid w:val="5A5468C1"/>
    <w:rsid w:val="5A590067"/>
    <w:rsid w:val="5A5A2AB9"/>
    <w:rsid w:val="5A6048D2"/>
    <w:rsid w:val="5AB72D62"/>
    <w:rsid w:val="5ABE2233"/>
    <w:rsid w:val="5B2603F1"/>
    <w:rsid w:val="5B587C67"/>
    <w:rsid w:val="5B7E72A8"/>
    <w:rsid w:val="5B906560"/>
    <w:rsid w:val="5B97302A"/>
    <w:rsid w:val="5BB15EF9"/>
    <w:rsid w:val="5BCF2884"/>
    <w:rsid w:val="5BDF5D95"/>
    <w:rsid w:val="5BEF71F0"/>
    <w:rsid w:val="5BFE7528"/>
    <w:rsid w:val="5C2B7A4A"/>
    <w:rsid w:val="5C2C57D9"/>
    <w:rsid w:val="5C3212FC"/>
    <w:rsid w:val="5C322ACF"/>
    <w:rsid w:val="5C514C46"/>
    <w:rsid w:val="5C522B03"/>
    <w:rsid w:val="5C87555C"/>
    <w:rsid w:val="5C8D5BE6"/>
    <w:rsid w:val="5CA64037"/>
    <w:rsid w:val="5CB9340E"/>
    <w:rsid w:val="5CC15EDF"/>
    <w:rsid w:val="5CDE00AE"/>
    <w:rsid w:val="5CEC747F"/>
    <w:rsid w:val="5D4F5DAE"/>
    <w:rsid w:val="5D616312"/>
    <w:rsid w:val="5D8E40C4"/>
    <w:rsid w:val="5DA36667"/>
    <w:rsid w:val="5DB379C1"/>
    <w:rsid w:val="5DB77E4C"/>
    <w:rsid w:val="5DDD651E"/>
    <w:rsid w:val="5E163479"/>
    <w:rsid w:val="5E2467F1"/>
    <w:rsid w:val="5E4071E5"/>
    <w:rsid w:val="5E6729C0"/>
    <w:rsid w:val="5E8B6F2B"/>
    <w:rsid w:val="5E9E7BBA"/>
    <w:rsid w:val="5EB10C2B"/>
    <w:rsid w:val="5EB72CC8"/>
    <w:rsid w:val="5EEF52F5"/>
    <w:rsid w:val="5F11127C"/>
    <w:rsid w:val="5F1A2B43"/>
    <w:rsid w:val="5F347C1B"/>
    <w:rsid w:val="5F3C12CD"/>
    <w:rsid w:val="5F5D2E4C"/>
    <w:rsid w:val="5F731427"/>
    <w:rsid w:val="5FA36200"/>
    <w:rsid w:val="5FAA2D32"/>
    <w:rsid w:val="5FB837BB"/>
    <w:rsid w:val="5FC0287E"/>
    <w:rsid w:val="5FC76D31"/>
    <w:rsid w:val="5FC90CF3"/>
    <w:rsid w:val="60025528"/>
    <w:rsid w:val="600F70A7"/>
    <w:rsid w:val="605A2348"/>
    <w:rsid w:val="607C451A"/>
    <w:rsid w:val="60806FCC"/>
    <w:rsid w:val="60AC2428"/>
    <w:rsid w:val="60B16F3D"/>
    <w:rsid w:val="60B53AE5"/>
    <w:rsid w:val="60B949BF"/>
    <w:rsid w:val="60BE7348"/>
    <w:rsid w:val="60CC405A"/>
    <w:rsid w:val="60DB11B6"/>
    <w:rsid w:val="60E61309"/>
    <w:rsid w:val="60E878FC"/>
    <w:rsid w:val="610A4623"/>
    <w:rsid w:val="61644FA0"/>
    <w:rsid w:val="61781F24"/>
    <w:rsid w:val="61E215D8"/>
    <w:rsid w:val="61ED05C1"/>
    <w:rsid w:val="61FD168E"/>
    <w:rsid w:val="621B3775"/>
    <w:rsid w:val="62364782"/>
    <w:rsid w:val="624337C3"/>
    <w:rsid w:val="626837AB"/>
    <w:rsid w:val="628A22C6"/>
    <w:rsid w:val="628F70C2"/>
    <w:rsid w:val="62A03B5D"/>
    <w:rsid w:val="62AC1371"/>
    <w:rsid w:val="62C81CFC"/>
    <w:rsid w:val="62CF4061"/>
    <w:rsid w:val="62D329F0"/>
    <w:rsid w:val="62E23478"/>
    <w:rsid w:val="62EA2623"/>
    <w:rsid w:val="630C6A8F"/>
    <w:rsid w:val="63177CAC"/>
    <w:rsid w:val="63225D9A"/>
    <w:rsid w:val="633073D3"/>
    <w:rsid w:val="6335674C"/>
    <w:rsid w:val="633862AC"/>
    <w:rsid w:val="633A1B71"/>
    <w:rsid w:val="63443890"/>
    <w:rsid w:val="634E37CC"/>
    <w:rsid w:val="636E32B1"/>
    <w:rsid w:val="63703BFE"/>
    <w:rsid w:val="637E7323"/>
    <w:rsid w:val="6394356A"/>
    <w:rsid w:val="63C61B2C"/>
    <w:rsid w:val="63D40BE9"/>
    <w:rsid w:val="63D541B9"/>
    <w:rsid w:val="640B4D58"/>
    <w:rsid w:val="64102431"/>
    <w:rsid w:val="643C104D"/>
    <w:rsid w:val="645771B5"/>
    <w:rsid w:val="64602DDE"/>
    <w:rsid w:val="648A4109"/>
    <w:rsid w:val="64A5243A"/>
    <w:rsid w:val="64BD6456"/>
    <w:rsid w:val="64EE366F"/>
    <w:rsid w:val="64F531DE"/>
    <w:rsid w:val="65373578"/>
    <w:rsid w:val="6569656F"/>
    <w:rsid w:val="65707CD3"/>
    <w:rsid w:val="65AF7097"/>
    <w:rsid w:val="65B81B71"/>
    <w:rsid w:val="65B84FD6"/>
    <w:rsid w:val="65C21039"/>
    <w:rsid w:val="65E35C12"/>
    <w:rsid w:val="65EC6862"/>
    <w:rsid w:val="660D43A8"/>
    <w:rsid w:val="66173D55"/>
    <w:rsid w:val="663D4C42"/>
    <w:rsid w:val="66406CA1"/>
    <w:rsid w:val="6649389E"/>
    <w:rsid w:val="666946C1"/>
    <w:rsid w:val="66743BE4"/>
    <w:rsid w:val="66791D38"/>
    <w:rsid w:val="668C1F4C"/>
    <w:rsid w:val="66D13686"/>
    <w:rsid w:val="66DA1784"/>
    <w:rsid w:val="66E00248"/>
    <w:rsid w:val="66EB05D5"/>
    <w:rsid w:val="66FF39D6"/>
    <w:rsid w:val="671C5314"/>
    <w:rsid w:val="671F124A"/>
    <w:rsid w:val="674A3CA5"/>
    <w:rsid w:val="67573279"/>
    <w:rsid w:val="677275F6"/>
    <w:rsid w:val="67787379"/>
    <w:rsid w:val="677A33C6"/>
    <w:rsid w:val="677B268B"/>
    <w:rsid w:val="67B5089C"/>
    <w:rsid w:val="67C11E54"/>
    <w:rsid w:val="67C4094C"/>
    <w:rsid w:val="680E5AD9"/>
    <w:rsid w:val="681F6961"/>
    <w:rsid w:val="682E5E73"/>
    <w:rsid w:val="685F5603"/>
    <w:rsid w:val="68610A2F"/>
    <w:rsid w:val="68725290"/>
    <w:rsid w:val="68805514"/>
    <w:rsid w:val="689B0501"/>
    <w:rsid w:val="68BE163C"/>
    <w:rsid w:val="68D50C77"/>
    <w:rsid w:val="68D53C6F"/>
    <w:rsid w:val="68E3315D"/>
    <w:rsid w:val="68FB4AE5"/>
    <w:rsid w:val="69154DF6"/>
    <w:rsid w:val="691A127E"/>
    <w:rsid w:val="69316E2F"/>
    <w:rsid w:val="694E2071"/>
    <w:rsid w:val="69524A24"/>
    <w:rsid w:val="696E178E"/>
    <w:rsid w:val="69766163"/>
    <w:rsid w:val="697A3B33"/>
    <w:rsid w:val="69D44760"/>
    <w:rsid w:val="69D73971"/>
    <w:rsid w:val="69E403F2"/>
    <w:rsid w:val="69FF3F56"/>
    <w:rsid w:val="6A3B7A6E"/>
    <w:rsid w:val="6A3C7A0F"/>
    <w:rsid w:val="6A4F3D1E"/>
    <w:rsid w:val="6A520EC7"/>
    <w:rsid w:val="6A5F6079"/>
    <w:rsid w:val="6A6152D6"/>
    <w:rsid w:val="6A723FDF"/>
    <w:rsid w:val="6A881EFF"/>
    <w:rsid w:val="6A9D4C68"/>
    <w:rsid w:val="6A9E7E16"/>
    <w:rsid w:val="6AA300DB"/>
    <w:rsid w:val="6ADB4375"/>
    <w:rsid w:val="6AE40C43"/>
    <w:rsid w:val="6AF87E20"/>
    <w:rsid w:val="6AF9492B"/>
    <w:rsid w:val="6B162075"/>
    <w:rsid w:val="6B1926F0"/>
    <w:rsid w:val="6B322639"/>
    <w:rsid w:val="6B32594D"/>
    <w:rsid w:val="6B451364"/>
    <w:rsid w:val="6B4F38B9"/>
    <w:rsid w:val="6B9A4ABC"/>
    <w:rsid w:val="6B9F0C1C"/>
    <w:rsid w:val="6BF81F0B"/>
    <w:rsid w:val="6BF959F8"/>
    <w:rsid w:val="6C36371A"/>
    <w:rsid w:val="6C397056"/>
    <w:rsid w:val="6C3D1780"/>
    <w:rsid w:val="6C564C6F"/>
    <w:rsid w:val="6C59578A"/>
    <w:rsid w:val="6C5B3E31"/>
    <w:rsid w:val="6C636C38"/>
    <w:rsid w:val="6C812AC0"/>
    <w:rsid w:val="6C852DC1"/>
    <w:rsid w:val="6C9C6FE3"/>
    <w:rsid w:val="6C9E65C1"/>
    <w:rsid w:val="6CA16704"/>
    <w:rsid w:val="6CE2150F"/>
    <w:rsid w:val="6CF92614"/>
    <w:rsid w:val="6CFC4CDB"/>
    <w:rsid w:val="6CFC5A53"/>
    <w:rsid w:val="6D051238"/>
    <w:rsid w:val="6D5527DC"/>
    <w:rsid w:val="6D5A1C3E"/>
    <w:rsid w:val="6D9C504D"/>
    <w:rsid w:val="6DA92AD8"/>
    <w:rsid w:val="6DB34098"/>
    <w:rsid w:val="6DB545B6"/>
    <w:rsid w:val="6DB570B7"/>
    <w:rsid w:val="6DBF051E"/>
    <w:rsid w:val="6DC401D7"/>
    <w:rsid w:val="6DC547BB"/>
    <w:rsid w:val="6DC76B35"/>
    <w:rsid w:val="6DD679D8"/>
    <w:rsid w:val="6DDA4609"/>
    <w:rsid w:val="6DDE27D0"/>
    <w:rsid w:val="6DE02FB4"/>
    <w:rsid w:val="6DEB3274"/>
    <w:rsid w:val="6DEF2486"/>
    <w:rsid w:val="6E054DDB"/>
    <w:rsid w:val="6E1106B7"/>
    <w:rsid w:val="6E1935FD"/>
    <w:rsid w:val="6E253229"/>
    <w:rsid w:val="6E514CED"/>
    <w:rsid w:val="6E590204"/>
    <w:rsid w:val="6E691222"/>
    <w:rsid w:val="6E6B4DAF"/>
    <w:rsid w:val="6E7337C1"/>
    <w:rsid w:val="6EB2683E"/>
    <w:rsid w:val="6EB563D5"/>
    <w:rsid w:val="6EC60D73"/>
    <w:rsid w:val="6EC715F0"/>
    <w:rsid w:val="6ED27505"/>
    <w:rsid w:val="6ED92677"/>
    <w:rsid w:val="6EEF260E"/>
    <w:rsid w:val="6EF0008F"/>
    <w:rsid w:val="6EF74467"/>
    <w:rsid w:val="6EFA03DD"/>
    <w:rsid w:val="6F03473D"/>
    <w:rsid w:val="6F0F28B4"/>
    <w:rsid w:val="6F2032B4"/>
    <w:rsid w:val="6F225983"/>
    <w:rsid w:val="6F275EF7"/>
    <w:rsid w:val="6F3B1053"/>
    <w:rsid w:val="6F3C17A8"/>
    <w:rsid w:val="6F580A31"/>
    <w:rsid w:val="6F6F63DF"/>
    <w:rsid w:val="6F841748"/>
    <w:rsid w:val="6F8571B6"/>
    <w:rsid w:val="6FAF2608"/>
    <w:rsid w:val="6FD33B0D"/>
    <w:rsid w:val="6FE6318A"/>
    <w:rsid w:val="6FF67002"/>
    <w:rsid w:val="6FFC5590"/>
    <w:rsid w:val="700E2A65"/>
    <w:rsid w:val="7010176D"/>
    <w:rsid w:val="7017085E"/>
    <w:rsid w:val="701A11C1"/>
    <w:rsid w:val="702C1734"/>
    <w:rsid w:val="703B2630"/>
    <w:rsid w:val="704F583B"/>
    <w:rsid w:val="70507D27"/>
    <w:rsid w:val="705916E1"/>
    <w:rsid w:val="70682EC1"/>
    <w:rsid w:val="706D1DD0"/>
    <w:rsid w:val="70837C72"/>
    <w:rsid w:val="70856B87"/>
    <w:rsid w:val="70864F71"/>
    <w:rsid w:val="70932CBE"/>
    <w:rsid w:val="709A7A5C"/>
    <w:rsid w:val="70BF7006"/>
    <w:rsid w:val="70C9168F"/>
    <w:rsid w:val="70CD4651"/>
    <w:rsid w:val="70D527EE"/>
    <w:rsid w:val="70F41A5E"/>
    <w:rsid w:val="710C6D40"/>
    <w:rsid w:val="715B5300"/>
    <w:rsid w:val="71622092"/>
    <w:rsid w:val="71733A89"/>
    <w:rsid w:val="71856BFD"/>
    <w:rsid w:val="718A6919"/>
    <w:rsid w:val="718C342D"/>
    <w:rsid w:val="71932EBA"/>
    <w:rsid w:val="71A277A9"/>
    <w:rsid w:val="71AA738B"/>
    <w:rsid w:val="71B36299"/>
    <w:rsid w:val="71B90E21"/>
    <w:rsid w:val="71CB017A"/>
    <w:rsid w:val="71CE0F06"/>
    <w:rsid w:val="71D27F8A"/>
    <w:rsid w:val="71E04613"/>
    <w:rsid w:val="71E64CB4"/>
    <w:rsid w:val="71E82DA2"/>
    <w:rsid w:val="72553024"/>
    <w:rsid w:val="725B56AA"/>
    <w:rsid w:val="72734427"/>
    <w:rsid w:val="727A2B5F"/>
    <w:rsid w:val="7280431D"/>
    <w:rsid w:val="728E4B37"/>
    <w:rsid w:val="73042AC3"/>
    <w:rsid w:val="73122968"/>
    <w:rsid w:val="731D6321"/>
    <w:rsid w:val="731F5D5E"/>
    <w:rsid w:val="73203A67"/>
    <w:rsid w:val="735164BE"/>
    <w:rsid w:val="735D19CE"/>
    <w:rsid w:val="736175D9"/>
    <w:rsid w:val="736E799D"/>
    <w:rsid w:val="73813F57"/>
    <w:rsid w:val="73C24BFD"/>
    <w:rsid w:val="73C51AD5"/>
    <w:rsid w:val="74077D67"/>
    <w:rsid w:val="741E793C"/>
    <w:rsid w:val="745C72E4"/>
    <w:rsid w:val="745E3944"/>
    <w:rsid w:val="74A815B6"/>
    <w:rsid w:val="74A978FF"/>
    <w:rsid w:val="74C213B5"/>
    <w:rsid w:val="74DE01EA"/>
    <w:rsid w:val="74E81B56"/>
    <w:rsid w:val="74ED25E3"/>
    <w:rsid w:val="74FC3EFA"/>
    <w:rsid w:val="750010CD"/>
    <w:rsid w:val="7504171D"/>
    <w:rsid w:val="751D5EB9"/>
    <w:rsid w:val="752A1C3D"/>
    <w:rsid w:val="75444B10"/>
    <w:rsid w:val="75825BCB"/>
    <w:rsid w:val="75895E61"/>
    <w:rsid w:val="758A3B4D"/>
    <w:rsid w:val="758A47D2"/>
    <w:rsid w:val="75EF348B"/>
    <w:rsid w:val="75F66805"/>
    <w:rsid w:val="75FB1590"/>
    <w:rsid w:val="760842B1"/>
    <w:rsid w:val="760F7A37"/>
    <w:rsid w:val="7612079D"/>
    <w:rsid w:val="762A586E"/>
    <w:rsid w:val="7635099D"/>
    <w:rsid w:val="76643DB8"/>
    <w:rsid w:val="76771553"/>
    <w:rsid w:val="76835CFB"/>
    <w:rsid w:val="768779D7"/>
    <w:rsid w:val="768A4129"/>
    <w:rsid w:val="76BE2AEA"/>
    <w:rsid w:val="76CF250C"/>
    <w:rsid w:val="76D02779"/>
    <w:rsid w:val="770839AB"/>
    <w:rsid w:val="773F26B3"/>
    <w:rsid w:val="77630F66"/>
    <w:rsid w:val="77762421"/>
    <w:rsid w:val="778B4A53"/>
    <w:rsid w:val="779179C7"/>
    <w:rsid w:val="77932BA8"/>
    <w:rsid w:val="77A65858"/>
    <w:rsid w:val="77B56B1F"/>
    <w:rsid w:val="77C04630"/>
    <w:rsid w:val="77CC3C2D"/>
    <w:rsid w:val="77E9082A"/>
    <w:rsid w:val="77F428DB"/>
    <w:rsid w:val="77F55339"/>
    <w:rsid w:val="77FB764E"/>
    <w:rsid w:val="780F09F4"/>
    <w:rsid w:val="786F31B2"/>
    <w:rsid w:val="789E23F6"/>
    <w:rsid w:val="78A90480"/>
    <w:rsid w:val="78C80335"/>
    <w:rsid w:val="794D3AD5"/>
    <w:rsid w:val="7951156B"/>
    <w:rsid w:val="79624E59"/>
    <w:rsid w:val="79627B67"/>
    <w:rsid w:val="797B1473"/>
    <w:rsid w:val="798516B2"/>
    <w:rsid w:val="79AD1699"/>
    <w:rsid w:val="79FA2B69"/>
    <w:rsid w:val="7A094544"/>
    <w:rsid w:val="7A155DD9"/>
    <w:rsid w:val="7A300199"/>
    <w:rsid w:val="7A364017"/>
    <w:rsid w:val="7A387B1E"/>
    <w:rsid w:val="7A423425"/>
    <w:rsid w:val="7A471D0E"/>
    <w:rsid w:val="7A55484F"/>
    <w:rsid w:val="7A592544"/>
    <w:rsid w:val="7A72104C"/>
    <w:rsid w:val="7A8265E1"/>
    <w:rsid w:val="7ABB60DD"/>
    <w:rsid w:val="7AC20C70"/>
    <w:rsid w:val="7AC345A0"/>
    <w:rsid w:val="7AC976CC"/>
    <w:rsid w:val="7AD21A0F"/>
    <w:rsid w:val="7AFC32B9"/>
    <w:rsid w:val="7B365E4C"/>
    <w:rsid w:val="7B4B4581"/>
    <w:rsid w:val="7B544FF3"/>
    <w:rsid w:val="7B5D7674"/>
    <w:rsid w:val="7B686D42"/>
    <w:rsid w:val="7B841746"/>
    <w:rsid w:val="7B861EFD"/>
    <w:rsid w:val="7BA518A6"/>
    <w:rsid w:val="7BA73E35"/>
    <w:rsid w:val="7BAC2516"/>
    <w:rsid w:val="7BAE0225"/>
    <w:rsid w:val="7BB50FC7"/>
    <w:rsid w:val="7BCD61A6"/>
    <w:rsid w:val="7BD73868"/>
    <w:rsid w:val="7BF97273"/>
    <w:rsid w:val="7BFD5C79"/>
    <w:rsid w:val="7C0F5D4C"/>
    <w:rsid w:val="7C111278"/>
    <w:rsid w:val="7C470717"/>
    <w:rsid w:val="7C6C5AC7"/>
    <w:rsid w:val="7C737A30"/>
    <w:rsid w:val="7C765F3D"/>
    <w:rsid w:val="7CBB64B1"/>
    <w:rsid w:val="7CBD0544"/>
    <w:rsid w:val="7CC6544B"/>
    <w:rsid w:val="7CD129B0"/>
    <w:rsid w:val="7CE47169"/>
    <w:rsid w:val="7CEC5AE4"/>
    <w:rsid w:val="7CF03E45"/>
    <w:rsid w:val="7D0239FF"/>
    <w:rsid w:val="7D0E0CE1"/>
    <w:rsid w:val="7D1650D9"/>
    <w:rsid w:val="7D23702C"/>
    <w:rsid w:val="7D337EF4"/>
    <w:rsid w:val="7D5E40CD"/>
    <w:rsid w:val="7D787C32"/>
    <w:rsid w:val="7D7E28F2"/>
    <w:rsid w:val="7D850E9F"/>
    <w:rsid w:val="7D8C34B5"/>
    <w:rsid w:val="7DA527B2"/>
    <w:rsid w:val="7DB50947"/>
    <w:rsid w:val="7DB76FA7"/>
    <w:rsid w:val="7DCD56F2"/>
    <w:rsid w:val="7DEB5D45"/>
    <w:rsid w:val="7E0017CE"/>
    <w:rsid w:val="7E042AF6"/>
    <w:rsid w:val="7E0E7521"/>
    <w:rsid w:val="7E233080"/>
    <w:rsid w:val="7E384245"/>
    <w:rsid w:val="7E8F2404"/>
    <w:rsid w:val="7E977608"/>
    <w:rsid w:val="7EBF5DA6"/>
    <w:rsid w:val="7F001CE7"/>
    <w:rsid w:val="7F093BBE"/>
    <w:rsid w:val="7F0A3B40"/>
    <w:rsid w:val="7F2E0FB4"/>
    <w:rsid w:val="7F3818C3"/>
    <w:rsid w:val="7F3F0382"/>
    <w:rsid w:val="7F651B7D"/>
    <w:rsid w:val="7F733178"/>
    <w:rsid w:val="7F89317B"/>
    <w:rsid w:val="7F982BE1"/>
    <w:rsid w:val="7FB502E4"/>
    <w:rsid w:val="7FBC5DC8"/>
    <w:rsid w:val="7FD33A8B"/>
    <w:rsid w:val="7FD37543"/>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locked/>
    <w:uiPriority w:val="0"/>
    <w:pPr>
      <w:keepNext/>
      <w:keepLines/>
      <w:numPr>
        <w:ilvl w:val="1"/>
        <w:numId w:val="1"/>
      </w:numPr>
      <w:spacing w:before="260" w:beforeLines="0" w:beforeAutospacing="0" w:after="260" w:afterLines="0" w:afterAutospacing="0" w:line="413" w:lineRule="auto"/>
      <w:ind w:left="575" w:hanging="575" w:firstLineChars="0"/>
      <w:outlineLvl w:val="1"/>
    </w:pPr>
    <w:rPr>
      <w:rFonts w:ascii="Arial" w:hAnsi="Arial" w:eastAsia="黑体"/>
      <w:b/>
      <w:sz w:val="32"/>
    </w:rPr>
  </w:style>
  <w:style w:type="paragraph" w:styleId="6">
    <w:name w:val="heading 3"/>
    <w:basedOn w:val="1"/>
    <w:next w:val="1"/>
    <w:qFormat/>
    <w:locked/>
    <w:uiPriority w:val="0"/>
    <w:pPr>
      <w:keepNext/>
      <w:keepLines/>
      <w:numPr>
        <w:ilvl w:val="2"/>
        <w:numId w:val="2"/>
      </w:numPr>
      <w:ind w:left="720" w:hanging="720" w:firstLineChars="0"/>
      <w:outlineLvl w:val="2"/>
    </w:pPr>
    <w:rPr>
      <w:rFonts w:ascii="Times New Roman" w:hAnsi="Times New Roman" w:eastAsia="宋体" w:cs="Times New Roman"/>
      <w:b/>
      <w:bCs/>
      <w:sz w:val="28"/>
    </w:rPr>
  </w:style>
  <w:style w:type="paragraph" w:styleId="7">
    <w:name w:val="heading 4"/>
    <w:basedOn w:val="1"/>
    <w:next w:val="1"/>
    <w:qFormat/>
    <w:locked/>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3"/>
    <w:link w:val="44"/>
    <w:qFormat/>
    <w:uiPriority w:val="0"/>
    <w:pPr>
      <w:widowControl/>
      <w:snapToGrid w:val="0"/>
      <w:spacing w:line="240" w:lineRule="auto"/>
      <w:ind w:right="0" w:firstLine="0" w:firstLineChars="0"/>
      <w:jc w:val="center"/>
    </w:pPr>
    <w:rPr>
      <w:kern w:val="0"/>
    </w:rPr>
  </w:style>
  <w:style w:type="paragraph" w:customStyle="1" w:styleId="3">
    <w:name w:val="xl27"/>
    <w:basedOn w:val="1"/>
    <w:next w:val="1"/>
    <w:autoRedefine/>
    <w:qFormat/>
    <w:uiPriority w:val="0"/>
    <w:pPr>
      <w:widowControl/>
      <w:spacing w:before="100" w:beforeAutospacing="1" w:after="100" w:afterAutospacing="1" w:line="360" w:lineRule="exact"/>
      <w:jc w:val="center"/>
      <w:textAlignment w:val="center"/>
    </w:pPr>
    <w:rPr>
      <w:rFonts w:hint="eastAsia" w:ascii="黑体" w:eastAsia="黑体"/>
      <w:kern w:val="0"/>
      <w:sz w:val="32"/>
      <w:szCs w:val="32"/>
    </w:rPr>
  </w:style>
  <w:style w:type="paragraph" w:styleId="8">
    <w:name w:val="Normal Indent"/>
    <w:basedOn w:val="1"/>
    <w:next w:val="1"/>
    <w:qFormat/>
    <w:locked/>
    <w:uiPriority w:val="0"/>
    <w:pPr>
      <w:ind w:firstLine="420"/>
    </w:pPr>
    <w:rPr>
      <w:rFonts w:ascii="Calibri"/>
      <w:kern w:val="2"/>
      <w:sz w:val="28"/>
    </w:rPr>
  </w:style>
  <w:style w:type="paragraph" w:styleId="9">
    <w:name w:val="caption"/>
    <w:basedOn w:val="1"/>
    <w:next w:val="1"/>
    <w:qFormat/>
    <w:locked/>
    <w:uiPriority w:val="0"/>
    <w:rPr>
      <w:rFonts w:ascii="Cambria" w:hAnsi="Cambria" w:eastAsia="黑体" w:cs="Times New Roman"/>
      <w:sz w:val="20"/>
      <w:szCs w:val="20"/>
    </w:rPr>
  </w:style>
  <w:style w:type="paragraph" w:styleId="10">
    <w:name w:val="annotation text"/>
    <w:basedOn w:val="1"/>
    <w:link w:val="45"/>
    <w:semiHidden/>
    <w:qFormat/>
    <w:uiPriority w:val="0"/>
    <w:pPr>
      <w:jc w:val="left"/>
    </w:pPr>
    <w:rPr>
      <w:kern w:val="0"/>
      <w:sz w:val="24"/>
      <w:szCs w:val="20"/>
    </w:rPr>
  </w:style>
  <w:style w:type="paragraph" w:styleId="11">
    <w:name w:val="Body Text Indent"/>
    <w:basedOn w:val="1"/>
    <w:link w:val="46"/>
    <w:qFormat/>
    <w:uiPriority w:val="0"/>
    <w:pPr>
      <w:spacing w:after="120"/>
      <w:ind w:left="420" w:leftChars="200"/>
    </w:pPr>
    <w:rPr>
      <w:kern w:val="0"/>
      <w:sz w:val="24"/>
      <w:szCs w:val="20"/>
    </w:rPr>
  </w:style>
  <w:style w:type="paragraph" w:styleId="12">
    <w:name w:val="Plain Text"/>
    <w:basedOn w:val="1"/>
    <w:qFormat/>
    <w:locked/>
    <w:uiPriority w:val="0"/>
    <w:pPr>
      <w:spacing w:line="380" w:lineRule="exact"/>
      <w:jc w:val="center"/>
    </w:pPr>
    <w:rPr>
      <w:rFonts w:hAnsi="宋体"/>
      <w:color w:val="000000"/>
      <w:kern w:val="21"/>
      <w:lang w:val="de-DE"/>
    </w:rPr>
  </w:style>
  <w:style w:type="paragraph" w:styleId="13">
    <w:name w:val="Date"/>
    <w:basedOn w:val="1"/>
    <w:next w:val="1"/>
    <w:link w:val="47"/>
    <w:qFormat/>
    <w:uiPriority w:val="0"/>
    <w:pPr>
      <w:ind w:left="100" w:leftChars="2500"/>
    </w:pPr>
    <w:rPr>
      <w:kern w:val="0"/>
      <w:sz w:val="24"/>
      <w:szCs w:val="20"/>
    </w:rPr>
  </w:style>
  <w:style w:type="paragraph" w:styleId="14">
    <w:name w:val="Body Text Indent 2"/>
    <w:basedOn w:val="1"/>
    <w:next w:val="1"/>
    <w:qFormat/>
    <w:locked/>
    <w:uiPriority w:val="0"/>
    <w:pPr>
      <w:tabs>
        <w:tab w:val="left" w:pos="660"/>
      </w:tabs>
      <w:spacing w:line="440" w:lineRule="atLeast"/>
      <w:ind w:firstLine="480"/>
    </w:pPr>
  </w:style>
  <w:style w:type="paragraph" w:styleId="15">
    <w:name w:val="Balloon Text"/>
    <w:basedOn w:val="1"/>
    <w:link w:val="48"/>
    <w:semiHidden/>
    <w:qFormat/>
    <w:uiPriority w:val="0"/>
    <w:rPr>
      <w:kern w:val="0"/>
      <w:sz w:val="18"/>
      <w:szCs w:val="20"/>
    </w:rPr>
  </w:style>
  <w:style w:type="paragraph" w:styleId="16">
    <w:name w:val="footer"/>
    <w:basedOn w:val="1"/>
    <w:link w:val="34"/>
    <w:qFormat/>
    <w:uiPriority w:val="99"/>
    <w:pPr>
      <w:tabs>
        <w:tab w:val="center" w:pos="4153"/>
        <w:tab w:val="right" w:pos="8306"/>
      </w:tabs>
      <w:snapToGrid w:val="0"/>
      <w:jc w:val="left"/>
    </w:pPr>
    <w:rPr>
      <w:kern w:val="0"/>
      <w:sz w:val="18"/>
      <w:szCs w:val="20"/>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qFormat/>
    <w:locked/>
    <w:uiPriority w:val="0"/>
    <w:pPr>
      <w:ind w:firstLine="0" w:firstLineChars="0"/>
    </w:pPr>
  </w:style>
  <w:style w:type="paragraph" w:styleId="19">
    <w:name w:val="List"/>
    <w:basedOn w:val="1"/>
    <w:qFormat/>
    <w:locked/>
    <w:uiPriority w:val="0"/>
    <w:pPr>
      <w:ind w:left="200" w:hanging="200" w:hangingChars="200"/>
    </w:pPr>
  </w:style>
  <w:style w:type="paragraph" w:styleId="20">
    <w:name w:val="table of figures"/>
    <w:basedOn w:val="1"/>
    <w:next w:val="1"/>
    <w:qFormat/>
    <w:locked/>
    <w:uiPriority w:val="0"/>
    <w:pPr>
      <w:ind w:left="1920" w:leftChars="200"/>
      <w:jc w:val="center"/>
    </w:pPr>
    <w:rPr>
      <w:b/>
      <w:kern w:val="0"/>
      <w:szCs w:val="20"/>
    </w:rPr>
  </w:style>
  <w:style w:type="paragraph" w:styleId="21">
    <w:name w:val="toc 2"/>
    <w:basedOn w:val="1"/>
    <w:next w:val="1"/>
    <w:qFormat/>
    <w:locked/>
    <w:uiPriority w:val="0"/>
    <w:pPr>
      <w:tabs>
        <w:tab w:val="left" w:pos="426"/>
        <w:tab w:val="left" w:pos="567"/>
        <w:tab w:val="right" w:leader="dot" w:pos="8607"/>
      </w:tabs>
      <w:adjustRightInd w:val="0"/>
      <w:snapToGrid w:val="0"/>
      <w:spacing w:line="300" w:lineRule="auto"/>
    </w:pPr>
    <w:rPr>
      <w:rFonts w:ascii="Times New Roman" w:hAnsi="Times New Roman"/>
      <w:smallCaps/>
    </w:rPr>
  </w:style>
  <w:style w:type="paragraph" w:styleId="22">
    <w:name w:val="Normal (Web)"/>
    <w:basedOn w:val="1"/>
    <w:link w:val="49"/>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10"/>
    <w:next w:val="10"/>
    <w:link w:val="50"/>
    <w:semiHidden/>
    <w:qFormat/>
    <w:uiPriority w:val="0"/>
    <w:rPr>
      <w:b/>
      <w:sz w:val="24"/>
      <w:szCs w:val="20"/>
    </w:rPr>
  </w:style>
  <w:style w:type="paragraph" w:styleId="24">
    <w:name w:val="Body Text First Indent"/>
    <w:basedOn w:val="2"/>
    <w:next w:val="1"/>
    <w:qFormat/>
    <w:locked/>
    <w:uiPriority w:val="0"/>
    <w:pPr>
      <w:ind w:firstLine="420" w:firstLineChars="100"/>
    </w:pPr>
  </w:style>
  <w:style w:type="paragraph" w:styleId="25">
    <w:name w:val="Body Text First Indent 2"/>
    <w:basedOn w:val="11"/>
    <w:next w:val="1"/>
    <w:qFormat/>
    <w:locked/>
    <w:uiPriority w:val="0"/>
    <w:pPr>
      <w:ind w:firstLine="210" w:firstLineChars="200"/>
    </w:pPr>
    <w:rPr>
      <w:kern w:val="2"/>
      <w:sz w:val="21"/>
      <w:szCs w:val="24"/>
    </w:rPr>
  </w:style>
  <w:style w:type="table" w:styleId="27">
    <w:name w:val="Table Grid"/>
    <w:basedOn w:val="2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locked/>
    <w:uiPriority w:val="0"/>
    <w:rPr>
      <w:b/>
    </w:rPr>
  </w:style>
  <w:style w:type="character" w:styleId="30">
    <w:name w:val="page number"/>
    <w:qFormat/>
    <w:locked/>
    <w:uiPriority w:val="0"/>
  </w:style>
  <w:style w:type="character" w:styleId="31">
    <w:name w:val="Hyperlink"/>
    <w:qFormat/>
    <w:locked/>
    <w:uiPriority w:val="0"/>
    <w:rPr>
      <w:color w:val="0000FF"/>
      <w:u w:val="single"/>
    </w:rPr>
  </w:style>
  <w:style w:type="character" w:styleId="32">
    <w:name w:val="annotation reference"/>
    <w:semiHidden/>
    <w:qFormat/>
    <w:uiPriority w:val="0"/>
    <w:rPr>
      <w:sz w:val="21"/>
    </w:rPr>
  </w:style>
  <w:style w:type="paragraph" w:customStyle="1" w:styleId="33">
    <w:name w:val="表格文字"/>
    <w:basedOn w:val="24"/>
    <w:next w:val="1"/>
    <w:qFormat/>
    <w:uiPriority w:val="0"/>
    <w:pPr>
      <w:snapToGrid w:val="0"/>
      <w:spacing w:line="240" w:lineRule="auto"/>
      <w:ind w:firstLine="0" w:firstLineChars="0"/>
      <w:jc w:val="both"/>
    </w:pPr>
    <w:rPr>
      <w:rFonts w:eastAsia="Times New Roman"/>
      <w:sz w:val="21"/>
      <w:szCs w:val="20"/>
    </w:rPr>
  </w:style>
  <w:style w:type="character" w:customStyle="1" w:styleId="34">
    <w:name w:val="页脚 Char"/>
    <w:link w:val="16"/>
    <w:qFormat/>
    <w:locked/>
    <w:uiPriority w:val="99"/>
    <w:rPr>
      <w:sz w:val="18"/>
    </w:rPr>
  </w:style>
  <w:style w:type="paragraph" w:customStyle="1" w:styleId="35">
    <w:name w:val="Table Text"/>
    <w:basedOn w:val="1"/>
    <w:autoRedefine/>
    <w:semiHidden/>
    <w:qFormat/>
    <w:uiPriority w:val="0"/>
    <w:pPr>
      <w:tabs>
        <w:tab w:val="left" w:pos="1021"/>
      </w:tabs>
    </w:pPr>
    <w:rPr>
      <w:rFonts w:ascii="Times New Roman" w:hAnsi="Times New Roman" w:eastAsia="宋体" w:cs="Times New Roman"/>
      <w:sz w:val="21"/>
      <w:szCs w:val="21"/>
    </w:rPr>
  </w:style>
  <w:style w:type="character" w:customStyle="1" w:styleId="36">
    <w:name w:val="页眉 Char"/>
    <w:link w:val="17"/>
    <w:qFormat/>
    <w:locked/>
    <w:uiPriority w:val="0"/>
    <w:rPr>
      <w:sz w:val="18"/>
    </w:rPr>
  </w:style>
  <w:style w:type="paragraph" w:customStyle="1" w:styleId="37">
    <w:name w:val="表格内容"/>
    <w:basedOn w:val="38"/>
    <w:next w:val="39"/>
    <w:qFormat/>
    <w:uiPriority w:val="99"/>
    <w:pPr>
      <w:spacing w:line="240" w:lineRule="auto"/>
      <w:ind w:firstLine="0" w:firstLineChars="0"/>
      <w:jc w:val="center"/>
    </w:pPr>
    <w:rPr>
      <w:rFonts w:eastAsia="宋体" w:cs="Times New Roman"/>
      <w:color w:val="000000"/>
      <w:sz w:val="21"/>
      <w:szCs w:val="21"/>
    </w:rPr>
  </w:style>
  <w:style w:type="paragraph" w:customStyle="1" w:styleId="38">
    <w:name w:val="表格"/>
    <w:basedOn w:val="19"/>
    <w:next w:val="1"/>
    <w:link w:val="51"/>
    <w:qFormat/>
    <w:uiPriority w:val="0"/>
    <w:pPr>
      <w:adjustRightInd w:val="0"/>
      <w:snapToGrid w:val="0"/>
      <w:spacing w:beforeLines="10" w:afterLines="10" w:line="259" w:lineRule="auto"/>
      <w:jc w:val="center"/>
    </w:pPr>
    <w:rPr>
      <w:rFonts w:ascii="宋体"/>
      <w:kern w:val="0"/>
      <w:szCs w:val="20"/>
    </w:rPr>
  </w:style>
  <w:style w:type="paragraph" w:customStyle="1" w:styleId="39">
    <w:name w:val="文本正文"/>
    <w:basedOn w:val="1"/>
    <w:qFormat/>
    <w:uiPriority w:val="0"/>
    <w:pPr>
      <w:spacing w:line="360" w:lineRule="auto"/>
      <w:ind w:firstLine="480" w:firstLineChars="200"/>
    </w:pPr>
    <w:rPr>
      <w:sz w:val="24"/>
      <w:szCs w:val="24"/>
    </w:rPr>
  </w:style>
  <w:style w:type="character" w:customStyle="1" w:styleId="40">
    <w:name w:val="标题 2 Char2"/>
    <w:qFormat/>
    <w:uiPriority w:val="0"/>
    <w:rPr>
      <w:rFonts w:ascii="Times New Roman" w:hAnsi="Times New Roman" w:eastAsia="宋体" w:cs="Times New Roman"/>
      <w:b/>
      <w:bCs/>
      <w:kern w:val="2"/>
      <w:sz w:val="32"/>
      <w:szCs w:val="32"/>
      <w:lang w:val="en-US" w:eastAsia="zh-CN" w:bidi="ar-SA"/>
    </w:rPr>
  </w:style>
  <w:style w:type="paragraph" w:customStyle="1" w:styleId="41">
    <w:name w:val="表文字"/>
    <w:basedOn w:val="1"/>
    <w:next w:val="33"/>
    <w:qFormat/>
    <w:uiPriority w:val="0"/>
    <w:pPr>
      <w:overflowPunct w:val="0"/>
      <w:autoSpaceDE w:val="0"/>
      <w:autoSpaceDN w:val="0"/>
      <w:adjustRightInd w:val="0"/>
      <w:spacing w:line="240" w:lineRule="atLeast"/>
      <w:jc w:val="center"/>
      <w:textAlignment w:val="baseline"/>
    </w:pPr>
    <w:rPr>
      <w:rFonts w:ascii="Calibri"/>
    </w:rPr>
  </w:style>
  <w:style w:type="paragraph" w:customStyle="1" w:styleId="42">
    <w:name w:val="表"/>
    <w:basedOn w:val="43"/>
    <w:qFormat/>
    <w:uiPriority w:val="0"/>
    <w:pPr>
      <w:snapToGrid w:val="0"/>
      <w:spacing w:line="240" w:lineRule="auto"/>
      <w:ind w:firstLine="0" w:firstLineChars="0"/>
      <w:jc w:val="center"/>
    </w:pPr>
    <w:rPr>
      <w:spacing w:val="2"/>
      <w:sz w:val="21"/>
    </w:rPr>
  </w:style>
  <w:style w:type="paragraph" w:customStyle="1" w:styleId="43">
    <w:name w:val="【正文】"/>
    <w:basedOn w:val="1"/>
    <w:next w:val="1"/>
    <w:qFormat/>
    <w:uiPriority w:val="0"/>
    <w:pPr>
      <w:widowControl/>
      <w:spacing w:line="500" w:lineRule="exact"/>
      <w:ind w:firstLine="200" w:firstLineChars="200"/>
      <w:jc w:val="left"/>
    </w:pPr>
    <w:rPr>
      <w:rFonts w:ascii="宋体" w:hAnsi="宋体"/>
      <w:kern w:val="0"/>
      <w:sz w:val="24"/>
    </w:rPr>
  </w:style>
  <w:style w:type="character" w:customStyle="1" w:styleId="44">
    <w:name w:val="正文文本 Char"/>
    <w:link w:val="2"/>
    <w:qFormat/>
    <w:locked/>
    <w:uiPriority w:val="0"/>
    <w:rPr>
      <w:rFonts w:eastAsia="宋体"/>
      <w:sz w:val="24"/>
      <w:szCs w:val="24"/>
    </w:rPr>
  </w:style>
  <w:style w:type="character" w:customStyle="1" w:styleId="45">
    <w:name w:val="批注文字 Char"/>
    <w:link w:val="10"/>
    <w:qFormat/>
    <w:locked/>
    <w:uiPriority w:val="0"/>
    <w:rPr>
      <w:rFonts w:ascii="Times New Roman" w:hAnsi="Times New Roman" w:eastAsia="宋体"/>
      <w:sz w:val="24"/>
    </w:rPr>
  </w:style>
  <w:style w:type="character" w:customStyle="1" w:styleId="46">
    <w:name w:val="正文文本缩进 Char"/>
    <w:link w:val="11"/>
    <w:semiHidden/>
    <w:qFormat/>
    <w:locked/>
    <w:uiPriority w:val="0"/>
    <w:rPr>
      <w:rFonts w:ascii="Times New Roman" w:hAnsi="Times New Roman" w:eastAsia="宋体"/>
      <w:sz w:val="24"/>
    </w:rPr>
  </w:style>
  <w:style w:type="character" w:customStyle="1" w:styleId="47">
    <w:name w:val="日期 Char"/>
    <w:link w:val="13"/>
    <w:qFormat/>
    <w:locked/>
    <w:uiPriority w:val="0"/>
    <w:rPr>
      <w:rFonts w:ascii="Times New Roman" w:hAnsi="Times New Roman" w:eastAsia="宋体"/>
      <w:sz w:val="24"/>
    </w:rPr>
  </w:style>
  <w:style w:type="character" w:customStyle="1" w:styleId="48">
    <w:name w:val="批注框文本 Char"/>
    <w:link w:val="15"/>
    <w:semiHidden/>
    <w:qFormat/>
    <w:locked/>
    <w:uiPriority w:val="0"/>
    <w:rPr>
      <w:rFonts w:ascii="Times New Roman" w:hAnsi="Times New Roman" w:eastAsia="宋体"/>
      <w:sz w:val="18"/>
    </w:rPr>
  </w:style>
  <w:style w:type="character" w:customStyle="1" w:styleId="49">
    <w:name w:val="普通(网站) Char"/>
    <w:link w:val="22"/>
    <w:qFormat/>
    <w:locked/>
    <w:uiPriority w:val="0"/>
    <w:rPr>
      <w:rFonts w:ascii="宋体" w:hAnsi="宋体" w:eastAsia="宋体"/>
      <w:sz w:val="24"/>
    </w:rPr>
  </w:style>
  <w:style w:type="character" w:customStyle="1" w:styleId="50">
    <w:name w:val="批注主题 Char"/>
    <w:link w:val="23"/>
    <w:semiHidden/>
    <w:qFormat/>
    <w:locked/>
    <w:uiPriority w:val="0"/>
    <w:rPr>
      <w:rFonts w:ascii="Times New Roman" w:hAnsi="Times New Roman" w:eastAsia="宋体"/>
      <w:b/>
      <w:kern w:val="2"/>
      <w:sz w:val="24"/>
    </w:rPr>
  </w:style>
  <w:style w:type="character" w:customStyle="1" w:styleId="51">
    <w:name w:val="表格 Char"/>
    <w:link w:val="38"/>
    <w:qFormat/>
    <w:locked/>
    <w:uiPriority w:val="0"/>
    <w:rPr>
      <w:rFonts w:ascii="宋体"/>
      <w:sz w:val="21"/>
    </w:rPr>
  </w:style>
  <w:style w:type="paragraph" w:customStyle="1" w:styleId="52">
    <w:name w:val="Default"/>
    <w:basedOn w:val="53"/>
    <w:next w:val="2"/>
    <w:qFormat/>
    <w:uiPriority w:val="0"/>
    <w:pPr>
      <w:autoSpaceDE w:val="0"/>
      <w:autoSpaceDN w:val="0"/>
      <w:adjustRightInd w:val="0"/>
    </w:pPr>
    <w:rPr>
      <w:rFonts w:ascii="宋体" w:cs="宋体"/>
      <w:color w:val="000000"/>
      <w:szCs w:val="24"/>
    </w:rPr>
  </w:style>
  <w:style w:type="paragraph" w:customStyle="1" w:styleId="53">
    <w:name w:val="纯文本1"/>
    <w:basedOn w:val="1"/>
    <w:qFormat/>
    <w:uiPriority w:val="0"/>
    <w:rPr>
      <w:rFonts w:hint="eastAsia" w:ascii="宋体" w:hAnsi="Courier New"/>
      <w:szCs w:val="22"/>
    </w:rPr>
  </w:style>
  <w:style w:type="character" w:customStyle="1" w:styleId="54">
    <w:name w:val="页脚 字符"/>
    <w:qFormat/>
    <w:uiPriority w:val="99"/>
  </w:style>
  <w:style w:type="character" w:customStyle="1" w:styleId="55">
    <w:name w:val="样式 宋体 三号 红色"/>
    <w:semiHidden/>
    <w:qFormat/>
    <w:uiPriority w:val="0"/>
    <w:rPr>
      <w:rFonts w:ascii="宋体" w:hAnsi="宋体" w:eastAsia="宋体"/>
      <w:color w:val="FF0000"/>
      <w:kern w:val="2"/>
      <w:sz w:val="24"/>
      <w:szCs w:val="21"/>
      <w:lang w:val="en-US" w:eastAsia="zh-CN" w:bidi="ar-SA"/>
    </w:rPr>
  </w:style>
  <w:style w:type="character" w:customStyle="1" w:styleId="56">
    <w:name w:val="正文文本 字符1"/>
    <w:semiHidden/>
    <w:qFormat/>
    <w:uiPriority w:val="0"/>
    <w:rPr>
      <w:rFonts w:ascii="Times New Roman" w:hAnsi="Times New Roman" w:eastAsia="宋体"/>
      <w:sz w:val="24"/>
    </w:rPr>
  </w:style>
  <w:style w:type="character" w:customStyle="1" w:styleId="57">
    <w:name w:val="批注文字 字符1"/>
    <w:semiHidden/>
    <w:qFormat/>
    <w:uiPriority w:val="0"/>
    <w:rPr>
      <w:rFonts w:ascii="Times New Roman" w:hAnsi="Times New Roman" w:eastAsia="宋体"/>
      <w:sz w:val="24"/>
    </w:rPr>
  </w:style>
  <w:style w:type="character" w:customStyle="1" w:styleId="58">
    <w:name w:val="日期 字符"/>
    <w:semiHidden/>
    <w:qFormat/>
    <w:uiPriority w:val="0"/>
    <w:rPr>
      <w:rFonts w:ascii="Times New Roman" w:hAnsi="Times New Roman" w:eastAsia="宋体"/>
      <w:sz w:val="24"/>
    </w:rPr>
  </w:style>
  <w:style w:type="paragraph" w:customStyle="1" w:styleId="59">
    <w:name w:val="表格文字2"/>
    <w:basedOn w:val="1"/>
    <w:qFormat/>
    <w:uiPriority w:val="0"/>
    <w:pPr>
      <w:tabs>
        <w:tab w:val="left" w:pos="277"/>
        <w:tab w:val="left" w:pos="600"/>
        <w:tab w:val="left" w:pos="780"/>
        <w:tab w:val="left" w:pos="2517"/>
      </w:tabs>
      <w:adjustRightInd w:val="0"/>
      <w:spacing w:before="60" w:line="240" w:lineRule="auto"/>
      <w:jc w:val="center"/>
      <w:textAlignment w:val="baseline"/>
    </w:pPr>
    <w:rPr>
      <w:rFonts w:ascii="Calibri"/>
      <w:sz w:val="21"/>
      <w:szCs w:val="21"/>
    </w:rPr>
  </w:style>
  <w:style w:type="paragraph" w:customStyle="1" w:styleId="6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表文(G)"/>
    <w:basedOn w:val="1"/>
    <w:semiHidden/>
    <w:qFormat/>
    <w:uiPriority w:val="0"/>
    <w:pPr>
      <w:tabs>
        <w:tab w:val="left" w:pos="1021"/>
      </w:tabs>
      <w:spacing w:line="240" w:lineRule="auto"/>
      <w:jc w:val="center"/>
    </w:pPr>
    <w:rPr>
      <w:rFonts w:ascii="Calibri" w:hAnsi="宋体"/>
      <w:position w:val="-24"/>
      <w:sz w:val="21"/>
      <w:szCs w:val="21"/>
    </w:rPr>
  </w:style>
  <w:style w:type="paragraph" w:customStyle="1" w:styleId="62">
    <w:name w:val="段落(G)"/>
    <w:basedOn w:val="1"/>
    <w:qFormat/>
    <w:uiPriority w:val="0"/>
    <w:pPr>
      <w:tabs>
        <w:tab w:val="left" w:pos="1021"/>
        <w:tab w:val="left" w:pos="1320"/>
      </w:tabs>
      <w:spacing w:line="360" w:lineRule="auto"/>
      <w:ind w:firstLine="480" w:firstLineChars="200"/>
    </w:pPr>
    <w:rPr>
      <w:rFonts w:ascii="Calibri"/>
      <w:color w:val="000000"/>
      <w:kern w:val="24"/>
      <w:szCs w:val="24"/>
      <w:lang w:val="zh-CN"/>
    </w:rPr>
  </w:style>
  <w:style w:type="paragraph" w:customStyle="1" w:styleId="63">
    <w:name w:val="1文章"/>
    <w:basedOn w:val="1"/>
    <w:qFormat/>
    <w:uiPriority w:val="0"/>
    <w:pPr>
      <w:snapToGrid w:val="0"/>
      <w:ind w:firstLine="573"/>
    </w:pPr>
    <w:rPr>
      <w:rFonts w:ascii="Calibri" w:eastAsia="仿宋_GB2312"/>
      <w:kern w:val="2"/>
      <w:sz w:val="28"/>
    </w:rPr>
  </w:style>
  <w:style w:type="paragraph" w:customStyle="1" w:styleId="64">
    <w:name w:val="表头（桑）"/>
    <w:basedOn w:val="1"/>
    <w:qFormat/>
    <w:uiPriority w:val="0"/>
    <w:pPr>
      <w:overflowPunct w:val="0"/>
      <w:autoSpaceDE w:val="0"/>
      <w:autoSpaceDN w:val="0"/>
      <w:adjustRightInd w:val="0"/>
      <w:spacing w:line="300" w:lineRule="auto"/>
      <w:jc w:val="center"/>
      <w:textAlignment w:val="baseline"/>
    </w:pPr>
    <w:rPr>
      <w:rFonts w:ascii="黑体" w:hAnsi="宋体" w:eastAsia="黑体"/>
      <w:kern w:val="20"/>
    </w:rPr>
  </w:style>
  <w:style w:type="paragraph" w:customStyle="1" w:styleId="65">
    <w:name w:val="BG-表头"/>
    <w:basedOn w:val="1"/>
    <w:qFormat/>
    <w:uiPriority w:val="0"/>
    <w:pPr>
      <w:spacing w:line="240" w:lineRule="auto"/>
      <w:ind w:firstLine="0" w:firstLineChars="0"/>
      <w:jc w:val="center"/>
    </w:pPr>
    <w:rPr>
      <w:b/>
      <w:sz w:val="21"/>
    </w:rPr>
  </w:style>
  <w:style w:type="paragraph" w:customStyle="1" w:styleId="66">
    <w:name w:val="S表格文字"/>
    <w:basedOn w:val="24"/>
    <w:qFormat/>
    <w:uiPriority w:val="0"/>
    <w:pPr>
      <w:adjustRightInd w:val="0"/>
      <w:snapToGrid w:val="0"/>
      <w:spacing w:before="20" w:after="20"/>
      <w:ind w:firstLine="0" w:firstLineChars="0"/>
      <w:jc w:val="center"/>
    </w:pPr>
    <w:rPr>
      <w:szCs w:val="20"/>
    </w:rPr>
  </w:style>
  <w:style w:type="paragraph" w:customStyle="1" w:styleId="67">
    <w:name w:val="样式3"/>
    <w:basedOn w:val="1"/>
    <w:qFormat/>
    <w:uiPriority w:val="0"/>
    <w:pPr>
      <w:autoSpaceDE w:val="0"/>
      <w:autoSpaceDN w:val="0"/>
      <w:adjustRightInd w:val="0"/>
      <w:snapToGrid w:val="0"/>
      <w:spacing w:before="120" w:line="460" w:lineRule="atLeast"/>
      <w:jc w:val="center"/>
    </w:pPr>
    <w:rPr>
      <w:rFonts w:eastAsia="黑体"/>
      <w:sz w:val="28"/>
    </w:rPr>
  </w:style>
  <w:style w:type="paragraph" w:customStyle="1" w:styleId="68">
    <w:name w:val="zwb-正文"/>
    <w:basedOn w:val="1"/>
    <w:qFormat/>
    <w:uiPriority w:val="0"/>
    <w:pPr>
      <w:spacing w:line="360" w:lineRule="auto"/>
      <w:ind w:firstLine="480" w:firstLineChars="200"/>
    </w:pPr>
    <w:rPr>
      <w:rFonts w:ascii="Calibri"/>
      <w:kern w:val="2"/>
      <w:szCs w:val="24"/>
    </w:rPr>
  </w:style>
  <w:style w:type="paragraph" w:customStyle="1" w:styleId="69">
    <w:name w:val="标准正文"/>
    <w:basedOn w:val="1"/>
    <w:qFormat/>
    <w:uiPriority w:val="0"/>
    <w:pPr>
      <w:ind w:firstLine="480"/>
    </w:pPr>
    <w:rPr>
      <w:rFonts w:ascii="宋体" w:hAnsi="宋体"/>
    </w:rPr>
  </w:style>
  <w:style w:type="paragraph" w:customStyle="1" w:styleId="70">
    <w:name w:val="11正文"/>
    <w:basedOn w:val="1"/>
    <w:qFormat/>
    <w:uiPriority w:val="0"/>
    <w:pPr>
      <w:spacing w:line="360" w:lineRule="auto"/>
      <w:ind w:firstLine="200" w:firstLineChars="200"/>
    </w:pPr>
  </w:style>
  <w:style w:type="paragraph" w:customStyle="1" w:styleId="71">
    <w:name w:val="正文格式"/>
    <w:basedOn w:val="1"/>
    <w:next w:val="1"/>
    <w:qFormat/>
    <w:uiPriority w:val="0"/>
    <w:pPr>
      <w:spacing w:line="360" w:lineRule="auto"/>
      <w:ind w:firstLine="482"/>
    </w:pPr>
    <w:rPr>
      <w:rFonts w:hAnsi="宋体"/>
      <w:kern w:val="2"/>
      <w:szCs w:val="24"/>
    </w:rPr>
  </w:style>
  <w:style w:type="paragraph" w:customStyle="1" w:styleId="72">
    <w:name w:val="表头"/>
    <w:basedOn w:val="2"/>
    <w:next w:val="1"/>
    <w:qFormat/>
    <w:uiPriority w:val="0"/>
    <w:pPr>
      <w:spacing w:afterLines="50"/>
      <w:jc w:val="center"/>
    </w:pPr>
    <w:rPr>
      <w:rFonts w:eastAsia="黑体"/>
      <w:color w:val="000000"/>
      <w:spacing w:val="20"/>
      <w:sz w:val="24"/>
    </w:rPr>
  </w:style>
  <w:style w:type="paragraph" w:customStyle="1" w:styleId="7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4">
    <w:name w:val="环评正文"/>
    <w:qFormat/>
    <w:uiPriority w:val="0"/>
    <w:pPr>
      <w:spacing w:line="400" w:lineRule="exact"/>
      <w:ind w:firstLine="200" w:firstLineChars="200"/>
    </w:pPr>
    <w:rPr>
      <w:rFonts w:ascii="Times New Roman" w:hAnsi="Times New Roman" w:eastAsia="宋体" w:cs="Times New Roman"/>
      <w:kern w:val="2"/>
      <w:sz w:val="24"/>
      <w:szCs w:val="24"/>
      <w:lang w:val="en-US" w:eastAsia="zh-CN" w:bidi="ar-SA"/>
    </w:rPr>
  </w:style>
  <w:style w:type="paragraph" w:customStyle="1" w:styleId="75">
    <w:name w:val="S报告正文"/>
    <w:basedOn w:val="1"/>
    <w:qFormat/>
    <w:uiPriority w:val="0"/>
    <w:pPr>
      <w:adjustRightInd w:val="0"/>
      <w:snapToGrid w:val="0"/>
      <w:spacing w:line="480" w:lineRule="exact"/>
      <w:ind w:firstLine="510"/>
      <w:jc w:val="left"/>
    </w:pPr>
    <w:rPr>
      <w:sz w:val="24"/>
    </w:rPr>
  </w:style>
  <w:style w:type="character" w:customStyle="1" w:styleId="76">
    <w:name w:val="content1"/>
    <w:qFormat/>
    <w:uiPriority w:val="0"/>
    <w:rPr>
      <w:rFonts w:ascii="Times New Roman" w:hAnsi="Times New Roman" w:eastAsia="宋体" w:cs="Times New Roman"/>
      <w:color w:val="000000"/>
      <w:sz w:val="20"/>
      <w:szCs w:val="20"/>
    </w:rPr>
  </w:style>
  <w:style w:type="paragraph" w:customStyle="1" w:styleId="77">
    <w:name w:val="表格1"/>
    <w:basedOn w:val="1"/>
    <w:qFormat/>
    <w:uiPriority w:val="0"/>
    <w:pPr>
      <w:adjustRightInd w:val="0"/>
      <w:spacing w:line="400" w:lineRule="atLeast"/>
      <w:jc w:val="center"/>
    </w:pPr>
    <w:rPr>
      <w:kern w:val="0"/>
      <w:sz w:val="24"/>
      <w:szCs w:val="24"/>
    </w:rPr>
  </w:style>
  <w:style w:type="paragraph" w:customStyle="1" w:styleId="78">
    <w:name w:val="S表名图名"/>
    <w:basedOn w:val="75"/>
    <w:qFormat/>
    <w:uiPriority w:val="1"/>
    <w:pPr>
      <w:ind w:firstLine="0"/>
      <w:jc w:val="center"/>
    </w:pPr>
    <w:rPr>
      <w:b/>
      <w:szCs w:val="23"/>
    </w:rPr>
  </w:style>
  <w:style w:type="paragraph" w:customStyle="1" w:styleId="79">
    <w:name w:val="图表标注"/>
    <w:basedOn w:val="1"/>
    <w:qFormat/>
    <w:uiPriority w:val="0"/>
    <w:pPr>
      <w:spacing w:line="480" w:lineRule="exact"/>
      <w:jc w:val="center"/>
    </w:pPr>
    <w:rPr>
      <w:rFonts w:eastAsia="黑体"/>
      <w:kern w:val="0"/>
      <w:sz w:val="20"/>
      <w:szCs w:val="20"/>
    </w:rPr>
  </w:style>
  <w:style w:type="paragraph" w:customStyle="1" w:styleId="80">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81">
    <w:name w:val="段落 Char1"/>
    <w:basedOn w:val="1"/>
    <w:qFormat/>
    <w:uiPriority w:val="0"/>
    <w:pPr>
      <w:tabs>
        <w:tab w:val="left" w:pos="1021"/>
      </w:tabs>
      <w:spacing w:line="360" w:lineRule="auto"/>
      <w:ind w:firstLine="504" w:firstLineChars="200"/>
    </w:pPr>
    <w:rPr>
      <w:rFonts w:hAnsi="宋体"/>
      <w:bCs/>
      <w:color w:val="000000"/>
      <w:spacing w:val="6"/>
      <w:kern w:val="0"/>
      <w:sz w:val="24"/>
      <w:szCs w:val="28"/>
    </w:rPr>
  </w:style>
  <w:style w:type="paragraph" w:customStyle="1" w:styleId="82">
    <w:name w:val="正文样式1"/>
    <w:basedOn w:val="1"/>
    <w:qFormat/>
    <w:uiPriority w:val="0"/>
    <w:pPr>
      <w:adjustRightInd w:val="0"/>
      <w:spacing w:line="288" w:lineRule="auto"/>
      <w:ind w:firstLine="360" w:firstLineChars="150"/>
      <w:textAlignment w:val="baseline"/>
    </w:pPr>
    <w:rPr>
      <w:szCs w:val="20"/>
    </w:rPr>
  </w:style>
  <w:style w:type="paragraph" w:customStyle="1" w:styleId="83">
    <w:name w:val="图表标题"/>
    <w:basedOn w:val="20"/>
    <w:next w:val="38"/>
    <w:qFormat/>
    <w:uiPriority w:val="0"/>
    <w:pPr>
      <w:outlineLvl w:val="4"/>
    </w:pPr>
    <w:rPr>
      <w:bCs/>
      <w:snapToGrid w:val="0"/>
    </w:rPr>
  </w:style>
  <w:style w:type="paragraph" w:customStyle="1" w:styleId="84">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85">
    <w:name w:val="烟厂正文"/>
    <w:basedOn w:val="1"/>
    <w:qFormat/>
    <w:uiPriority w:val="0"/>
    <w:pPr>
      <w:spacing w:before="20" w:beforeLines="20" w:after="20" w:afterLines="20" w:line="500" w:lineRule="exact"/>
      <w:ind w:firstLine="200" w:firstLineChars="200"/>
    </w:pPr>
  </w:style>
  <w:style w:type="paragraph" w:customStyle="1" w:styleId="86">
    <w:name w:val="表文"/>
    <w:basedOn w:val="1"/>
    <w:qFormat/>
    <w:uiPriority w:val="0"/>
    <w:pPr>
      <w:tabs>
        <w:tab w:val="left" w:pos="1021"/>
      </w:tabs>
      <w:overflowPunct w:val="0"/>
      <w:autoSpaceDE w:val="0"/>
      <w:autoSpaceDN w:val="0"/>
      <w:adjustRightInd w:val="0"/>
      <w:ind w:left="-40" w:firstLine="17"/>
      <w:jc w:val="center"/>
      <w:textAlignment w:val="baseline"/>
    </w:pPr>
    <w:rPr>
      <w:rFonts w:ascii="仿宋_GB2312" w:eastAsia="仿宋_GB2312"/>
      <w:color w:val="FF0000"/>
      <w:spacing w:val="-12"/>
      <w:kern w:val="0"/>
      <w:position w:val="-24"/>
      <w:szCs w:val="21"/>
    </w:rPr>
  </w:style>
  <w:style w:type="paragraph" w:styleId="87">
    <w:name w:val="No Spacing"/>
    <w:qFormat/>
    <w:uiPriority w:val="0"/>
    <w:pPr>
      <w:widowControl w:val="0"/>
      <w:jc w:val="center"/>
      <w:outlineLvl w:val="7"/>
    </w:pPr>
    <w:rPr>
      <w:rFonts w:ascii="Times New Roman" w:hAnsi="Times New Roman" w:eastAsia="宋体" w:cs="Times New Roman"/>
      <w:kern w:val="2"/>
      <w:sz w:val="21"/>
      <w:szCs w:val="24"/>
      <w:lang w:val="en-US" w:eastAsia="zh-CN" w:bidi="ar-SA"/>
    </w:rPr>
  </w:style>
  <w:style w:type="paragraph" w:customStyle="1" w:styleId="88">
    <w:name w:val="样式9"/>
    <w:basedOn w:val="1"/>
    <w:qFormat/>
    <w:uiPriority w:val="0"/>
    <w:pPr>
      <w:adjustRightInd w:val="0"/>
      <w:snapToGrid w:val="0"/>
      <w:spacing w:line="460" w:lineRule="exact"/>
      <w:ind w:firstLine="520" w:firstLineChars="200"/>
    </w:pPr>
    <w:rPr>
      <w:sz w:val="26"/>
      <w:szCs w:val="26"/>
    </w:rPr>
  </w:style>
  <w:style w:type="paragraph" w:customStyle="1" w:styleId="89">
    <w:name w:val="p0"/>
    <w:basedOn w:val="1"/>
    <w:qFormat/>
    <w:uiPriority w:val="0"/>
    <w:pPr>
      <w:widowControl/>
    </w:pPr>
    <w:rPr>
      <w:kern w:val="0"/>
      <w:szCs w:val="21"/>
    </w:rPr>
  </w:style>
  <w:style w:type="paragraph" w:customStyle="1" w:styleId="90">
    <w:name w:val="永环表内格式"/>
    <w:basedOn w:val="1"/>
    <w:qFormat/>
    <w:uiPriority w:val="0"/>
    <w:pPr>
      <w:spacing w:line="360" w:lineRule="exact"/>
      <w:jc w:val="center"/>
    </w:pPr>
    <w:rPr>
      <w:szCs w:val="21"/>
    </w:rPr>
  </w:style>
  <w:style w:type="paragraph" w:customStyle="1" w:styleId="91">
    <w:name w:val="lh-表题-报告书正文"/>
    <w:next w:val="92"/>
    <w:qFormat/>
    <w:uiPriority w:val="0"/>
    <w:pPr>
      <w:keepNext/>
      <w:numPr>
        <w:ilvl w:val="3"/>
        <w:numId w:val="3"/>
      </w:numPr>
      <w:adjustRightInd w:val="0"/>
      <w:snapToGrid w:val="0"/>
      <w:spacing w:before="50" w:beforeLines="50"/>
      <w:ind w:left="0"/>
      <w:jc w:val="center"/>
    </w:pPr>
    <w:rPr>
      <w:rFonts w:ascii="Times New Roman" w:hAnsi="Times New Roman" w:eastAsia="宋体" w:cs="Times New Roman"/>
      <w:b/>
      <w:snapToGrid w:val="0"/>
      <w:sz w:val="24"/>
      <w:szCs w:val="21"/>
      <w:lang w:val="en-US" w:eastAsia="zh-CN" w:bidi="ar-SA"/>
    </w:rPr>
  </w:style>
  <w:style w:type="paragraph" w:customStyle="1" w:styleId="92">
    <w:name w:val="lh-表格文字-报告书"/>
    <w:qFormat/>
    <w:uiPriority w:val="0"/>
    <w:pPr>
      <w:jc w:val="center"/>
    </w:pPr>
    <w:rPr>
      <w:rFonts w:ascii="Times New Roman" w:hAnsi="Times New Roman" w:eastAsia="宋体" w:cs="Times New Roman"/>
      <w:sz w:val="21"/>
      <w:szCs w:val="24"/>
      <w:lang w:val="en-US" w:eastAsia="zh-CN" w:bidi="ar-SA"/>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21"/>
    <w:qFormat/>
    <w:uiPriority w:val="0"/>
    <w:rPr>
      <w:rFonts w:hint="default" w:ascii="Times New Roman" w:hAnsi="Times New Roman" w:cs="Times New Roman"/>
      <w:color w:val="000000"/>
      <w:sz w:val="21"/>
      <w:szCs w:val="21"/>
      <w:u w:val="none"/>
    </w:rPr>
  </w:style>
  <w:style w:type="character" w:customStyle="1" w:styleId="95">
    <w:name w:val="font11"/>
    <w:qFormat/>
    <w:uiPriority w:val="0"/>
    <w:rPr>
      <w:rFonts w:hint="eastAsia" w:ascii="宋体" w:hAnsi="宋体" w:eastAsia="宋体" w:cs="宋体"/>
      <w:color w:val="000000"/>
      <w:sz w:val="21"/>
      <w:szCs w:val="21"/>
      <w:u w:val="none"/>
    </w:rPr>
  </w:style>
  <w:style w:type="character" w:customStyle="1" w:styleId="96">
    <w:name w:val="font51"/>
    <w:qFormat/>
    <w:uiPriority w:val="0"/>
    <w:rPr>
      <w:rFonts w:hint="default" w:ascii="Times New Roman" w:hAnsi="Times New Roman" w:cs="Times New Roman"/>
      <w:color w:val="000000"/>
      <w:sz w:val="21"/>
      <w:szCs w:val="21"/>
      <w:u w:val="none"/>
      <w:vertAlign w:val="superscript"/>
    </w:rPr>
  </w:style>
  <w:style w:type="paragraph" w:customStyle="1" w:styleId="97">
    <w:name w:val="lxc 表头样式1"/>
    <w:basedOn w:val="1"/>
    <w:qFormat/>
    <w:uiPriority w:val="0"/>
    <w:pPr>
      <w:spacing w:line="360" w:lineRule="auto"/>
      <w:jc w:val="center"/>
    </w:pPr>
    <w:rPr>
      <w:b/>
      <w:sz w:val="24"/>
    </w:rPr>
  </w:style>
  <w:style w:type="paragraph" w:customStyle="1" w:styleId="98">
    <w:name w:val="a正文"/>
    <w:basedOn w:val="71"/>
    <w:qFormat/>
    <w:uiPriority w:val="0"/>
    <w:pPr>
      <w:spacing w:line="520" w:lineRule="exact"/>
      <w:ind w:firstLine="200"/>
    </w:pPr>
    <w:rPr>
      <w:sz w:val="24"/>
    </w:rPr>
  </w:style>
  <w:style w:type="paragraph" w:customStyle="1" w:styleId="99">
    <w:name w:val="_Style 74"/>
    <w:basedOn w:val="1"/>
    <w:next w:val="1"/>
    <w:qFormat/>
    <w:uiPriority w:val="39"/>
    <w:pPr>
      <w:ind w:left="210"/>
      <w:jc w:val="left"/>
    </w:pPr>
    <w:rPr>
      <w:small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54</Pages>
  <Words>13109</Words>
  <Characters>14246</Characters>
  <Lines>302</Lines>
  <Paragraphs>85</Paragraphs>
  <TotalTime>6</TotalTime>
  <ScaleCrop>false</ScaleCrop>
  <LinksUpToDate>false</LinksUpToDate>
  <CharactersWithSpaces>14373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赵海文</cp:lastModifiedBy>
  <cp:lastPrinted>2020-12-29T02:43:00Z</cp:lastPrinted>
  <dcterms:modified xsi:type="dcterms:W3CDTF">2024-11-14T08:45:15Z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C677B75AC2BD41FE8DAFA207135D5547</vt:lpwstr>
  </property>
</Properties>
</file>