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93"/>
        <w:jc w:val="both"/>
        <w:rPr>
          <w:rFonts w:hint="default" w:ascii="华文中宋" w:hAnsi="华文中宋" w:eastAsia="华文中宋"/>
          <w:b/>
          <w:kern w:val="0"/>
          <w:sz w:val="36"/>
          <w:szCs w:val="36"/>
          <w:lang w:val="en-US" w:eastAsia="zh-CN"/>
        </w:rPr>
      </w:pPr>
      <w:r>
        <w:rPr>
          <w:rFonts w:hint="eastAsia" w:ascii="华文中宋" w:hAnsi="华文中宋" w:eastAsia="华文中宋"/>
          <w:b/>
          <w:kern w:val="0"/>
          <w:sz w:val="36"/>
          <w:szCs w:val="36"/>
          <w:lang w:val="en-US" w:eastAsia="zh-CN"/>
        </w:rPr>
        <w:t>附件:</w:t>
      </w:r>
    </w:p>
    <w:p>
      <w:pPr>
        <w:widowControl/>
        <w:ind w:left="93"/>
        <w:jc w:val="center"/>
        <w:rPr>
          <w:rFonts w:ascii="华文中宋" w:hAnsi="华文中宋" w:eastAsia="华文中宋"/>
          <w:b/>
          <w:kern w:val="0"/>
          <w:sz w:val="24"/>
        </w:rPr>
      </w:pPr>
      <w:r>
        <w:rPr>
          <w:rFonts w:ascii="华文中宋" w:hAnsi="华文中宋" w:eastAsia="华文中宋"/>
          <w:b/>
          <w:kern w:val="0"/>
          <w:sz w:val="36"/>
          <w:szCs w:val="36"/>
        </w:rPr>
        <w:t>高标准农田建设资金绩效评价指标表</w:t>
      </w:r>
    </w:p>
    <w:tbl>
      <w:tblPr>
        <w:tblStyle w:val="4"/>
        <w:tblW w:w="10301" w:type="dxa"/>
        <w:jc w:val="center"/>
        <w:tblInd w:w="33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18"/>
        <w:gridCol w:w="508"/>
        <w:gridCol w:w="772"/>
        <w:gridCol w:w="420"/>
        <w:gridCol w:w="920"/>
        <w:gridCol w:w="439"/>
        <w:gridCol w:w="3132"/>
        <w:gridCol w:w="2976"/>
        <w:gridCol w:w="41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66" w:hRule="atLeast"/>
          <w:tblHeader/>
          <w:jc w:val="center"/>
        </w:trPr>
        <w:tc>
          <w:tcPr>
            <w:tcW w:w="718" w:type="dxa"/>
            <w:tcBorders>
              <w:top w:val="single" w:color="auto" w:sz="4" w:space="0"/>
              <w:bottom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一级指标</w:t>
            </w:r>
          </w:p>
        </w:tc>
        <w:tc>
          <w:tcPr>
            <w:tcW w:w="508"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分值</w:t>
            </w:r>
          </w:p>
        </w:tc>
        <w:tc>
          <w:tcPr>
            <w:tcW w:w="772"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二级</w:t>
            </w:r>
          </w:p>
          <w:p>
            <w:pPr>
              <w:widowControl/>
              <w:jc w:val="center"/>
              <w:rPr>
                <w:rFonts w:eastAsia="仿宋_GB2312"/>
                <w:kern w:val="0"/>
                <w:sz w:val="20"/>
                <w:szCs w:val="20"/>
              </w:rPr>
            </w:pPr>
            <w:r>
              <w:rPr>
                <w:rFonts w:eastAsia="仿宋_GB2312"/>
                <w:kern w:val="0"/>
                <w:sz w:val="20"/>
                <w:szCs w:val="20"/>
              </w:rPr>
              <w:t>指标</w:t>
            </w:r>
            <w:bookmarkStart w:id="0" w:name="_GoBack"/>
            <w:bookmarkEnd w:id="0"/>
          </w:p>
        </w:tc>
        <w:tc>
          <w:tcPr>
            <w:tcW w:w="420"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分值</w:t>
            </w:r>
          </w:p>
        </w:tc>
        <w:tc>
          <w:tcPr>
            <w:tcW w:w="920"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39"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分值</w:t>
            </w:r>
          </w:p>
        </w:tc>
        <w:tc>
          <w:tcPr>
            <w:tcW w:w="3132"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评价标准</w:t>
            </w:r>
          </w:p>
        </w:tc>
        <w:tc>
          <w:tcPr>
            <w:tcW w:w="2976"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指标说明</w:t>
            </w:r>
          </w:p>
        </w:tc>
        <w:tc>
          <w:tcPr>
            <w:tcW w:w="416"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得分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8" w:type="dxa"/>
            <w:vMerge w:val="restart"/>
            <w:tcBorders>
              <w:top w:val="single" w:color="auto" w:sz="4" w:space="0"/>
            </w:tcBorders>
            <w:shd w:val="clear" w:color="auto" w:fill="auto"/>
            <w:vAlign w:val="center"/>
          </w:tcPr>
          <w:p>
            <w:pPr>
              <w:spacing w:line="300" w:lineRule="exact"/>
              <w:jc w:val="center"/>
              <w:rPr>
                <w:rFonts w:eastAsia="仿宋_GB2312"/>
                <w:kern w:val="0"/>
                <w:sz w:val="20"/>
                <w:szCs w:val="20"/>
              </w:rPr>
            </w:pPr>
            <w:r>
              <w:rPr>
                <w:rFonts w:eastAsia="仿宋_GB2312"/>
                <w:kern w:val="0"/>
                <w:sz w:val="20"/>
                <w:szCs w:val="20"/>
              </w:rPr>
              <w:t>投入</w:t>
            </w:r>
          </w:p>
        </w:tc>
        <w:tc>
          <w:tcPr>
            <w:tcW w:w="508" w:type="dxa"/>
            <w:vMerge w:val="restart"/>
            <w:tcBorders>
              <w:top w:val="single" w:color="auto" w:sz="4" w:space="0"/>
            </w:tcBorders>
            <w:shd w:val="clear" w:color="auto" w:fill="auto"/>
            <w:vAlign w:val="center"/>
          </w:tcPr>
          <w:p>
            <w:pPr>
              <w:spacing w:line="300" w:lineRule="exact"/>
              <w:jc w:val="center"/>
              <w:rPr>
                <w:rFonts w:eastAsia="仿宋_GB2312"/>
                <w:kern w:val="0"/>
                <w:sz w:val="20"/>
                <w:szCs w:val="20"/>
              </w:rPr>
            </w:pPr>
            <w:r>
              <w:rPr>
                <w:rFonts w:hint="eastAsia" w:eastAsia="仿宋_GB2312"/>
                <w:kern w:val="0"/>
                <w:sz w:val="20"/>
                <w:szCs w:val="20"/>
              </w:rPr>
              <w:t>15</w:t>
            </w:r>
          </w:p>
        </w:tc>
        <w:tc>
          <w:tcPr>
            <w:tcW w:w="772" w:type="dxa"/>
            <w:tcBorders>
              <w:top w:val="single" w:color="auto" w:sz="4" w:space="0"/>
              <w:bottom w:val="single" w:color="auto" w:sz="4" w:space="0"/>
            </w:tcBorders>
            <w:shd w:val="clear" w:color="auto" w:fill="auto"/>
            <w:vAlign w:val="center"/>
          </w:tcPr>
          <w:p>
            <w:pPr>
              <w:widowControl/>
              <w:spacing w:line="260" w:lineRule="exact"/>
              <w:jc w:val="center"/>
              <w:rPr>
                <w:rFonts w:eastAsia="仿宋_GB2312"/>
                <w:kern w:val="0"/>
                <w:sz w:val="20"/>
                <w:szCs w:val="20"/>
              </w:rPr>
            </w:pPr>
            <w:r>
              <w:rPr>
                <w:rFonts w:hint="eastAsia" w:eastAsia="仿宋_GB2312"/>
                <w:kern w:val="0"/>
                <w:sz w:val="20"/>
                <w:szCs w:val="20"/>
              </w:rPr>
              <w:t>项目</w:t>
            </w:r>
          </w:p>
          <w:p>
            <w:pPr>
              <w:widowControl/>
              <w:spacing w:line="260" w:lineRule="exact"/>
              <w:jc w:val="center"/>
              <w:rPr>
                <w:rFonts w:eastAsia="仿宋_GB2312"/>
                <w:kern w:val="0"/>
                <w:sz w:val="20"/>
                <w:szCs w:val="20"/>
              </w:rPr>
            </w:pPr>
            <w:r>
              <w:rPr>
                <w:rFonts w:hint="eastAsia" w:eastAsia="仿宋_GB2312"/>
                <w:kern w:val="0"/>
                <w:sz w:val="20"/>
                <w:szCs w:val="20"/>
              </w:rPr>
              <w:t>立项</w:t>
            </w:r>
          </w:p>
        </w:tc>
        <w:tc>
          <w:tcPr>
            <w:tcW w:w="420"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hint="eastAsia" w:eastAsia="仿宋_GB2312"/>
                <w:kern w:val="0"/>
                <w:sz w:val="20"/>
                <w:szCs w:val="20"/>
              </w:rPr>
              <w:t>5</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立项</w:t>
            </w:r>
          </w:p>
          <w:p>
            <w:pPr>
              <w:widowControl/>
              <w:spacing w:line="300" w:lineRule="exact"/>
              <w:jc w:val="center"/>
              <w:rPr>
                <w:rFonts w:eastAsia="仿宋_GB2312"/>
                <w:kern w:val="0"/>
                <w:sz w:val="20"/>
                <w:szCs w:val="20"/>
              </w:rPr>
            </w:pPr>
            <w:r>
              <w:rPr>
                <w:rFonts w:hint="eastAsia" w:eastAsia="仿宋_GB2312"/>
                <w:kern w:val="0"/>
                <w:sz w:val="20"/>
                <w:szCs w:val="20"/>
              </w:rPr>
              <w:t>规范性</w:t>
            </w:r>
          </w:p>
        </w:tc>
        <w:tc>
          <w:tcPr>
            <w:tcW w:w="439"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rPr>
                <w:rFonts w:eastAsia="仿宋_GB2312"/>
                <w:kern w:val="0"/>
                <w:sz w:val="20"/>
                <w:szCs w:val="20"/>
              </w:rPr>
            </w:pPr>
            <w:r>
              <w:rPr>
                <w:rFonts w:hint="eastAsia" w:eastAsia="仿宋_GB2312"/>
                <w:kern w:val="0"/>
                <w:sz w:val="20"/>
                <w:szCs w:val="20"/>
              </w:rPr>
              <w:t>项目符合相关政策，计3分；程序符合相关规定，计2分。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①项目是否按照规定的程序申请设立</w:t>
            </w:r>
            <w:r>
              <w:rPr>
                <w:rFonts w:eastAsia="仿宋_GB2312"/>
                <w:kern w:val="0"/>
                <w:sz w:val="20"/>
                <w:szCs w:val="20"/>
              </w:rPr>
              <w:t>；</w:t>
            </w:r>
            <w:r>
              <w:rPr>
                <w:rFonts w:hint="eastAsia" w:ascii="宋体" w:hAnsi="宋体" w:cs="宋体"/>
                <w:kern w:val="0"/>
                <w:sz w:val="20"/>
                <w:szCs w:val="20"/>
              </w:rPr>
              <w:t>②</w:t>
            </w:r>
            <w:r>
              <w:rPr>
                <w:rFonts w:hint="eastAsia" w:eastAsia="仿宋_GB2312"/>
                <w:kern w:val="0"/>
                <w:sz w:val="20"/>
                <w:szCs w:val="20"/>
              </w:rPr>
              <w:t>所提交的文件、材料是否符合相关要求。</w:t>
            </w:r>
          </w:p>
        </w:tc>
        <w:tc>
          <w:tcPr>
            <w:tcW w:w="416" w:type="dxa"/>
            <w:tcBorders>
              <w:top w:val="single" w:color="auto" w:sz="4" w:space="0"/>
              <w:bottom w:val="single" w:color="auto" w:sz="4" w:space="0"/>
            </w:tcBorders>
            <w:shd w:val="clear" w:color="auto" w:fill="auto"/>
            <w:vAlign w:val="center"/>
          </w:tcPr>
          <w:p>
            <w:pPr>
              <w:widowControl/>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8" w:type="dxa"/>
            <w:vMerge w:val="continue"/>
            <w:tcBorders>
              <w:bottom w:val="single" w:color="auto" w:sz="4" w:space="0"/>
            </w:tcBorders>
            <w:shd w:val="clear" w:color="auto" w:fill="auto"/>
            <w:vAlign w:val="center"/>
          </w:tcPr>
          <w:p>
            <w:pPr>
              <w:widowControl/>
              <w:spacing w:line="300" w:lineRule="exact"/>
              <w:jc w:val="center"/>
              <w:rPr>
                <w:rFonts w:eastAsia="仿宋_GB2312"/>
                <w:kern w:val="0"/>
                <w:sz w:val="20"/>
                <w:szCs w:val="20"/>
              </w:rPr>
            </w:pPr>
          </w:p>
        </w:tc>
        <w:tc>
          <w:tcPr>
            <w:tcW w:w="508" w:type="dxa"/>
            <w:vMerge w:val="continue"/>
            <w:tcBorders>
              <w:bottom w:val="single" w:color="auto" w:sz="4" w:space="0"/>
            </w:tcBorders>
            <w:shd w:val="clear" w:color="auto" w:fill="auto"/>
            <w:vAlign w:val="center"/>
          </w:tcPr>
          <w:p>
            <w:pPr>
              <w:widowControl/>
              <w:spacing w:line="300" w:lineRule="exact"/>
              <w:jc w:val="center"/>
              <w:rPr>
                <w:rFonts w:eastAsia="仿宋_GB2312"/>
                <w:kern w:val="0"/>
                <w:sz w:val="20"/>
                <w:szCs w:val="20"/>
              </w:rPr>
            </w:pPr>
          </w:p>
        </w:tc>
        <w:tc>
          <w:tcPr>
            <w:tcW w:w="772"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前期</w:t>
            </w:r>
          </w:p>
          <w:p>
            <w:pPr>
              <w:widowControl/>
              <w:spacing w:line="300" w:lineRule="exact"/>
              <w:jc w:val="center"/>
              <w:rPr>
                <w:rFonts w:eastAsia="仿宋_GB2312"/>
                <w:kern w:val="0"/>
                <w:sz w:val="20"/>
                <w:szCs w:val="20"/>
              </w:rPr>
            </w:pPr>
            <w:r>
              <w:rPr>
                <w:rFonts w:hint="eastAsia" w:eastAsia="仿宋_GB2312"/>
                <w:kern w:val="0"/>
                <w:sz w:val="20"/>
                <w:szCs w:val="20"/>
              </w:rPr>
              <w:t>工作</w:t>
            </w:r>
          </w:p>
        </w:tc>
        <w:tc>
          <w:tcPr>
            <w:tcW w:w="4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实施方案编制</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编制了实施方案，计</w:t>
            </w:r>
            <w:r>
              <w:rPr>
                <w:rFonts w:hint="eastAsia" w:eastAsia="仿宋_GB2312"/>
                <w:kern w:val="0"/>
                <w:sz w:val="20"/>
                <w:szCs w:val="20"/>
              </w:rPr>
              <w:t>8分；实施方案较全面，</w:t>
            </w:r>
            <w:r>
              <w:rPr>
                <w:rFonts w:eastAsia="仿宋_GB2312"/>
                <w:kern w:val="0"/>
                <w:sz w:val="20"/>
                <w:szCs w:val="20"/>
              </w:rPr>
              <w:t>计</w:t>
            </w:r>
            <w:r>
              <w:rPr>
                <w:rFonts w:hint="eastAsia" w:eastAsia="仿宋_GB2312"/>
                <w:kern w:val="0"/>
                <w:sz w:val="20"/>
                <w:szCs w:val="20"/>
              </w:rPr>
              <w:t>2分。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①项目是否编制了实施方案；②实施方案是否全面。</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846" w:hRule="atLeast"/>
          <w:jc w:val="center"/>
        </w:trPr>
        <w:tc>
          <w:tcPr>
            <w:tcW w:w="718" w:type="dxa"/>
            <w:vMerge w:val="restart"/>
            <w:tcBorders>
              <w:top w:val="single" w:color="auto" w:sz="4" w:space="0"/>
            </w:tcBorders>
            <w:vAlign w:val="center"/>
          </w:tcPr>
          <w:p>
            <w:pPr>
              <w:spacing w:line="300" w:lineRule="exact"/>
              <w:jc w:val="center"/>
              <w:rPr>
                <w:rFonts w:eastAsia="仿宋_GB2312"/>
                <w:kern w:val="0"/>
                <w:sz w:val="20"/>
                <w:szCs w:val="20"/>
              </w:rPr>
            </w:pPr>
            <w:r>
              <w:rPr>
                <w:rFonts w:eastAsia="仿宋_GB2312"/>
                <w:kern w:val="0"/>
                <w:sz w:val="20"/>
                <w:szCs w:val="20"/>
              </w:rPr>
              <w:t>过                                                                                                                                       程</w:t>
            </w:r>
          </w:p>
        </w:tc>
        <w:tc>
          <w:tcPr>
            <w:tcW w:w="508" w:type="dxa"/>
            <w:vMerge w:val="restart"/>
            <w:tcBorders>
              <w:top w:val="single" w:color="auto" w:sz="4" w:space="0"/>
            </w:tcBorders>
            <w:vAlign w:val="center"/>
          </w:tcPr>
          <w:p>
            <w:pPr>
              <w:spacing w:line="300" w:lineRule="exact"/>
              <w:jc w:val="center"/>
              <w:rPr>
                <w:rFonts w:eastAsia="仿宋_GB2312"/>
                <w:kern w:val="0"/>
                <w:sz w:val="20"/>
                <w:szCs w:val="20"/>
              </w:rPr>
            </w:pPr>
            <w:r>
              <w:rPr>
                <w:rFonts w:hint="eastAsia" w:eastAsia="仿宋_GB2312"/>
                <w:kern w:val="0"/>
                <w:sz w:val="20"/>
                <w:szCs w:val="20"/>
              </w:rPr>
              <w:t>45</w:t>
            </w:r>
          </w:p>
        </w:tc>
        <w:tc>
          <w:tcPr>
            <w:tcW w:w="772" w:type="dxa"/>
            <w:vMerge w:val="restart"/>
            <w:tcBorders>
              <w:top w:val="single" w:color="auto" w:sz="4" w:space="0"/>
            </w:tcBorders>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业务</w:t>
            </w:r>
          </w:p>
          <w:p>
            <w:pPr>
              <w:spacing w:line="300" w:lineRule="exact"/>
              <w:jc w:val="center"/>
              <w:rPr>
                <w:rFonts w:eastAsia="仿宋_GB2312"/>
                <w:kern w:val="0"/>
                <w:sz w:val="20"/>
                <w:szCs w:val="20"/>
              </w:rPr>
            </w:pPr>
            <w:r>
              <w:rPr>
                <w:rFonts w:eastAsia="仿宋_GB2312"/>
                <w:kern w:val="0"/>
                <w:sz w:val="20"/>
                <w:szCs w:val="20"/>
              </w:rPr>
              <w:t>管理</w:t>
            </w:r>
          </w:p>
        </w:tc>
        <w:tc>
          <w:tcPr>
            <w:tcW w:w="4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组织实施方式</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是否实行招投标，如有得满分；是否采取其他方式并按相关程序办理报批手续，如有得满分，否则不得分。</w:t>
            </w:r>
          </w:p>
        </w:tc>
        <w:tc>
          <w:tcPr>
            <w:tcW w:w="297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41" w:hRule="atLeast"/>
          <w:jc w:val="center"/>
        </w:trPr>
        <w:tc>
          <w:tcPr>
            <w:tcW w:w="718" w:type="dxa"/>
            <w:vMerge w:val="continue"/>
            <w:vAlign w:val="center"/>
          </w:tcPr>
          <w:p>
            <w:pPr>
              <w:widowControl/>
              <w:spacing w:line="300" w:lineRule="exact"/>
              <w:jc w:val="center"/>
              <w:rPr>
                <w:rFonts w:eastAsia="仿宋_GB2312"/>
                <w:kern w:val="0"/>
                <w:sz w:val="20"/>
                <w:szCs w:val="20"/>
              </w:rPr>
            </w:pPr>
          </w:p>
        </w:tc>
        <w:tc>
          <w:tcPr>
            <w:tcW w:w="508" w:type="dxa"/>
            <w:vMerge w:val="continue"/>
            <w:vAlign w:val="center"/>
          </w:tcPr>
          <w:p>
            <w:pPr>
              <w:widowControl/>
              <w:spacing w:line="300" w:lineRule="exact"/>
              <w:jc w:val="center"/>
              <w:rPr>
                <w:rFonts w:eastAsia="仿宋_GB2312"/>
                <w:kern w:val="0"/>
                <w:sz w:val="20"/>
                <w:szCs w:val="20"/>
              </w:rPr>
            </w:pPr>
          </w:p>
        </w:tc>
        <w:tc>
          <w:tcPr>
            <w:tcW w:w="772" w:type="dxa"/>
            <w:vMerge w:val="continue"/>
            <w:shd w:val="clear" w:color="auto" w:fill="auto"/>
            <w:vAlign w:val="center"/>
          </w:tcPr>
          <w:p>
            <w:pPr>
              <w:widowControl/>
              <w:spacing w:line="300" w:lineRule="exact"/>
              <w:jc w:val="center"/>
              <w:rPr>
                <w:rFonts w:eastAsia="仿宋_GB2312"/>
                <w:kern w:val="0"/>
                <w:sz w:val="20"/>
                <w:szCs w:val="20"/>
              </w:rPr>
            </w:pPr>
          </w:p>
        </w:tc>
        <w:tc>
          <w:tcPr>
            <w:tcW w:w="420" w:type="dxa"/>
            <w:vMerge w:val="restart"/>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15</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管理制度健全性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项目承担单位技术管理制度健全，计5分；基本健全，计3分；没有制度得0分。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①是否制定或具有相应的业务管理制度；②业务管理制度是否合法、合规、完整。</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65" w:hRule="atLeast"/>
          <w:jc w:val="center"/>
        </w:trPr>
        <w:tc>
          <w:tcPr>
            <w:tcW w:w="718" w:type="dxa"/>
            <w:vMerge w:val="continue"/>
            <w:vAlign w:val="center"/>
          </w:tcPr>
          <w:p>
            <w:pPr>
              <w:widowControl/>
              <w:spacing w:line="300" w:lineRule="exact"/>
              <w:jc w:val="left"/>
              <w:rPr>
                <w:rFonts w:eastAsia="仿宋_GB2312"/>
                <w:kern w:val="0"/>
                <w:sz w:val="20"/>
                <w:szCs w:val="20"/>
              </w:rPr>
            </w:pPr>
          </w:p>
        </w:tc>
        <w:tc>
          <w:tcPr>
            <w:tcW w:w="508" w:type="dxa"/>
            <w:vMerge w:val="continue"/>
            <w:vAlign w:val="center"/>
          </w:tcPr>
          <w:p>
            <w:pPr>
              <w:widowControl/>
              <w:spacing w:line="300" w:lineRule="exact"/>
              <w:jc w:val="left"/>
              <w:rPr>
                <w:rFonts w:eastAsia="仿宋_GB2312"/>
                <w:kern w:val="0"/>
                <w:sz w:val="20"/>
                <w:szCs w:val="20"/>
              </w:rPr>
            </w:pPr>
          </w:p>
        </w:tc>
        <w:tc>
          <w:tcPr>
            <w:tcW w:w="772" w:type="dxa"/>
            <w:vMerge w:val="continue"/>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制度执行有效性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制度执行到位，计5分；基本到位，计3分；不按制度执行得0分。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①是否遵守相关法律法规和业务管理规定；②项目调整及支出调整手续是否完备；③项目合同书、验收报告等资料是否齐全并及时归档。</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263" w:hRule="atLeast"/>
          <w:jc w:val="center"/>
        </w:trPr>
        <w:tc>
          <w:tcPr>
            <w:tcW w:w="718" w:type="dxa"/>
            <w:vMerge w:val="continue"/>
            <w:vAlign w:val="center"/>
          </w:tcPr>
          <w:p>
            <w:pPr>
              <w:widowControl/>
              <w:spacing w:line="300" w:lineRule="exact"/>
              <w:jc w:val="left"/>
              <w:rPr>
                <w:rFonts w:eastAsia="仿宋_GB2312"/>
                <w:kern w:val="0"/>
                <w:sz w:val="20"/>
                <w:szCs w:val="20"/>
              </w:rPr>
            </w:pPr>
          </w:p>
        </w:tc>
        <w:tc>
          <w:tcPr>
            <w:tcW w:w="508" w:type="dxa"/>
            <w:vMerge w:val="continue"/>
            <w:vAlign w:val="center"/>
          </w:tcPr>
          <w:p>
            <w:pPr>
              <w:widowControl/>
              <w:spacing w:line="300" w:lineRule="exact"/>
              <w:jc w:val="left"/>
              <w:rPr>
                <w:rFonts w:eastAsia="仿宋_GB2312"/>
                <w:kern w:val="0"/>
                <w:sz w:val="20"/>
                <w:szCs w:val="20"/>
              </w:rPr>
            </w:pPr>
          </w:p>
        </w:tc>
        <w:tc>
          <w:tcPr>
            <w:tcW w:w="772" w:type="dxa"/>
            <w:vMerge w:val="continue"/>
            <w:tcBorders>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项目质量可控性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项目业务管理制度对项目工作控制有效，计5分；基本有效，计3分；无效得0分。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①是否已制定或具有相应的项目质量要求或标准；②是否采取了相应的项目质量检查、验收等必需的控制措施或手段。</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337" w:hRule="atLeast"/>
          <w:jc w:val="center"/>
        </w:trPr>
        <w:tc>
          <w:tcPr>
            <w:tcW w:w="718" w:type="dxa"/>
            <w:vMerge w:val="continue"/>
            <w:vAlign w:val="center"/>
          </w:tcPr>
          <w:p>
            <w:pPr>
              <w:widowControl/>
              <w:spacing w:line="300" w:lineRule="exact"/>
              <w:jc w:val="left"/>
              <w:rPr>
                <w:rFonts w:eastAsia="仿宋_GB2312"/>
                <w:kern w:val="0"/>
                <w:sz w:val="20"/>
                <w:szCs w:val="20"/>
              </w:rPr>
            </w:pPr>
          </w:p>
        </w:tc>
        <w:tc>
          <w:tcPr>
            <w:tcW w:w="508" w:type="dxa"/>
            <w:vMerge w:val="continue"/>
            <w:vAlign w:val="center"/>
          </w:tcPr>
          <w:p>
            <w:pPr>
              <w:widowControl/>
              <w:spacing w:line="300" w:lineRule="exact"/>
              <w:jc w:val="left"/>
              <w:rPr>
                <w:rFonts w:eastAsia="仿宋_GB2312"/>
                <w:kern w:val="0"/>
                <w:sz w:val="20"/>
                <w:szCs w:val="20"/>
              </w:rPr>
            </w:pPr>
          </w:p>
        </w:tc>
        <w:tc>
          <w:tcPr>
            <w:tcW w:w="772" w:type="dxa"/>
            <w:vMerge w:val="restart"/>
            <w:tcBorders>
              <w:top w:val="single" w:color="auto" w:sz="4" w:space="0"/>
            </w:tcBorders>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财务</w:t>
            </w:r>
          </w:p>
          <w:p>
            <w:pPr>
              <w:widowControl/>
              <w:spacing w:line="300" w:lineRule="exact"/>
              <w:jc w:val="center"/>
              <w:rPr>
                <w:rFonts w:eastAsia="仿宋_GB2312"/>
                <w:kern w:val="0"/>
                <w:sz w:val="20"/>
                <w:szCs w:val="20"/>
              </w:rPr>
            </w:pPr>
            <w:r>
              <w:rPr>
                <w:rFonts w:eastAsia="仿宋_GB2312"/>
                <w:kern w:val="0"/>
                <w:sz w:val="20"/>
                <w:szCs w:val="20"/>
              </w:rPr>
              <w:t>管理</w:t>
            </w:r>
          </w:p>
        </w:tc>
        <w:tc>
          <w:tcPr>
            <w:tcW w:w="420" w:type="dxa"/>
            <w:vMerge w:val="restart"/>
            <w:tcBorders>
              <w:top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25</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管理制度健全性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项目承担单位专项资金管理制度健全，内容不违背国家和省级相关制度，计5分；基本健全，计3分；没有制度得0分。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①是否已制定或具有相应的项目资金管理办法；②项目资金管理办法是否符合相关财务会计制度的规定。</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337" w:hRule="atLeast"/>
          <w:jc w:val="center"/>
        </w:trPr>
        <w:tc>
          <w:tcPr>
            <w:tcW w:w="718" w:type="dxa"/>
            <w:vMerge w:val="continue"/>
            <w:vAlign w:val="center"/>
          </w:tcPr>
          <w:p>
            <w:pPr>
              <w:widowControl/>
              <w:spacing w:line="300" w:lineRule="exact"/>
              <w:jc w:val="left"/>
              <w:rPr>
                <w:rFonts w:eastAsia="仿宋_GB2312"/>
                <w:kern w:val="0"/>
                <w:sz w:val="20"/>
                <w:szCs w:val="20"/>
              </w:rPr>
            </w:pPr>
          </w:p>
        </w:tc>
        <w:tc>
          <w:tcPr>
            <w:tcW w:w="508" w:type="dxa"/>
            <w:vMerge w:val="continue"/>
            <w:vAlign w:val="center"/>
          </w:tcPr>
          <w:p>
            <w:pPr>
              <w:widowControl/>
              <w:spacing w:line="300" w:lineRule="exact"/>
              <w:jc w:val="left"/>
              <w:rPr>
                <w:rFonts w:eastAsia="仿宋_GB2312"/>
                <w:kern w:val="0"/>
                <w:sz w:val="20"/>
                <w:szCs w:val="20"/>
              </w:rPr>
            </w:pPr>
          </w:p>
        </w:tc>
        <w:tc>
          <w:tcPr>
            <w:tcW w:w="772" w:type="dxa"/>
            <w:vMerge w:val="continue"/>
            <w:shd w:val="clear" w:color="auto" w:fill="auto"/>
            <w:vAlign w:val="center"/>
          </w:tcPr>
          <w:p>
            <w:pPr>
              <w:widowControl/>
              <w:spacing w:line="300" w:lineRule="exact"/>
              <w:jc w:val="center"/>
              <w:rPr>
                <w:rFonts w:eastAsia="仿宋_GB2312"/>
                <w:kern w:val="0"/>
                <w:sz w:val="20"/>
                <w:szCs w:val="20"/>
              </w:rPr>
            </w:pPr>
          </w:p>
        </w:tc>
        <w:tc>
          <w:tcPr>
            <w:tcW w:w="420" w:type="dxa"/>
            <w:vMerge w:val="continue"/>
            <w:shd w:val="clear" w:color="auto" w:fill="auto"/>
            <w:vAlign w:val="center"/>
          </w:tcPr>
          <w:p>
            <w:pPr>
              <w:widowControl/>
              <w:spacing w:line="300" w:lineRule="exact"/>
              <w:jc w:val="left"/>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资金拨付及时性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按照合同约定支付，计10分；未按约定支付，出现1次扣1分，扣完为止。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①资金支付是否按照财政国库管理制度执行；②是否按照合同约定支付。</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194" w:hRule="atLeast"/>
          <w:jc w:val="center"/>
        </w:trPr>
        <w:tc>
          <w:tcPr>
            <w:tcW w:w="718" w:type="dxa"/>
            <w:vMerge w:val="continue"/>
            <w:tcBorders>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bottom w:val="single" w:color="auto" w:sz="4" w:space="0"/>
            </w:tcBorders>
            <w:vAlign w:val="center"/>
          </w:tcPr>
          <w:p>
            <w:pPr>
              <w:widowControl/>
              <w:spacing w:line="300" w:lineRule="exact"/>
              <w:jc w:val="left"/>
              <w:rPr>
                <w:rFonts w:eastAsia="仿宋_GB2312"/>
                <w:kern w:val="0"/>
                <w:sz w:val="20"/>
                <w:szCs w:val="20"/>
              </w:rPr>
            </w:pPr>
          </w:p>
        </w:tc>
        <w:tc>
          <w:tcPr>
            <w:tcW w:w="772" w:type="dxa"/>
            <w:vMerge w:val="continue"/>
            <w:tcBorders>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资金使用合规性</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项目经费使用符合专项资金管理相关规定，未发现违规现象，计10分；存在违规现象但不严重时扣1-10分，扣完为止。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①是否符合国家财经法规和财务管理制度以及有关专项资金管理办法的规定；②资金的拨付是否有完整的审批程序和手续；③是否符合预算批复或合同规定的用途；④是否存在截留、挤占、挪用、虚列支出等情况。</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217" w:hRule="atLeast"/>
          <w:jc w:val="center"/>
        </w:trPr>
        <w:tc>
          <w:tcPr>
            <w:tcW w:w="718" w:type="dxa"/>
            <w:vMerge w:val="restart"/>
            <w:tcBorders>
              <w:top w:val="single" w:color="auto" w:sz="4" w:space="0"/>
              <w:bottom w:val="single" w:color="auto" w:sz="4" w:space="0"/>
            </w:tcBorders>
            <w:vAlign w:val="center"/>
          </w:tcPr>
          <w:p>
            <w:pPr>
              <w:widowControl/>
              <w:spacing w:line="300" w:lineRule="exact"/>
              <w:jc w:val="left"/>
              <w:rPr>
                <w:rFonts w:eastAsia="仿宋_GB2312"/>
                <w:kern w:val="0"/>
                <w:sz w:val="20"/>
                <w:szCs w:val="20"/>
              </w:rPr>
            </w:pPr>
            <w:r>
              <w:rPr>
                <w:rFonts w:eastAsia="仿宋_GB2312"/>
                <w:kern w:val="0"/>
                <w:sz w:val="20"/>
                <w:szCs w:val="20"/>
              </w:rPr>
              <w:t>产出</w:t>
            </w:r>
          </w:p>
        </w:tc>
        <w:tc>
          <w:tcPr>
            <w:tcW w:w="508" w:type="dxa"/>
            <w:vMerge w:val="restart"/>
            <w:tcBorders>
              <w:top w:val="single" w:color="auto" w:sz="4" w:space="0"/>
              <w:bottom w:val="single" w:color="auto" w:sz="4" w:space="0"/>
            </w:tcBorders>
            <w:vAlign w:val="center"/>
          </w:tcPr>
          <w:p>
            <w:pPr>
              <w:spacing w:line="300" w:lineRule="exact"/>
              <w:jc w:val="center"/>
              <w:rPr>
                <w:rFonts w:eastAsia="仿宋_GB2312"/>
                <w:kern w:val="0"/>
                <w:sz w:val="20"/>
                <w:szCs w:val="20"/>
              </w:rPr>
            </w:pPr>
            <w:r>
              <w:rPr>
                <w:rFonts w:hint="eastAsia" w:eastAsia="仿宋_GB2312"/>
                <w:kern w:val="0"/>
                <w:sz w:val="20"/>
                <w:szCs w:val="20"/>
              </w:rPr>
              <w:t>40</w:t>
            </w:r>
          </w:p>
        </w:tc>
        <w:tc>
          <w:tcPr>
            <w:tcW w:w="772" w:type="dxa"/>
            <w:vMerge w:val="restart"/>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项目</w:t>
            </w:r>
          </w:p>
          <w:p>
            <w:pPr>
              <w:widowControl/>
              <w:spacing w:line="300" w:lineRule="exact"/>
              <w:jc w:val="center"/>
              <w:rPr>
                <w:rFonts w:eastAsia="仿宋_GB2312"/>
                <w:kern w:val="0"/>
                <w:sz w:val="20"/>
                <w:szCs w:val="20"/>
              </w:rPr>
            </w:pPr>
            <w:r>
              <w:rPr>
                <w:rFonts w:eastAsia="仿宋_GB2312"/>
                <w:kern w:val="0"/>
                <w:sz w:val="20"/>
                <w:szCs w:val="20"/>
              </w:rPr>
              <w:t>产出</w:t>
            </w:r>
          </w:p>
        </w:tc>
        <w:tc>
          <w:tcPr>
            <w:tcW w:w="420" w:type="dxa"/>
            <w:vMerge w:val="restart"/>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20</w:t>
            </w:r>
          </w:p>
          <w:p>
            <w:pPr>
              <w:spacing w:line="300" w:lineRule="exact"/>
              <w:jc w:val="center"/>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主要工作量完成率</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按设计、预算要求完成工作量，计10分；没达到设计、预算的工作量要求，扣1-10分，扣完为止。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以项目设计、预算的主要实物工作量为基础，与实际完成的实物工作量进行比较。</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146" w:hRule="atLeast"/>
          <w:jc w:val="center"/>
        </w:trPr>
        <w:tc>
          <w:tcPr>
            <w:tcW w:w="718" w:type="dxa"/>
            <w:vMerge w:val="continue"/>
            <w:tcBorders>
              <w:top w:val="single" w:color="auto" w:sz="4" w:space="0"/>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top w:val="single" w:color="auto" w:sz="4" w:space="0"/>
              <w:bottom w:val="single" w:color="auto" w:sz="4" w:space="0"/>
            </w:tcBorders>
            <w:vAlign w:val="center"/>
          </w:tcPr>
          <w:p>
            <w:pPr>
              <w:spacing w:line="300" w:lineRule="exact"/>
              <w:jc w:val="center"/>
              <w:rPr>
                <w:rFonts w:eastAsia="仿宋_GB2312"/>
                <w:kern w:val="0"/>
                <w:sz w:val="20"/>
                <w:szCs w:val="20"/>
              </w:rPr>
            </w:pPr>
          </w:p>
        </w:tc>
        <w:tc>
          <w:tcPr>
            <w:tcW w:w="772" w:type="dxa"/>
            <w:vMerge w:val="continue"/>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top w:val="single" w:color="auto" w:sz="4" w:space="0"/>
              <w:bottom w:val="single" w:color="auto" w:sz="4" w:space="0"/>
            </w:tcBorders>
            <w:shd w:val="clear" w:color="auto" w:fill="auto"/>
            <w:vAlign w:val="center"/>
          </w:tcPr>
          <w:p>
            <w:pPr>
              <w:spacing w:line="300" w:lineRule="exact"/>
              <w:jc w:val="center"/>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完成</w:t>
            </w:r>
          </w:p>
          <w:p>
            <w:pPr>
              <w:widowControl/>
              <w:spacing w:line="300" w:lineRule="exact"/>
              <w:jc w:val="center"/>
              <w:rPr>
                <w:rFonts w:eastAsia="仿宋_GB2312"/>
                <w:kern w:val="0"/>
                <w:sz w:val="20"/>
                <w:szCs w:val="20"/>
              </w:rPr>
            </w:pPr>
            <w:r>
              <w:rPr>
                <w:rFonts w:hint="eastAsia" w:eastAsia="仿宋_GB2312"/>
                <w:kern w:val="0"/>
                <w:sz w:val="20"/>
                <w:szCs w:val="20"/>
              </w:rPr>
              <w:t>及时率</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工作量完成进度与时间进度同步的，计5分；不同步扣1-5分，扣完为止。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以合同约定为工作量完成的起始时间。</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345" w:hRule="atLeast"/>
          <w:jc w:val="center"/>
        </w:trPr>
        <w:tc>
          <w:tcPr>
            <w:tcW w:w="718" w:type="dxa"/>
            <w:vMerge w:val="continue"/>
            <w:tcBorders>
              <w:top w:val="single" w:color="auto" w:sz="4" w:space="0"/>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top w:val="single" w:color="auto" w:sz="4" w:space="0"/>
              <w:bottom w:val="single" w:color="auto" w:sz="4" w:space="0"/>
            </w:tcBorders>
            <w:vAlign w:val="center"/>
          </w:tcPr>
          <w:p>
            <w:pPr>
              <w:spacing w:line="300" w:lineRule="exact"/>
              <w:jc w:val="center"/>
              <w:rPr>
                <w:rFonts w:eastAsia="仿宋_GB2312"/>
                <w:kern w:val="0"/>
                <w:sz w:val="20"/>
                <w:szCs w:val="20"/>
              </w:rPr>
            </w:pPr>
          </w:p>
        </w:tc>
        <w:tc>
          <w:tcPr>
            <w:tcW w:w="772" w:type="dxa"/>
            <w:vMerge w:val="continue"/>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质量</w:t>
            </w:r>
          </w:p>
          <w:p>
            <w:pPr>
              <w:widowControl/>
              <w:spacing w:line="300" w:lineRule="exact"/>
              <w:jc w:val="center"/>
              <w:rPr>
                <w:rFonts w:eastAsia="仿宋_GB2312"/>
                <w:kern w:val="0"/>
                <w:sz w:val="20"/>
                <w:szCs w:val="20"/>
              </w:rPr>
            </w:pPr>
            <w:r>
              <w:rPr>
                <w:rFonts w:hint="eastAsia" w:eastAsia="仿宋_GB2312"/>
                <w:kern w:val="0"/>
                <w:sz w:val="20"/>
                <w:szCs w:val="20"/>
              </w:rPr>
              <w:t>达标率</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项目完工进行了质量工程验收，计4分；有验收报告的，计1分，否则扣1-5分，扣完为止。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质量标准是指项目单位设立绩效目标时依据计划标准、行业标准、历史标准或其他标准而设定的绩效指标值。</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345" w:hRule="atLeast"/>
          <w:jc w:val="center"/>
        </w:trPr>
        <w:tc>
          <w:tcPr>
            <w:tcW w:w="718" w:type="dxa"/>
            <w:vMerge w:val="continue"/>
            <w:tcBorders>
              <w:top w:val="single" w:color="auto" w:sz="4" w:space="0"/>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top w:val="single" w:color="auto" w:sz="4" w:space="0"/>
              <w:bottom w:val="single" w:color="auto" w:sz="4" w:space="0"/>
            </w:tcBorders>
            <w:vAlign w:val="center"/>
          </w:tcPr>
          <w:p>
            <w:pPr>
              <w:spacing w:line="300" w:lineRule="exact"/>
              <w:jc w:val="center"/>
              <w:rPr>
                <w:rFonts w:eastAsia="仿宋_GB2312"/>
                <w:kern w:val="0"/>
                <w:sz w:val="20"/>
                <w:szCs w:val="20"/>
              </w:rPr>
            </w:pPr>
          </w:p>
        </w:tc>
        <w:tc>
          <w:tcPr>
            <w:tcW w:w="772" w:type="dxa"/>
            <w:vMerge w:val="restart"/>
            <w:tcBorders>
              <w:top w:val="single" w:color="auto" w:sz="4" w:space="0"/>
            </w:tcBorders>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项目</w:t>
            </w:r>
          </w:p>
          <w:p>
            <w:pPr>
              <w:spacing w:line="300" w:lineRule="exact"/>
              <w:jc w:val="center"/>
              <w:rPr>
                <w:rFonts w:eastAsia="仿宋_GB2312"/>
                <w:kern w:val="0"/>
                <w:sz w:val="20"/>
                <w:szCs w:val="20"/>
              </w:rPr>
            </w:pPr>
            <w:r>
              <w:rPr>
                <w:rFonts w:eastAsia="仿宋_GB2312"/>
                <w:kern w:val="0"/>
                <w:sz w:val="20"/>
                <w:szCs w:val="20"/>
              </w:rPr>
              <w:t>效益</w:t>
            </w:r>
          </w:p>
        </w:tc>
        <w:tc>
          <w:tcPr>
            <w:tcW w:w="420" w:type="dxa"/>
            <w:vMerge w:val="restart"/>
            <w:tcBorders>
              <w:top w:val="single" w:color="auto" w:sz="4" w:space="0"/>
            </w:tcBorders>
            <w:shd w:val="clear" w:color="auto" w:fill="auto"/>
            <w:vAlign w:val="center"/>
          </w:tcPr>
          <w:p>
            <w:pPr>
              <w:spacing w:line="300" w:lineRule="exact"/>
              <w:jc w:val="center"/>
              <w:rPr>
                <w:rFonts w:eastAsia="仿宋_GB2312"/>
                <w:kern w:val="0"/>
                <w:sz w:val="20"/>
                <w:szCs w:val="20"/>
              </w:rPr>
            </w:pPr>
            <w:r>
              <w:rPr>
                <w:rFonts w:hint="eastAsia" w:eastAsia="仿宋_GB2312"/>
                <w:kern w:val="0"/>
                <w:sz w:val="20"/>
                <w:szCs w:val="20"/>
              </w:rPr>
              <w:t>20</w:t>
            </w: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经济效益</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经济效益显著，实现预期目标，计5分；有明显的经济效益，基本实现预期目标，计3分；经济效益不明显，计1分；无经济效益，得0分。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890" w:hRule="atLeast"/>
          <w:jc w:val="center"/>
        </w:trPr>
        <w:tc>
          <w:tcPr>
            <w:tcW w:w="718" w:type="dxa"/>
            <w:vMerge w:val="continue"/>
            <w:tcBorders>
              <w:top w:val="single" w:color="auto" w:sz="4" w:space="0"/>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top w:val="single" w:color="auto" w:sz="4" w:space="0"/>
              <w:bottom w:val="single" w:color="auto" w:sz="4" w:space="0"/>
            </w:tcBorders>
            <w:vAlign w:val="center"/>
          </w:tcPr>
          <w:p>
            <w:pPr>
              <w:widowControl/>
              <w:spacing w:line="300" w:lineRule="exact"/>
              <w:jc w:val="center"/>
              <w:rPr>
                <w:rFonts w:eastAsia="仿宋_GB2312"/>
                <w:kern w:val="0"/>
                <w:sz w:val="20"/>
                <w:szCs w:val="20"/>
              </w:rPr>
            </w:pPr>
          </w:p>
        </w:tc>
        <w:tc>
          <w:tcPr>
            <w:tcW w:w="772" w:type="dxa"/>
            <w:vMerge w:val="continue"/>
            <w:shd w:val="clear" w:color="auto" w:fill="auto"/>
            <w:vAlign w:val="center"/>
          </w:tcPr>
          <w:p>
            <w:pPr>
              <w:spacing w:line="300" w:lineRule="exact"/>
              <w:jc w:val="center"/>
              <w:rPr>
                <w:rFonts w:eastAsia="仿宋_GB2312"/>
                <w:kern w:val="0"/>
                <w:sz w:val="20"/>
                <w:szCs w:val="20"/>
              </w:rPr>
            </w:pPr>
          </w:p>
        </w:tc>
        <w:tc>
          <w:tcPr>
            <w:tcW w:w="420" w:type="dxa"/>
            <w:vMerge w:val="continue"/>
            <w:shd w:val="clear" w:color="auto" w:fill="auto"/>
            <w:vAlign w:val="center"/>
          </w:tcPr>
          <w:p>
            <w:pPr>
              <w:widowControl/>
              <w:spacing w:line="300" w:lineRule="exact"/>
              <w:jc w:val="center"/>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社会效益</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改善农业生产条件，改善与修复生态环境效果显著的，计5分；一般的，计3分；效果低下的不得分。</w:t>
            </w:r>
          </w:p>
          <w:p>
            <w:pPr>
              <w:widowControl/>
              <w:spacing w:line="300" w:lineRule="exact"/>
              <w:jc w:val="left"/>
              <w:rPr>
                <w:rFonts w:eastAsia="仿宋_GB2312"/>
                <w:kern w:val="0"/>
                <w:sz w:val="20"/>
                <w:szCs w:val="20"/>
              </w:rPr>
            </w:pPr>
          </w:p>
        </w:tc>
        <w:tc>
          <w:tcPr>
            <w:tcW w:w="2976" w:type="dxa"/>
            <w:tcBorders>
              <w:top w:val="single" w:color="auto" w:sz="4" w:space="0"/>
              <w:bottom w:val="single" w:color="auto" w:sz="4" w:space="0"/>
            </w:tcBorders>
            <w:shd w:val="clear" w:color="auto" w:fill="auto"/>
          </w:tcPr>
          <w:p>
            <w:pPr>
              <w:widowControl/>
              <w:spacing w:line="300" w:lineRule="exact"/>
              <w:jc w:val="left"/>
              <w:rPr>
                <w:rFonts w:eastAsia="仿宋_GB2312"/>
                <w:kern w:val="0"/>
                <w:sz w:val="20"/>
                <w:szCs w:val="20"/>
              </w:rPr>
            </w:pPr>
            <w:r>
              <w:rPr>
                <w:rFonts w:hint="eastAsia" w:eastAsia="仿宋_GB2312"/>
                <w:kern w:val="0"/>
                <w:sz w:val="20"/>
                <w:szCs w:val="20"/>
              </w:rPr>
              <w:t>①项目是否改善与修复生态环境；②项目是否有助于改善流域水体水质、土壤环境、大气质量、生态环境质量等。③项目是否提高产业发展水平和改善农村基础设施。</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791" w:hRule="atLeast"/>
          <w:jc w:val="center"/>
        </w:trPr>
        <w:tc>
          <w:tcPr>
            <w:tcW w:w="718" w:type="dxa"/>
            <w:vMerge w:val="continue"/>
            <w:tcBorders>
              <w:top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top w:val="single" w:color="auto" w:sz="4" w:space="0"/>
            </w:tcBorders>
            <w:vAlign w:val="center"/>
          </w:tcPr>
          <w:p>
            <w:pPr>
              <w:widowControl/>
              <w:spacing w:line="300" w:lineRule="exact"/>
              <w:jc w:val="left"/>
              <w:rPr>
                <w:rFonts w:eastAsia="仿宋_GB2312"/>
                <w:kern w:val="0"/>
                <w:sz w:val="20"/>
                <w:szCs w:val="20"/>
              </w:rPr>
            </w:pPr>
          </w:p>
        </w:tc>
        <w:tc>
          <w:tcPr>
            <w:tcW w:w="772" w:type="dxa"/>
            <w:vMerge w:val="continue"/>
            <w:shd w:val="clear" w:color="auto" w:fill="auto"/>
            <w:vAlign w:val="center"/>
          </w:tcPr>
          <w:p>
            <w:pPr>
              <w:widowControl/>
              <w:spacing w:line="300" w:lineRule="exact"/>
              <w:jc w:val="center"/>
              <w:rPr>
                <w:rFonts w:eastAsia="仿宋_GB2312"/>
                <w:kern w:val="0"/>
                <w:sz w:val="20"/>
                <w:szCs w:val="20"/>
              </w:rPr>
            </w:pPr>
          </w:p>
        </w:tc>
        <w:tc>
          <w:tcPr>
            <w:tcW w:w="420" w:type="dxa"/>
            <w:vMerge w:val="continue"/>
            <w:shd w:val="clear" w:color="auto" w:fill="auto"/>
            <w:vAlign w:val="center"/>
          </w:tcPr>
          <w:p>
            <w:pPr>
              <w:widowControl/>
              <w:spacing w:line="300" w:lineRule="exact"/>
              <w:jc w:val="center"/>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可持续影响</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项目实施后，有可持续潜力，计5分；其它情形扣1-5分，扣完为止。</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项目是否具有可长期、持续的改善区域生态环境的潜力。</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jc w:val="center"/>
        </w:trPr>
        <w:tc>
          <w:tcPr>
            <w:tcW w:w="718" w:type="dxa"/>
            <w:vMerge w:val="continue"/>
            <w:tcBorders>
              <w:bottom w:val="single" w:color="auto" w:sz="4" w:space="0"/>
            </w:tcBorders>
            <w:vAlign w:val="center"/>
          </w:tcPr>
          <w:p>
            <w:pPr>
              <w:widowControl/>
              <w:spacing w:line="300" w:lineRule="exact"/>
              <w:jc w:val="left"/>
              <w:rPr>
                <w:rFonts w:eastAsia="仿宋_GB2312"/>
                <w:kern w:val="0"/>
                <w:sz w:val="20"/>
                <w:szCs w:val="20"/>
              </w:rPr>
            </w:pPr>
          </w:p>
        </w:tc>
        <w:tc>
          <w:tcPr>
            <w:tcW w:w="508" w:type="dxa"/>
            <w:vMerge w:val="continue"/>
            <w:tcBorders>
              <w:bottom w:val="single" w:color="auto" w:sz="4" w:space="0"/>
            </w:tcBorders>
            <w:vAlign w:val="center"/>
          </w:tcPr>
          <w:p>
            <w:pPr>
              <w:widowControl/>
              <w:spacing w:line="300" w:lineRule="exact"/>
              <w:jc w:val="left"/>
              <w:rPr>
                <w:rFonts w:eastAsia="仿宋_GB2312"/>
                <w:kern w:val="0"/>
                <w:sz w:val="20"/>
                <w:szCs w:val="20"/>
              </w:rPr>
            </w:pPr>
          </w:p>
        </w:tc>
        <w:tc>
          <w:tcPr>
            <w:tcW w:w="772" w:type="dxa"/>
            <w:vMerge w:val="continue"/>
            <w:tcBorders>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20" w:type="dxa"/>
            <w:vMerge w:val="continue"/>
            <w:tcBorders>
              <w:bottom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920"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社会公众或服务对象满意度</w:t>
            </w:r>
          </w:p>
        </w:tc>
        <w:tc>
          <w:tcPr>
            <w:tcW w:w="439"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w:t>
            </w:r>
          </w:p>
        </w:tc>
        <w:tc>
          <w:tcPr>
            <w:tcW w:w="3132"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90%（含）以上计</w:t>
            </w:r>
            <w:r>
              <w:rPr>
                <w:rFonts w:hint="eastAsia" w:eastAsia="仿宋_GB2312"/>
                <w:kern w:val="0"/>
                <w:sz w:val="20"/>
                <w:szCs w:val="20"/>
              </w:rPr>
              <w:t>5</w:t>
            </w:r>
            <w:r>
              <w:rPr>
                <w:rFonts w:eastAsia="仿宋_GB2312"/>
                <w:kern w:val="0"/>
                <w:sz w:val="20"/>
                <w:szCs w:val="20"/>
              </w:rPr>
              <w:t>分；</w:t>
            </w:r>
            <w:r>
              <w:rPr>
                <w:rFonts w:eastAsia="仿宋_GB2312"/>
                <w:kern w:val="0"/>
                <w:sz w:val="20"/>
                <w:szCs w:val="20"/>
              </w:rPr>
              <w:br w:type="textWrapping"/>
            </w:r>
            <w:r>
              <w:rPr>
                <w:rFonts w:eastAsia="仿宋_GB2312"/>
                <w:kern w:val="0"/>
                <w:sz w:val="20"/>
                <w:szCs w:val="20"/>
              </w:rPr>
              <w:t>80%（含）-90%，计</w:t>
            </w:r>
            <w:r>
              <w:rPr>
                <w:rFonts w:hint="eastAsia" w:eastAsia="仿宋_GB2312"/>
                <w:kern w:val="0"/>
                <w:sz w:val="20"/>
                <w:szCs w:val="20"/>
              </w:rPr>
              <w:t>4</w:t>
            </w:r>
            <w:r>
              <w:rPr>
                <w:rFonts w:eastAsia="仿宋_GB2312"/>
                <w:kern w:val="0"/>
                <w:sz w:val="20"/>
                <w:szCs w:val="20"/>
              </w:rPr>
              <w:t>分；</w:t>
            </w:r>
            <w:r>
              <w:rPr>
                <w:rFonts w:eastAsia="仿宋_GB2312"/>
                <w:kern w:val="0"/>
                <w:sz w:val="20"/>
                <w:szCs w:val="20"/>
              </w:rPr>
              <w:br w:type="textWrapping"/>
            </w:r>
            <w:r>
              <w:rPr>
                <w:rFonts w:eastAsia="仿宋_GB2312"/>
                <w:kern w:val="0"/>
                <w:sz w:val="20"/>
                <w:szCs w:val="20"/>
              </w:rPr>
              <w:t>70%（含）-80%，计</w:t>
            </w:r>
            <w:r>
              <w:rPr>
                <w:rFonts w:hint="eastAsia" w:eastAsia="仿宋_GB2312"/>
                <w:kern w:val="0"/>
                <w:sz w:val="20"/>
                <w:szCs w:val="20"/>
              </w:rPr>
              <w:t>3</w:t>
            </w:r>
            <w:r>
              <w:rPr>
                <w:rFonts w:eastAsia="仿宋_GB2312"/>
                <w:kern w:val="0"/>
                <w:sz w:val="20"/>
                <w:szCs w:val="20"/>
              </w:rPr>
              <w:t>分；</w:t>
            </w:r>
            <w:r>
              <w:rPr>
                <w:rFonts w:eastAsia="仿宋_GB2312"/>
                <w:kern w:val="0"/>
                <w:sz w:val="20"/>
                <w:szCs w:val="20"/>
              </w:rPr>
              <w:br w:type="textWrapping"/>
            </w:r>
            <w:r>
              <w:rPr>
                <w:rFonts w:eastAsia="仿宋_GB2312"/>
                <w:kern w:val="0"/>
                <w:sz w:val="20"/>
                <w:szCs w:val="20"/>
              </w:rPr>
              <w:t>低于70%计0分。</w:t>
            </w:r>
          </w:p>
        </w:tc>
        <w:tc>
          <w:tcPr>
            <w:tcW w:w="2976" w:type="dxa"/>
            <w:tcBorders>
              <w:top w:val="single" w:color="auto" w:sz="4" w:space="0"/>
              <w:bottom w:val="single" w:color="auto" w:sz="4" w:space="0"/>
            </w:tcBorders>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社会公众或服务对象是指因该项目实施而受到影响的部门（单位）、群体或个人。一般采取社会调查的方式。</w:t>
            </w:r>
          </w:p>
        </w:tc>
        <w:tc>
          <w:tcPr>
            <w:tcW w:w="416" w:type="dxa"/>
            <w:tcBorders>
              <w:top w:val="single" w:color="auto" w:sz="4" w:space="0"/>
              <w:bottom w:val="single" w:color="auto" w:sz="4" w:space="0"/>
            </w:tcBorders>
            <w:shd w:val="clear" w:color="auto" w:fill="auto"/>
            <w:vAlign w:val="center"/>
          </w:tcPr>
          <w:p>
            <w:pPr>
              <w:widowControl/>
              <w:spacing w:line="300" w:lineRule="exact"/>
              <w:jc w:val="center"/>
              <w:rPr>
                <w:rFonts w:eastAsia="仿宋_GB2312"/>
                <w:kern w:val="0"/>
                <w:sz w:val="20"/>
                <w:szCs w:val="20"/>
              </w:rPr>
            </w:pPr>
          </w:p>
          <w:p>
            <w:pPr>
              <w:widowControl/>
              <w:spacing w:line="300" w:lineRule="exact"/>
              <w:jc w:val="center"/>
              <w:rPr>
                <w:rFonts w:eastAsia="仿宋_GB2312"/>
                <w:kern w:val="0"/>
                <w:sz w:val="20"/>
                <w:szCs w:val="20"/>
              </w:rPr>
            </w:pPr>
            <w:r>
              <w:rPr>
                <w:rFonts w:hint="eastAsia" w:eastAsia="仿宋_GB2312"/>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jc w:val="center"/>
        </w:trPr>
        <w:tc>
          <w:tcPr>
            <w:tcW w:w="1226" w:type="dxa"/>
            <w:gridSpan w:val="2"/>
            <w:tcBorders>
              <w:top w:val="single" w:color="auto" w:sz="4" w:space="0"/>
              <w:bottom w:val="single" w:color="auto" w:sz="4" w:space="0"/>
            </w:tcBorders>
            <w:vAlign w:val="center"/>
          </w:tcPr>
          <w:p>
            <w:pPr>
              <w:widowControl/>
              <w:spacing w:line="300" w:lineRule="exact"/>
              <w:jc w:val="center"/>
              <w:rPr>
                <w:rFonts w:eastAsia="仿宋_GB2312"/>
                <w:kern w:val="0"/>
                <w:sz w:val="20"/>
                <w:szCs w:val="20"/>
              </w:rPr>
            </w:pPr>
            <w:r>
              <w:rPr>
                <w:rFonts w:eastAsia="仿宋_GB2312"/>
                <w:kern w:val="0"/>
                <w:sz w:val="20"/>
                <w:szCs w:val="20"/>
              </w:rPr>
              <w:t>合</w:t>
            </w:r>
            <w:r>
              <w:rPr>
                <w:rFonts w:hint="eastAsia" w:eastAsia="仿宋_GB2312"/>
                <w:kern w:val="0"/>
                <w:sz w:val="20"/>
                <w:szCs w:val="20"/>
              </w:rPr>
              <w:t xml:space="preserve"> </w:t>
            </w:r>
            <w:r>
              <w:rPr>
                <w:rFonts w:eastAsia="仿宋_GB2312"/>
                <w:kern w:val="0"/>
                <w:sz w:val="20"/>
                <w:szCs w:val="20"/>
              </w:rPr>
              <w:t>计</w:t>
            </w:r>
          </w:p>
        </w:tc>
        <w:tc>
          <w:tcPr>
            <w:tcW w:w="2112" w:type="dxa"/>
            <w:gridSpan w:val="3"/>
            <w:tcBorders>
              <w:top w:val="single" w:color="auto" w:sz="4" w:space="0"/>
            </w:tcBorders>
            <w:vAlign w:val="center"/>
          </w:tcPr>
          <w:p>
            <w:pPr>
              <w:widowControl/>
              <w:spacing w:line="300" w:lineRule="exact"/>
              <w:jc w:val="center"/>
              <w:rPr>
                <w:rFonts w:eastAsia="仿宋_GB2312"/>
                <w:kern w:val="0"/>
                <w:sz w:val="20"/>
                <w:szCs w:val="20"/>
              </w:rPr>
            </w:pPr>
            <w:r>
              <w:rPr>
                <w:rFonts w:hint="eastAsia" w:eastAsia="仿宋_GB2312"/>
                <w:kern w:val="0"/>
                <w:sz w:val="20"/>
                <w:szCs w:val="20"/>
              </w:rPr>
              <w:t>100</w:t>
            </w:r>
          </w:p>
        </w:tc>
        <w:tc>
          <w:tcPr>
            <w:tcW w:w="439" w:type="dxa"/>
            <w:tcBorders>
              <w:top w:val="single" w:color="auto" w:sz="4" w:space="0"/>
            </w:tcBorders>
            <w:shd w:val="clear" w:color="auto" w:fill="auto"/>
            <w:vAlign w:val="center"/>
          </w:tcPr>
          <w:p>
            <w:pPr>
              <w:widowControl/>
              <w:spacing w:line="300" w:lineRule="exact"/>
              <w:jc w:val="center"/>
              <w:rPr>
                <w:rFonts w:eastAsia="仿宋_GB2312"/>
                <w:kern w:val="0"/>
                <w:sz w:val="20"/>
                <w:szCs w:val="20"/>
              </w:rPr>
            </w:pPr>
          </w:p>
        </w:tc>
        <w:tc>
          <w:tcPr>
            <w:tcW w:w="3132" w:type="dxa"/>
            <w:tcBorders>
              <w:top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2976" w:type="dxa"/>
            <w:tcBorders>
              <w:top w:val="single" w:color="auto" w:sz="4" w:space="0"/>
            </w:tcBorders>
            <w:shd w:val="clear" w:color="auto" w:fill="auto"/>
            <w:vAlign w:val="center"/>
          </w:tcPr>
          <w:p>
            <w:pPr>
              <w:widowControl/>
              <w:spacing w:line="300" w:lineRule="exact"/>
              <w:jc w:val="left"/>
              <w:rPr>
                <w:rFonts w:eastAsia="仿宋_GB2312"/>
                <w:kern w:val="0"/>
                <w:sz w:val="20"/>
                <w:szCs w:val="20"/>
              </w:rPr>
            </w:pPr>
          </w:p>
        </w:tc>
        <w:tc>
          <w:tcPr>
            <w:tcW w:w="416" w:type="dxa"/>
            <w:tcBorders>
              <w:top w:val="single" w:color="auto" w:sz="4" w:space="0"/>
            </w:tcBorders>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84</w:t>
            </w:r>
          </w:p>
        </w:tc>
      </w:tr>
    </w:tbl>
    <w:p>
      <w:pPr>
        <w:widowControl/>
        <w:spacing w:line="20" w:lineRule="exact"/>
        <w:jc w:val="left"/>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2713"/>
    <w:rsid w:val="000166EA"/>
    <w:rsid w:val="000255AA"/>
    <w:rsid w:val="000419B8"/>
    <w:rsid w:val="00041DF5"/>
    <w:rsid w:val="00050AE9"/>
    <w:rsid w:val="00054D7A"/>
    <w:rsid w:val="000565A2"/>
    <w:rsid w:val="00070474"/>
    <w:rsid w:val="00074093"/>
    <w:rsid w:val="000872AD"/>
    <w:rsid w:val="00097491"/>
    <w:rsid w:val="000A55C9"/>
    <w:rsid w:val="000A6E3A"/>
    <w:rsid w:val="000A7F34"/>
    <w:rsid w:val="000C2365"/>
    <w:rsid w:val="000C4EEC"/>
    <w:rsid w:val="000F4413"/>
    <w:rsid w:val="00117E9A"/>
    <w:rsid w:val="0012321F"/>
    <w:rsid w:val="00126D7C"/>
    <w:rsid w:val="00172A97"/>
    <w:rsid w:val="00184030"/>
    <w:rsid w:val="001F6FBF"/>
    <w:rsid w:val="002072C0"/>
    <w:rsid w:val="002206E7"/>
    <w:rsid w:val="00240D37"/>
    <w:rsid w:val="00277E84"/>
    <w:rsid w:val="002939FC"/>
    <w:rsid w:val="00294F38"/>
    <w:rsid w:val="002B1B92"/>
    <w:rsid w:val="002B210E"/>
    <w:rsid w:val="002E7A5D"/>
    <w:rsid w:val="0033247D"/>
    <w:rsid w:val="00332A82"/>
    <w:rsid w:val="00336DC9"/>
    <w:rsid w:val="0035361F"/>
    <w:rsid w:val="00376148"/>
    <w:rsid w:val="003768A8"/>
    <w:rsid w:val="00385122"/>
    <w:rsid w:val="003F3127"/>
    <w:rsid w:val="003F5E93"/>
    <w:rsid w:val="00413825"/>
    <w:rsid w:val="00427B30"/>
    <w:rsid w:val="00444461"/>
    <w:rsid w:val="00456819"/>
    <w:rsid w:val="004569DA"/>
    <w:rsid w:val="00461D1F"/>
    <w:rsid w:val="00474477"/>
    <w:rsid w:val="00485EC9"/>
    <w:rsid w:val="004A5C40"/>
    <w:rsid w:val="004B7077"/>
    <w:rsid w:val="004E1800"/>
    <w:rsid w:val="004E35EA"/>
    <w:rsid w:val="004E64F7"/>
    <w:rsid w:val="00513536"/>
    <w:rsid w:val="00530D1D"/>
    <w:rsid w:val="00575F3F"/>
    <w:rsid w:val="00580060"/>
    <w:rsid w:val="00580C72"/>
    <w:rsid w:val="005921B1"/>
    <w:rsid w:val="00592713"/>
    <w:rsid w:val="005A6704"/>
    <w:rsid w:val="005C384B"/>
    <w:rsid w:val="005D09E1"/>
    <w:rsid w:val="005E167D"/>
    <w:rsid w:val="005F57E0"/>
    <w:rsid w:val="005F791A"/>
    <w:rsid w:val="00601AF2"/>
    <w:rsid w:val="00621A66"/>
    <w:rsid w:val="00632A00"/>
    <w:rsid w:val="00675029"/>
    <w:rsid w:val="006938AC"/>
    <w:rsid w:val="006A3055"/>
    <w:rsid w:val="006A447B"/>
    <w:rsid w:val="006E1F8E"/>
    <w:rsid w:val="006E3CB4"/>
    <w:rsid w:val="006F095F"/>
    <w:rsid w:val="006F72A9"/>
    <w:rsid w:val="00713B84"/>
    <w:rsid w:val="0078309A"/>
    <w:rsid w:val="007831EB"/>
    <w:rsid w:val="007F68AF"/>
    <w:rsid w:val="00805548"/>
    <w:rsid w:val="00814B5E"/>
    <w:rsid w:val="008205E0"/>
    <w:rsid w:val="00821921"/>
    <w:rsid w:val="00866D2E"/>
    <w:rsid w:val="008A7748"/>
    <w:rsid w:val="008C5D3C"/>
    <w:rsid w:val="008D71A9"/>
    <w:rsid w:val="0091166D"/>
    <w:rsid w:val="009437FF"/>
    <w:rsid w:val="00944662"/>
    <w:rsid w:val="00947445"/>
    <w:rsid w:val="0097193A"/>
    <w:rsid w:val="00972239"/>
    <w:rsid w:val="00A21994"/>
    <w:rsid w:val="00A41D4F"/>
    <w:rsid w:val="00A63012"/>
    <w:rsid w:val="00A67DAB"/>
    <w:rsid w:val="00AA04E9"/>
    <w:rsid w:val="00AD3263"/>
    <w:rsid w:val="00AD4A7E"/>
    <w:rsid w:val="00B014D6"/>
    <w:rsid w:val="00B032E1"/>
    <w:rsid w:val="00B34798"/>
    <w:rsid w:val="00B435FE"/>
    <w:rsid w:val="00BA301C"/>
    <w:rsid w:val="00BB39EA"/>
    <w:rsid w:val="00C0530E"/>
    <w:rsid w:val="00C15971"/>
    <w:rsid w:val="00C46EDE"/>
    <w:rsid w:val="00C71750"/>
    <w:rsid w:val="00C87206"/>
    <w:rsid w:val="00CB0551"/>
    <w:rsid w:val="00CD07B7"/>
    <w:rsid w:val="00CD090B"/>
    <w:rsid w:val="00CD28E2"/>
    <w:rsid w:val="00CE2B10"/>
    <w:rsid w:val="00CF09E4"/>
    <w:rsid w:val="00CF2325"/>
    <w:rsid w:val="00D173C9"/>
    <w:rsid w:val="00D70DE5"/>
    <w:rsid w:val="00D72999"/>
    <w:rsid w:val="00D76ACB"/>
    <w:rsid w:val="00DA272A"/>
    <w:rsid w:val="00DA32FE"/>
    <w:rsid w:val="00DD3550"/>
    <w:rsid w:val="00DD4A3A"/>
    <w:rsid w:val="00DD553A"/>
    <w:rsid w:val="00DF1D3B"/>
    <w:rsid w:val="00DF6288"/>
    <w:rsid w:val="00E10C7C"/>
    <w:rsid w:val="00E200D4"/>
    <w:rsid w:val="00E333A2"/>
    <w:rsid w:val="00E458E5"/>
    <w:rsid w:val="00E4599A"/>
    <w:rsid w:val="00E81F18"/>
    <w:rsid w:val="00E85984"/>
    <w:rsid w:val="00E91F91"/>
    <w:rsid w:val="00EB433A"/>
    <w:rsid w:val="00EB5827"/>
    <w:rsid w:val="00ED5912"/>
    <w:rsid w:val="00ED6685"/>
    <w:rsid w:val="00F0050C"/>
    <w:rsid w:val="00F1034A"/>
    <w:rsid w:val="00F25D36"/>
    <w:rsid w:val="00F3716D"/>
    <w:rsid w:val="00F43FE5"/>
    <w:rsid w:val="00F60454"/>
    <w:rsid w:val="00F77E5E"/>
    <w:rsid w:val="00F840D7"/>
    <w:rsid w:val="00F9199C"/>
    <w:rsid w:val="00F94510"/>
    <w:rsid w:val="00FB0D3D"/>
    <w:rsid w:val="00FB4F91"/>
    <w:rsid w:val="00FB6782"/>
    <w:rsid w:val="00FC2840"/>
    <w:rsid w:val="00FD4A37"/>
    <w:rsid w:val="00FF65AC"/>
    <w:rsid w:val="096C471D"/>
    <w:rsid w:val="37C9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C3ABB-0849-4C52-AD08-3A0F92C66743}">
  <ds:schemaRefs/>
</ds:datastoreItem>
</file>

<file path=docProps/app.xml><?xml version="1.0" encoding="utf-8"?>
<Properties xmlns="http://schemas.openxmlformats.org/officeDocument/2006/extended-properties" xmlns:vt="http://schemas.openxmlformats.org/officeDocument/2006/docPropsVTypes">
  <Template>Normal</Template>
  <Pages>2</Pages>
  <Words>276</Words>
  <Characters>1575</Characters>
  <Lines>13</Lines>
  <Paragraphs>3</Paragraphs>
  <TotalTime>452</TotalTime>
  <ScaleCrop>false</ScaleCrop>
  <LinksUpToDate>false</LinksUpToDate>
  <CharactersWithSpaces>1848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2019-07-25T08:22:00Z</dcterms:created>
  <dc:creator>DELL</dc:creator>
  <cp:lastModifiedBy>、Cmh蔡孟虎</cp:lastModifiedBy>
  <dcterms:modified xsi:type="dcterms:W3CDTF">2019-10-16T03:27:08Z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