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F18A9" w:rsidRDefault="00EF18A9">
      <w:pPr>
        <w:jc w:val="center"/>
        <w:rPr>
          <w:rFonts w:ascii="宋体"/>
          <w:b/>
          <w:sz w:val="36"/>
        </w:rPr>
      </w:pPr>
      <w:r>
        <w:rPr>
          <w:rFonts w:hint="eastAsia"/>
          <w:b/>
          <w:sz w:val="36"/>
          <w:szCs w:val="36"/>
        </w:rPr>
        <w:t>县交通运输局</w:t>
      </w:r>
      <w:r>
        <w:rPr>
          <w:rFonts w:ascii="宋体" w:hint="eastAsia"/>
          <w:b/>
          <w:sz w:val="36"/>
        </w:rPr>
        <w:t>行政权力实施程序内容</w:t>
      </w:r>
    </w:p>
    <w:p w:rsidR="00EF18A9" w:rsidRDefault="00EF18A9">
      <w:pPr>
        <w:jc w:val="center"/>
        <w:rPr>
          <w:rFonts w:ascii="仿宋_GB2312" w:eastAsia="仿宋_GB2312"/>
          <w:sz w:val="32"/>
          <w:szCs w:val="32"/>
        </w:rPr>
      </w:pPr>
    </w:p>
    <w:tbl>
      <w:tblPr>
        <w:tblW w:w="9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08"/>
        <w:gridCol w:w="6925"/>
      </w:tblGrid>
      <w:tr w:rsidR="00EF18A9" w:rsidRPr="00FC5D2E">
        <w:trPr>
          <w:trHeight w:val="834"/>
        </w:trPr>
        <w:tc>
          <w:tcPr>
            <w:tcW w:w="2208" w:type="dxa"/>
            <w:vAlign w:val="center"/>
          </w:tcPr>
          <w:p w:rsidR="00EF18A9" w:rsidRDefault="00EF18A9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权力事项名称</w:t>
            </w:r>
          </w:p>
        </w:tc>
        <w:tc>
          <w:tcPr>
            <w:tcW w:w="6925" w:type="dxa"/>
            <w:vAlign w:val="center"/>
          </w:tcPr>
          <w:p w:rsidR="00EF18A9" w:rsidRDefault="00EF18A9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FC5D2E">
              <w:rPr>
                <w:rFonts w:hint="eastAsia"/>
              </w:rPr>
              <w:t>设置、撤销渡口审批</w:t>
            </w:r>
          </w:p>
        </w:tc>
      </w:tr>
      <w:tr w:rsidR="00EF18A9" w:rsidRPr="00FC5D2E">
        <w:trPr>
          <w:trHeight w:val="834"/>
        </w:trPr>
        <w:tc>
          <w:tcPr>
            <w:tcW w:w="2208" w:type="dxa"/>
            <w:vAlign w:val="center"/>
          </w:tcPr>
          <w:p w:rsidR="00EF18A9" w:rsidRDefault="00EF18A9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事项类别</w:t>
            </w:r>
          </w:p>
        </w:tc>
        <w:tc>
          <w:tcPr>
            <w:tcW w:w="6925" w:type="dxa"/>
            <w:vAlign w:val="center"/>
          </w:tcPr>
          <w:p w:rsidR="00EF18A9" w:rsidRDefault="00EF18A9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行政许可</w:t>
            </w:r>
          </w:p>
        </w:tc>
      </w:tr>
      <w:tr w:rsidR="00EF18A9" w:rsidRPr="00FC5D2E">
        <w:trPr>
          <w:trHeight w:val="834"/>
        </w:trPr>
        <w:tc>
          <w:tcPr>
            <w:tcW w:w="2208" w:type="dxa"/>
            <w:vAlign w:val="center"/>
          </w:tcPr>
          <w:p w:rsidR="00EF18A9" w:rsidRDefault="00EF18A9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实施主体</w:t>
            </w:r>
          </w:p>
        </w:tc>
        <w:tc>
          <w:tcPr>
            <w:tcW w:w="6925" w:type="dxa"/>
            <w:vAlign w:val="center"/>
          </w:tcPr>
          <w:p w:rsidR="00EF18A9" w:rsidRDefault="00EF18A9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县交通运输局</w:t>
            </w:r>
          </w:p>
        </w:tc>
      </w:tr>
      <w:tr w:rsidR="00EF18A9" w:rsidRPr="00FC5D2E">
        <w:trPr>
          <w:trHeight w:val="834"/>
        </w:trPr>
        <w:tc>
          <w:tcPr>
            <w:tcW w:w="2208" w:type="dxa"/>
            <w:vAlign w:val="center"/>
          </w:tcPr>
          <w:p w:rsidR="00EF18A9" w:rsidRDefault="00EF18A9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审批对象</w:t>
            </w:r>
          </w:p>
        </w:tc>
        <w:tc>
          <w:tcPr>
            <w:tcW w:w="6925" w:type="dxa"/>
            <w:vAlign w:val="center"/>
          </w:tcPr>
          <w:p w:rsidR="00EF18A9" w:rsidRDefault="00EF18A9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2"/>
                <w:shd w:val="clear" w:color="auto" w:fill="F6F6F6"/>
              </w:rPr>
              <w:t>拟在我县水域设置（撤销）渡口的村委会或镇属企业</w:t>
            </w:r>
          </w:p>
        </w:tc>
      </w:tr>
      <w:tr w:rsidR="00EF18A9" w:rsidRPr="00FC5D2E">
        <w:trPr>
          <w:trHeight w:val="834"/>
        </w:trPr>
        <w:tc>
          <w:tcPr>
            <w:tcW w:w="2208" w:type="dxa"/>
            <w:vAlign w:val="center"/>
          </w:tcPr>
          <w:p w:rsidR="00EF18A9" w:rsidRDefault="00EF18A9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审批依据</w:t>
            </w:r>
          </w:p>
        </w:tc>
        <w:tc>
          <w:tcPr>
            <w:tcW w:w="6925" w:type="dxa"/>
            <w:vAlign w:val="center"/>
          </w:tcPr>
          <w:p w:rsidR="00EF18A9" w:rsidRDefault="00EF18A9">
            <w:pPr>
              <w:widowControl/>
              <w:jc w:val="left"/>
              <w:textAlignment w:val="center"/>
              <w:rPr>
                <w:rFonts w:ascii="宋体-PUA" w:eastAsia="宋体-PUA" w:hAnsi="宋体-PUA" w:cs="宋体-PUA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《中华人民共和国内河交通安全管理条例》（</w:t>
            </w:r>
            <w:r>
              <w:rPr>
                <w:rFonts w:ascii="宋体-PUA" w:eastAsia="宋体-PUA" w:hAnsi="宋体-PUA" w:cs="宋体-PUA"/>
                <w:color w:val="000000"/>
                <w:sz w:val="18"/>
                <w:szCs w:val="18"/>
              </w:rPr>
              <w:t>2002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年国务院令第</w:t>
            </w:r>
            <w:r>
              <w:rPr>
                <w:rFonts w:ascii="宋体-PUA" w:eastAsia="宋体-PUA" w:hAnsi="宋体-PUA" w:cs="宋体-PUA"/>
                <w:color w:val="000000"/>
                <w:sz w:val="18"/>
                <w:szCs w:val="18"/>
              </w:rPr>
              <w:t>355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号，</w:t>
            </w:r>
            <w:r>
              <w:rPr>
                <w:rFonts w:ascii="宋体-PUA" w:eastAsia="宋体-PUA" w:hAnsi="宋体-PUA" w:cs="宋体-PUA"/>
                <w:color w:val="000000"/>
                <w:sz w:val="18"/>
                <w:szCs w:val="18"/>
              </w:rPr>
              <w:t>2002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年</w:t>
            </w:r>
            <w:r>
              <w:rPr>
                <w:rFonts w:ascii="宋体-PUA" w:eastAsia="宋体-PUA" w:hAnsi="宋体-PUA" w:cs="宋体-PUA"/>
                <w:color w:val="000000"/>
                <w:sz w:val="18"/>
                <w:szCs w:val="18"/>
              </w:rPr>
              <w:t>6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月</w:t>
            </w:r>
            <w:r>
              <w:rPr>
                <w:rFonts w:ascii="宋体-PUA" w:eastAsia="宋体-PUA" w:hAnsi="宋体-PUA" w:cs="宋体-PUA"/>
                <w:color w:val="000000"/>
                <w:sz w:val="18"/>
                <w:szCs w:val="18"/>
              </w:rPr>
              <w:t>19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日国务院第</w:t>
            </w:r>
            <w:r>
              <w:rPr>
                <w:rFonts w:ascii="宋体-PUA" w:eastAsia="宋体-PUA" w:hAnsi="宋体-PUA" w:cs="宋体-PUA"/>
                <w:color w:val="000000"/>
                <w:sz w:val="18"/>
                <w:szCs w:val="18"/>
              </w:rPr>
              <w:t>60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次常务会议通过）第三十五条设置</w:t>
            </w:r>
            <w:bookmarkStart w:id="0" w:name="_GoBack"/>
            <w:bookmarkEnd w:id="0"/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或者撤销渡口，应当经渡口所在地的县级人民政府审批；县级人民政府审批前，应当征求当地海事管理机构的意见。</w:t>
            </w:r>
          </w:p>
          <w:p w:rsidR="00EF18A9" w:rsidRDefault="00EF18A9">
            <w:pPr>
              <w:widowControl/>
              <w:jc w:val="left"/>
              <w:textAlignment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永州市政府</w:t>
            </w:r>
            <w:r>
              <w:rPr>
                <w:rFonts w:ascii="宋体-PUA" w:eastAsia="宋体-PUA" w:hAnsi="宋体-PUA" w:cs="宋体-PUA"/>
                <w:color w:val="000000"/>
                <w:sz w:val="18"/>
                <w:szCs w:val="18"/>
              </w:rPr>
              <w:t>2014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年</w:t>
            </w:r>
            <w:r>
              <w:rPr>
                <w:rFonts w:ascii="宋体-PUA" w:eastAsia="宋体-PUA" w:hAnsi="宋体-PUA" w:cs="宋体-PUA"/>
                <w:color w:val="00000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号令下放的行政许可项目第</w:t>
            </w:r>
            <w:r>
              <w:rPr>
                <w:rFonts w:ascii="宋体-PUA" w:eastAsia="宋体-PUA" w:hAnsi="宋体-PUA" w:cs="宋体-PUA"/>
                <w:color w:val="000000"/>
                <w:sz w:val="18"/>
                <w:szCs w:val="18"/>
              </w:rPr>
              <w:t>12</w:t>
            </w: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项</w:t>
            </w:r>
          </w:p>
        </w:tc>
      </w:tr>
      <w:tr w:rsidR="00EF18A9" w:rsidRPr="00FC5D2E">
        <w:trPr>
          <w:trHeight w:val="834"/>
        </w:trPr>
        <w:tc>
          <w:tcPr>
            <w:tcW w:w="2208" w:type="dxa"/>
            <w:vAlign w:val="center"/>
          </w:tcPr>
          <w:p w:rsidR="00EF18A9" w:rsidRDefault="00EF18A9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承诺期限</w:t>
            </w:r>
          </w:p>
        </w:tc>
        <w:tc>
          <w:tcPr>
            <w:tcW w:w="6925" w:type="dxa"/>
            <w:vAlign w:val="center"/>
          </w:tcPr>
          <w:p w:rsidR="00EF18A9" w:rsidRDefault="00EF18A9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  <w:shd w:val="clear" w:color="auto" w:fill="F6F6F6"/>
              </w:rPr>
              <w:t>7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  <w:shd w:val="clear" w:color="auto" w:fill="F6F6F6"/>
              </w:rPr>
              <w:t>个工作日</w:t>
            </w:r>
          </w:p>
        </w:tc>
      </w:tr>
      <w:tr w:rsidR="00EF18A9" w:rsidRPr="00FC5D2E">
        <w:trPr>
          <w:trHeight w:val="834"/>
        </w:trPr>
        <w:tc>
          <w:tcPr>
            <w:tcW w:w="2208" w:type="dxa"/>
            <w:vAlign w:val="center"/>
          </w:tcPr>
          <w:p w:rsidR="00EF18A9" w:rsidRDefault="00EF18A9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审批条件</w:t>
            </w:r>
          </w:p>
        </w:tc>
        <w:tc>
          <w:tcPr>
            <w:tcW w:w="6925" w:type="dxa"/>
            <w:vAlign w:val="center"/>
          </w:tcPr>
          <w:p w:rsidR="00EF18A9" w:rsidRDefault="00EF18A9">
            <w:pPr>
              <w:pStyle w:val="NormalWeb"/>
              <w:widowControl/>
              <w:shd w:val="clear" w:color="auto" w:fill="FFFFFF"/>
              <w:spacing w:beforeAutospacing="0" w:afterAutospacing="0" w:line="360" w:lineRule="atLeast"/>
              <w:rPr>
                <w:rFonts w:ascii="仿宋_GB2312" w:eastAsia="仿宋_GB2312" w:hAnsi="仿宋_GB2312" w:cs="仿宋_GB2312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Cs w:val="24"/>
                <w:shd w:val="clear" w:color="auto" w:fill="F6F6F6"/>
              </w:rPr>
              <w:t>一、设置渡口</w:t>
            </w:r>
            <w:r>
              <w:rPr>
                <w:rFonts w:ascii="仿宋_GB2312" w:eastAsia="仿宋_GB2312" w:hAnsi="仿宋_GB2312" w:cs="仿宋_GB2312"/>
                <w:color w:val="000000"/>
                <w:szCs w:val="24"/>
              </w:rPr>
              <w:br/>
            </w:r>
            <w:r>
              <w:rPr>
                <w:rFonts w:ascii="仿宋_GB2312" w:eastAsia="仿宋_GB2312" w:hAnsi="仿宋_GB2312" w:cs="仿宋_GB2312"/>
                <w:color w:val="000000"/>
                <w:szCs w:val="24"/>
                <w:shd w:val="clear" w:color="auto" w:fill="F6F6F6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szCs w:val="24"/>
                <w:shd w:val="clear" w:color="auto" w:fill="F6F6F6"/>
              </w:rPr>
              <w:t>、选址应当在水流平稳、水深足够、坡岸稳定、视野开阔、适宜船舶停靠的地点，并远离危险物品生产、堆放场所；</w:t>
            </w:r>
            <w:r>
              <w:rPr>
                <w:rFonts w:ascii="仿宋_GB2312" w:eastAsia="仿宋_GB2312" w:hAnsi="仿宋_GB2312" w:cs="仿宋_GB2312"/>
                <w:color w:val="000000"/>
                <w:szCs w:val="24"/>
              </w:rPr>
              <w:br/>
            </w:r>
            <w:r>
              <w:rPr>
                <w:rFonts w:ascii="仿宋_GB2312" w:eastAsia="仿宋_GB2312" w:hAnsi="仿宋_GB2312" w:cs="仿宋_GB2312"/>
                <w:color w:val="000000"/>
                <w:szCs w:val="24"/>
                <w:shd w:val="clear" w:color="auto" w:fill="F6F6F6"/>
              </w:rPr>
              <w:t>2</w:t>
            </w:r>
            <w:r>
              <w:rPr>
                <w:rFonts w:ascii="仿宋_GB2312" w:eastAsia="仿宋_GB2312" w:hAnsi="仿宋_GB2312" w:cs="仿宋_GB2312" w:hint="eastAsia"/>
                <w:color w:val="000000"/>
                <w:szCs w:val="24"/>
                <w:shd w:val="clear" w:color="auto" w:fill="F6F6F6"/>
              </w:rPr>
              <w:t>、具备货物装卸、旅客上下的安全设施；</w:t>
            </w:r>
            <w:r>
              <w:rPr>
                <w:rFonts w:ascii="仿宋_GB2312" w:eastAsia="仿宋_GB2312" w:hAnsi="仿宋_GB2312" w:cs="仿宋_GB2312"/>
                <w:color w:val="000000"/>
                <w:szCs w:val="24"/>
              </w:rPr>
              <w:br/>
            </w:r>
            <w:r>
              <w:rPr>
                <w:rFonts w:ascii="仿宋_GB2312" w:eastAsia="仿宋_GB2312" w:hAnsi="仿宋_GB2312" w:cs="仿宋_GB2312"/>
                <w:color w:val="000000"/>
                <w:szCs w:val="24"/>
                <w:shd w:val="clear" w:color="auto" w:fill="F6F6F6"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szCs w:val="24"/>
                <w:shd w:val="clear" w:color="auto" w:fill="F6F6F6"/>
              </w:rPr>
              <w:t>、配备必要的救生设备和专门管理人员；</w:t>
            </w:r>
            <w:r>
              <w:rPr>
                <w:rFonts w:ascii="仿宋_GB2312" w:eastAsia="仿宋_GB2312" w:hAnsi="仿宋_GB2312" w:cs="仿宋_GB2312"/>
                <w:color w:val="000000"/>
                <w:szCs w:val="24"/>
              </w:rPr>
              <w:br/>
            </w:r>
            <w:r>
              <w:rPr>
                <w:rFonts w:ascii="仿宋_GB2312" w:eastAsia="仿宋_GB2312" w:hAnsi="仿宋_GB2312" w:cs="仿宋_GB2312"/>
                <w:color w:val="000000"/>
                <w:szCs w:val="24"/>
                <w:shd w:val="clear" w:color="auto" w:fill="F6F6F6"/>
              </w:rPr>
              <w:t>4</w:t>
            </w:r>
            <w:r>
              <w:rPr>
                <w:rFonts w:ascii="仿宋_GB2312" w:eastAsia="仿宋_GB2312" w:hAnsi="仿宋_GB2312" w:cs="仿宋_GB2312" w:hint="eastAsia"/>
                <w:color w:val="000000"/>
                <w:szCs w:val="24"/>
                <w:shd w:val="clear" w:color="auto" w:fill="F6F6F6"/>
              </w:rPr>
              <w:t>、渡口工作人员应当经培训、考试合格，并取得人民政府指定的部门颁发的合格证书；</w:t>
            </w:r>
            <w:r>
              <w:rPr>
                <w:rFonts w:ascii="仿宋_GB2312" w:eastAsia="仿宋_GB2312" w:hAnsi="仿宋_GB2312" w:cs="仿宋_GB2312"/>
                <w:color w:val="000000"/>
                <w:szCs w:val="24"/>
              </w:rPr>
              <w:br/>
            </w:r>
            <w:r>
              <w:rPr>
                <w:rFonts w:ascii="仿宋_GB2312" w:eastAsia="仿宋_GB2312" w:hAnsi="仿宋_GB2312" w:cs="仿宋_GB2312"/>
                <w:color w:val="000000"/>
                <w:szCs w:val="24"/>
                <w:shd w:val="clear" w:color="auto" w:fill="F6F6F6"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szCs w:val="24"/>
                <w:shd w:val="clear" w:color="auto" w:fill="F6F6F6"/>
              </w:rPr>
              <w:t>、制定规范的渡口安全管理责任制。</w:t>
            </w:r>
            <w:r>
              <w:rPr>
                <w:rFonts w:ascii="仿宋_GB2312" w:eastAsia="仿宋_GB2312" w:hAnsi="仿宋_GB2312" w:cs="仿宋_GB2312"/>
                <w:color w:val="000000"/>
                <w:szCs w:val="24"/>
              </w:rPr>
              <w:br/>
            </w:r>
            <w:r>
              <w:rPr>
                <w:rFonts w:ascii="仿宋_GB2312" w:eastAsia="仿宋_GB2312" w:hAnsi="仿宋_GB2312" w:cs="仿宋_GB2312"/>
                <w:color w:val="000000"/>
                <w:szCs w:val="24"/>
                <w:shd w:val="clear" w:color="auto" w:fill="F6F6F6"/>
              </w:rPr>
              <w:t>6</w:t>
            </w:r>
            <w:r>
              <w:rPr>
                <w:rFonts w:ascii="仿宋_GB2312" w:eastAsia="仿宋_GB2312" w:hAnsi="仿宋_GB2312" w:cs="仿宋_GB2312" w:hint="eastAsia"/>
                <w:color w:val="000000"/>
                <w:szCs w:val="24"/>
                <w:shd w:val="clear" w:color="auto" w:fill="F6F6F6"/>
              </w:rPr>
              <w:t>、渡口所在地的村委和镇政府已出具同意设置渡口的意见。</w:t>
            </w:r>
            <w:r>
              <w:rPr>
                <w:rFonts w:ascii="仿宋_GB2312" w:eastAsia="仿宋_GB2312" w:hAnsi="仿宋_GB2312" w:cs="仿宋_GB2312"/>
                <w:color w:val="000000"/>
                <w:szCs w:val="24"/>
              </w:rPr>
              <w:br/>
            </w:r>
            <w:r>
              <w:rPr>
                <w:rFonts w:ascii="仿宋_GB2312" w:eastAsia="仿宋_GB2312" w:hAnsi="仿宋_GB2312" w:cs="仿宋_GB2312" w:hint="eastAsia"/>
                <w:color w:val="000000"/>
                <w:szCs w:val="24"/>
                <w:shd w:val="clear" w:color="auto" w:fill="F6F6F6"/>
              </w:rPr>
              <w:t>二、撤消渡口</w:t>
            </w:r>
            <w:r>
              <w:rPr>
                <w:rFonts w:ascii="仿宋_GB2312" w:eastAsia="仿宋_GB2312" w:hAnsi="仿宋_GB2312" w:cs="仿宋_GB2312"/>
                <w:color w:val="000000"/>
                <w:szCs w:val="24"/>
              </w:rPr>
              <w:br/>
            </w:r>
            <w:r>
              <w:rPr>
                <w:rFonts w:ascii="仿宋_GB2312" w:eastAsia="仿宋_GB2312" w:hAnsi="仿宋_GB2312" w:cs="仿宋_GB2312"/>
                <w:color w:val="000000"/>
                <w:szCs w:val="24"/>
                <w:shd w:val="clear" w:color="auto" w:fill="F6F6F6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szCs w:val="24"/>
                <w:shd w:val="clear" w:color="auto" w:fill="F6F6F6"/>
              </w:rPr>
              <w:t>、经审批的乡镇渡口；</w:t>
            </w:r>
            <w:r>
              <w:rPr>
                <w:rFonts w:ascii="仿宋_GB2312" w:eastAsia="仿宋_GB2312" w:hAnsi="仿宋_GB2312" w:cs="仿宋_GB2312"/>
                <w:color w:val="000000"/>
                <w:szCs w:val="24"/>
              </w:rPr>
              <w:br/>
            </w:r>
            <w:r>
              <w:rPr>
                <w:rFonts w:ascii="仿宋_GB2312" w:eastAsia="仿宋_GB2312" w:hAnsi="仿宋_GB2312" w:cs="仿宋_GB2312"/>
                <w:color w:val="000000"/>
                <w:szCs w:val="24"/>
                <w:shd w:val="clear" w:color="auto" w:fill="F6F6F6"/>
              </w:rPr>
              <w:t>2</w:t>
            </w:r>
            <w:r>
              <w:rPr>
                <w:rFonts w:ascii="仿宋_GB2312" w:eastAsia="仿宋_GB2312" w:hAnsi="仿宋_GB2312" w:cs="仿宋_GB2312" w:hint="eastAsia"/>
                <w:color w:val="000000"/>
                <w:szCs w:val="24"/>
                <w:shd w:val="clear" w:color="auto" w:fill="F6F6F6"/>
              </w:rPr>
              <w:t>、渡口所在地的村委和镇政府已出具同意撤消的意见。</w:t>
            </w:r>
          </w:p>
        </w:tc>
      </w:tr>
      <w:tr w:rsidR="00EF18A9" w:rsidRPr="00FC5D2E">
        <w:trPr>
          <w:trHeight w:val="834"/>
        </w:trPr>
        <w:tc>
          <w:tcPr>
            <w:tcW w:w="2208" w:type="dxa"/>
            <w:vAlign w:val="center"/>
          </w:tcPr>
          <w:p w:rsidR="00EF18A9" w:rsidRDefault="00EF18A9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申报材料</w:t>
            </w:r>
          </w:p>
        </w:tc>
        <w:tc>
          <w:tcPr>
            <w:tcW w:w="6925" w:type="dxa"/>
            <w:vAlign w:val="center"/>
          </w:tcPr>
          <w:p w:rsidR="00EF18A9" w:rsidRDefault="00EF18A9" w:rsidP="00EF18A9">
            <w:pPr>
              <w:ind w:firstLineChars="200" w:firstLine="31680"/>
              <w:rPr>
                <w:rFonts w:ascii="仿宋_GB2312" w:eastAsia="仿宋_GB2312" w:hAnsi="仿宋_GB2312" w:cs="仿宋_GB2312"/>
                <w:color w:val="000000"/>
                <w:sz w:val="24"/>
                <w:szCs w:val="24"/>
                <w:shd w:val="clear" w:color="auto" w:fill="F6F6F6"/>
              </w:rPr>
            </w:pP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  <w:shd w:val="clear" w:color="auto" w:fill="F6F6F6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  <w:shd w:val="clear" w:color="auto" w:fill="F6F6F6"/>
              </w:rPr>
              <w:t>、渡口设置（撤消）申请书（</w:t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  <w:shd w:val="clear" w:color="auto" w:fill="F6F6F6"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  <w:shd w:val="clear" w:color="auto" w:fill="F6F6F6"/>
              </w:rPr>
              <w:t>份）；</w:t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br/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  <w:shd w:val="clear" w:color="auto" w:fill="F6F6F6"/>
              </w:rPr>
              <w:t>2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  <w:shd w:val="clear" w:color="auto" w:fill="F6F6F6"/>
              </w:rPr>
              <w:t>、设置渡口的可行性研究报告或渡口设置方案（附渡口设置图、渡口设施说明及图片）（一份）；</w:t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br/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  <w:shd w:val="clear" w:color="auto" w:fill="F6F6F6"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  <w:shd w:val="clear" w:color="auto" w:fill="F6F6F6"/>
              </w:rPr>
              <w:t>、渡口选址意见书；</w:t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br/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  <w:shd w:val="clear" w:color="auto" w:fill="F6F6F6"/>
              </w:rPr>
              <w:t>4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  <w:shd w:val="clear" w:color="auto" w:fill="F6F6F6"/>
              </w:rPr>
              <w:t>、渡口拟配备渡船船型说明书；</w:t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br/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  <w:shd w:val="clear" w:color="auto" w:fill="F6F6F6"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  <w:shd w:val="clear" w:color="auto" w:fill="F6F6F6"/>
              </w:rPr>
              <w:t>、渡口所属镇政府关于设置（撤销）渡口的意见书；</w:t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br/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  <w:shd w:val="clear" w:color="auto" w:fill="F6F6F6"/>
              </w:rPr>
              <w:t>6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  <w:shd w:val="clear" w:color="auto" w:fill="F6F6F6"/>
              </w:rPr>
              <w:t>、渡口、渡船安全管理制度及工作人员组织架构（一份）；</w:t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br/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  <w:shd w:val="clear" w:color="auto" w:fill="F6F6F6"/>
              </w:rPr>
              <w:t>7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  <w:shd w:val="clear" w:color="auto" w:fill="F6F6F6"/>
              </w:rPr>
              <w:t>、渡口指定管理人员资料（含镇与村、村与经营者、经营者与渡口渡船负责人、渡口渡船负责人与船工签定的安全责任书）复印件（一份）；</w:t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br/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  <w:shd w:val="clear" w:color="auto" w:fill="F6F6F6"/>
              </w:rPr>
              <w:t>8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  <w:shd w:val="clear" w:color="auto" w:fill="F6F6F6"/>
              </w:rPr>
              <w:t>、渡船船舶证书、国籍证书、产权证书、定员证书或者造船合同、船舶买卖合同复印件（各一份）；</w:t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br/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  <w:shd w:val="clear" w:color="auto" w:fill="F6F6F6"/>
              </w:rPr>
              <w:t>9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  <w:shd w:val="clear" w:color="auto" w:fill="F6F6F6"/>
              </w:rPr>
              <w:t>、渡船驾驶员、水手的适任证书、船员证书以及特殊培训证书复印件（各一份）；</w:t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br/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  <w:shd w:val="clear" w:color="auto" w:fill="F6F6F6"/>
              </w:rPr>
              <w:t>一、设置渡口应提供上述</w:t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  <w:shd w:val="clear" w:color="auto" w:fill="F6F6F6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  <w:shd w:val="clear" w:color="auto" w:fill="F6F6F6"/>
              </w:rPr>
              <w:t>、</w:t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  <w:shd w:val="clear" w:color="auto" w:fill="F6F6F6"/>
              </w:rPr>
              <w:t>2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  <w:shd w:val="clear" w:color="auto" w:fill="F6F6F6"/>
              </w:rPr>
              <w:t>、</w:t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  <w:shd w:val="clear" w:color="auto" w:fill="F6F6F6"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  <w:shd w:val="clear" w:color="auto" w:fill="F6F6F6"/>
              </w:rPr>
              <w:t>、</w:t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  <w:shd w:val="clear" w:color="auto" w:fill="F6F6F6"/>
              </w:rPr>
              <w:t>4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  <w:shd w:val="clear" w:color="auto" w:fill="F6F6F6"/>
              </w:rPr>
              <w:t>、</w:t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  <w:shd w:val="clear" w:color="auto" w:fill="F6F6F6"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  <w:shd w:val="clear" w:color="auto" w:fill="F6F6F6"/>
              </w:rPr>
              <w:t>项材料，并在获得批准后补充</w:t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  <w:shd w:val="clear" w:color="auto" w:fill="F6F6F6"/>
              </w:rPr>
              <w:t>6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  <w:shd w:val="clear" w:color="auto" w:fill="F6F6F6"/>
              </w:rPr>
              <w:t>、</w:t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  <w:shd w:val="clear" w:color="auto" w:fill="F6F6F6"/>
              </w:rPr>
              <w:t>7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  <w:shd w:val="clear" w:color="auto" w:fill="F6F6F6"/>
              </w:rPr>
              <w:t>、</w:t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  <w:shd w:val="clear" w:color="auto" w:fill="F6F6F6"/>
              </w:rPr>
              <w:t>8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  <w:shd w:val="clear" w:color="auto" w:fill="F6F6F6"/>
              </w:rPr>
              <w:t>、</w:t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  <w:shd w:val="clear" w:color="auto" w:fill="F6F6F6"/>
              </w:rPr>
              <w:t>9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  <w:shd w:val="clear" w:color="auto" w:fill="F6F6F6"/>
              </w:rPr>
              <w:t>项材料。</w:t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  <w:br/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  <w:shd w:val="clear" w:color="auto" w:fill="F6F6F6"/>
              </w:rPr>
              <w:t>二、撤消渡口应提供上述</w:t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  <w:shd w:val="clear" w:color="auto" w:fill="F6F6F6"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  <w:shd w:val="clear" w:color="auto" w:fill="F6F6F6"/>
              </w:rPr>
              <w:t>、</w:t>
            </w:r>
            <w:r>
              <w:rPr>
                <w:rFonts w:ascii="仿宋_GB2312" w:eastAsia="仿宋_GB2312" w:hAnsi="仿宋_GB2312" w:cs="仿宋_GB2312"/>
                <w:color w:val="000000"/>
                <w:sz w:val="24"/>
                <w:szCs w:val="24"/>
                <w:shd w:val="clear" w:color="auto" w:fill="F6F6F6"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  <w:shd w:val="clear" w:color="auto" w:fill="F6F6F6"/>
              </w:rPr>
              <w:t>项材料。</w:t>
            </w:r>
          </w:p>
        </w:tc>
      </w:tr>
      <w:tr w:rsidR="00EF18A9" w:rsidRPr="00FC5D2E">
        <w:trPr>
          <w:trHeight w:val="834"/>
        </w:trPr>
        <w:tc>
          <w:tcPr>
            <w:tcW w:w="2208" w:type="dxa"/>
            <w:vAlign w:val="center"/>
          </w:tcPr>
          <w:p w:rsidR="00EF18A9" w:rsidRDefault="00EF18A9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收费标准</w:t>
            </w:r>
          </w:p>
        </w:tc>
        <w:tc>
          <w:tcPr>
            <w:tcW w:w="6925" w:type="dxa"/>
            <w:vAlign w:val="center"/>
          </w:tcPr>
          <w:p w:rsidR="00EF18A9" w:rsidRDefault="00EF18A9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  <w:shd w:val="clear" w:color="auto" w:fill="FFFFFF"/>
              </w:rPr>
              <w:t>不收费</w:t>
            </w:r>
          </w:p>
        </w:tc>
      </w:tr>
      <w:tr w:rsidR="00EF18A9" w:rsidRPr="00FC5D2E">
        <w:trPr>
          <w:trHeight w:val="834"/>
        </w:trPr>
        <w:tc>
          <w:tcPr>
            <w:tcW w:w="2208" w:type="dxa"/>
            <w:vAlign w:val="center"/>
          </w:tcPr>
          <w:p w:rsidR="00EF18A9" w:rsidRDefault="00EF18A9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咨询、投诉电话</w:t>
            </w:r>
          </w:p>
        </w:tc>
        <w:tc>
          <w:tcPr>
            <w:tcW w:w="6925" w:type="dxa"/>
            <w:vAlign w:val="center"/>
          </w:tcPr>
          <w:p w:rsidR="00EF18A9" w:rsidRDefault="00EF18A9" w:rsidP="00CB0F7D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/>
                <w:sz w:val="24"/>
                <w:szCs w:val="24"/>
              </w:rPr>
              <w:t>0746-4712275</w:t>
            </w:r>
          </w:p>
        </w:tc>
      </w:tr>
    </w:tbl>
    <w:p w:rsidR="00EF18A9" w:rsidRPr="007F5BB4" w:rsidRDefault="00EF18A9" w:rsidP="007F5BB4">
      <w:pPr>
        <w:widowControl/>
        <w:jc w:val="left"/>
        <w:rPr>
          <w:rFonts w:ascii="宋体" w:cs="宋体"/>
          <w:kern w:val="0"/>
          <w:sz w:val="24"/>
          <w:szCs w:val="24"/>
        </w:rPr>
      </w:pPr>
      <w:r w:rsidRPr="00EF082F">
        <w:rPr>
          <w:rFonts w:ascii="宋体" w:cs="宋体"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87pt;height:547.5pt">
            <v:imagedata r:id="rId4" r:href="rId5"/>
          </v:shape>
        </w:pict>
      </w:r>
    </w:p>
    <w:p w:rsidR="00EF18A9" w:rsidRDefault="00EF18A9">
      <w:pPr>
        <w:pStyle w:val="NormalWeb"/>
        <w:spacing w:beforeAutospacing="0" w:afterAutospacing="0" w:line="540" w:lineRule="exact"/>
        <w:ind w:firstLine="570"/>
      </w:pPr>
    </w:p>
    <w:sectPr w:rsidR="00EF18A9" w:rsidSect="00424A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A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-PUA">
    <w:altName w:val="Malgun Gothic Semilight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562D579B"/>
    <w:rsid w:val="0016700F"/>
    <w:rsid w:val="00194E27"/>
    <w:rsid w:val="00424A9E"/>
    <w:rsid w:val="00622B68"/>
    <w:rsid w:val="007F5BB4"/>
    <w:rsid w:val="00CB0F7D"/>
    <w:rsid w:val="00CB73C9"/>
    <w:rsid w:val="00D021E9"/>
    <w:rsid w:val="00DB5360"/>
    <w:rsid w:val="00E80948"/>
    <w:rsid w:val="00EF082F"/>
    <w:rsid w:val="00EF18A9"/>
    <w:rsid w:val="00FC5D2E"/>
    <w:rsid w:val="01AB491C"/>
    <w:rsid w:val="0D623A72"/>
    <w:rsid w:val="11716160"/>
    <w:rsid w:val="1B2A4A0C"/>
    <w:rsid w:val="1EC113D0"/>
    <w:rsid w:val="2C3E4388"/>
    <w:rsid w:val="2DB6391C"/>
    <w:rsid w:val="328E5DBB"/>
    <w:rsid w:val="43251536"/>
    <w:rsid w:val="47A45B98"/>
    <w:rsid w:val="4B5D4626"/>
    <w:rsid w:val="4B862C8F"/>
    <w:rsid w:val="562D579B"/>
    <w:rsid w:val="5CF359BC"/>
    <w:rsid w:val="5EAA50E9"/>
    <w:rsid w:val="600D5348"/>
    <w:rsid w:val="659E5744"/>
    <w:rsid w:val="67B96E27"/>
    <w:rsid w:val="70493FDC"/>
    <w:rsid w:val="7AEC47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1" w:uiPriority="0"/>
    <w:lsdException w:name="HTML Bottom of Form" w:locked="1" w:uiPriority="0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locked="1" w:uiPriority="0"/>
    <w:lsdException w:name="Outline List 1" w:locked="1" w:uiPriority="0"/>
    <w:lsdException w:name="Outline List 2" w:locked="1" w:uiPriority="0"/>
    <w:lsdException w:name="Outline List 3" w:locked="1" w:uiPriority="0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24A9E"/>
    <w:pPr>
      <w:widowControl w:val="0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24A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Calibri" w:hAnsi="Calibri" w:cs="Times New Roman"/>
      <w:kern w:val="2"/>
      <w:sz w:val="21"/>
    </w:rPr>
  </w:style>
  <w:style w:type="paragraph" w:styleId="NormalWeb">
    <w:name w:val="Normal (Web)"/>
    <w:basedOn w:val="Normal"/>
    <w:uiPriority w:val="99"/>
    <w:rsid w:val="00424A9E"/>
    <w:pPr>
      <w:spacing w:beforeAutospacing="1" w:afterAutospacing="1"/>
      <w:jc w:val="left"/>
    </w:pPr>
    <w:rPr>
      <w:kern w:val="0"/>
      <w:sz w:val="24"/>
    </w:rPr>
  </w:style>
  <w:style w:type="character" w:styleId="Strong">
    <w:name w:val="Strong"/>
    <w:basedOn w:val="DefaultParagraphFont"/>
    <w:uiPriority w:val="99"/>
    <w:qFormat/>
    <w:rsid w:val="00424A9E"/>
    <w:rPr>
      <w:rFonts w:cs="Times New Roman"/>
      <w:b/>
    </w:rPr>
  </w:style>
  <w:style w:type="character" w:styleId="PageNumber">
    <w:name w:val="page number"/>
    <w:basedOn w:val="DefaultParagraphFont"/>
    <w:uiPriority w:val="99"/>
    <w:rsid w:val="00424A9E"/>
    <w:rPr>
      <w:rFonts w:cs="Times New Roman"/>
    </w:rPr>
  </w:style>
  <w:style w:type="table" w:styleId="TableGrid">
    <w:name w:val="Table Grid"/>
    <w:basedOn w:val="TableNormal"/>
    <w:uiPriority w:val="99"/>
    <w:rsid w:val="00424A9E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702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02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D:\My%20Documents\Tencent%20Files\727971990\Image\Group\MHV712HUAPW%60P4NT0FJK5S7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151</Words>
  <Characters>863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县交通运输局行政权力实施程序内容</dc:title>
  <dc:subject/>
  <dc:creator>Administrator</dc:creator>
  <cp:keywords/>
  <dc:description/>
  <cp:lastModifiedBy>SDWM</cp:lastModifiedBy>
  <cp:revision>3</cp:revision>
  <dcterms:created xsi:type="dcterms:W3CDTF">2016-06-13T03:53:00Z</dcterms:created>
  <dcterms:modified xsi:type="dcterms:W3CDTF">2016-07-04T00:53:00Z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