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8"/>
          <w:szCs w:val="48"/>
        </w:rPr>
      </w:pPr>
    </w:p>
    <w:p>
      <w:pPr>
        <w:jc w:val="center"/>
        <w:rPr>
          <w:b/>
          <w:color w:val="auto"/>
          <w:sz w:val="48"/>
          <w:szCs w:val="48"/>
        </w:rPr>
      </w:pPr>
    </w:p>
    <w:p>
      <w:pPr>
        <w:jc w:val="center"/>
        <w:rPr>
          <w:rFonts w:hint="eastAsia" w:eastAsiaTheme="minorEastAsia"/>
          <w:b/>
          <w:color w:val="auto"/>
          <w:sz w:val="44"/>
          <w:szCs w:val="44"/>
          <w:lang w:eastAsia="zh-CN"/>
        </w:rPr>
      </w:pPr>
      <w:bookmarkStart w:id="30" w:name="_GoBack"/>
      <w:r>
        <w:rPr>
          <w:rFonts w:hint="eastAsia"/>
          <w:b/>
          <w:color w:val="auto"/>
          <w:sz w:val="48"/>
          <w:szCs w:val="48"/>
          <w:lang w:eastAsia="zh-CN"/>
        </w:rPr>
        <w:t>双牌县佳兴名城住宅小区和嘉信国际酒店前期物业管理</w:t>
      </w:r>
    </w:p>
    <w:bookmarkEnd w:id="30"/>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72"/>
          <w:szCs w:val="72"/>
        </w:rPr>
      </w:pPr>
      <w:r>
        <w:rPr>
          <w:rFonts w:hint="eastAsia"/>
          <w:b/>
          <w:color w:val="auto"/>
          <w:sz w:val="72"/>
          <w:szCs w:val="72"/>
        </w:rPr>
        <w:t>招  标  文  件</w:t>
      </w:r>
    </w:p>
    <w:p>
      <w:pPr>
        <w:jc w:val="center"/>
        <w:rPr>
          <w:b/>
          <w:color w:val="auto"/>
          <w:sz w:val="30"/>
          <w:szCs w:val="30"/>
        </w:rPr>
      </w:pPr>
    </w:p>
    <w:p>
      <w:pPr>
        <w:jc w:val="center"/>
        <w:rPr>
          <w:rFonts w:hint="eastAsia" w:eastAsiaTheme="minorEastAsia"/>
          <w:b/>
          <w:color w:val="auto"/>
          <w:sz w:val="30"/>
          <w:szCs w:val="30"/>
          <w:lang w:eastAsia="zh-CN"/>
        </w:rPr>
      </w:pPr>
      <w:r>
        <w:rPr>
          <w:rFonts w:hint="eastAsia"/>
          <w:b/>
          <w:color w:val="auto"/>
          <w:sz w:val="30"/>
          <w:szCs w:val="30"/>
        </w:rPr>
        <w:t>招标编号：</w:t>
      </w:r>
      <w:r>
        <w:rPr>
          <w:rFonts w:hint="eastAsia"/>
          <w:b/>
          <w:color w:val="auto"/>
          <w:sz w:val="30"/>
          <w:szCs w:val="30"/>
          <w:lang w:eastAsia="zh-CN"/>
        </w:rPr>
        <w:t>HNBK2019-</w:t>
      </w:r>
      <w:r>
        <w:rPr>
          <w:rFonts w:hint="eastAsia"/>
          <w:b/>
          <w:color w:val="auto"/>
          <w:sz w:val="30"/>
          <w:szCs w:val="30"/>
          <w:lang w:val="en-US" w:eastAsia="zh-CN"/>
        </w:rPr>
        <w:t>7</w:t>
      </w:r>
      <w:r>
        <w:rPr>
          <w:rFonts w:hint="eastAsia"/>
          <w:b/>
          <w:color w:val="auto"/>
          <w:sz w:val="30"/>
          <w:szCs w:val="30"/>
          <w:lang w:eastAsia="zh-CN"/>
        </w:rPr>
        <w:t>-18</w:t>
      </w:r>
    </w:p>
    <w:p>
      <w:pPr>
        <w:jc w:val="center"/>
        <w:rPr>
          <w:b/>
          <w:color w:val="auto"/>
          <w:sz w:val="30"/>
          <w:szCs w:val="30"/>
        </w:rPr>
      </w:pPr>
    </w:p>
    <w:p>
      <w:pPr>
        <w:jc w:val="left"/>
        <w:rPr>
          <w:b/>
          <w:color w:val="auto"/>
          <w:sz w:val="30"/>
          <w:szCs w:val="30"/>
        </w:rPr>
      </w:pPr>
    </w:p>
    <w:p>
      <w:pPr>
        <w:jc w:val="left"/>
        <w:rPr>
          <w:b/>
          <w:color w:val="auto"/>
          <w:sz w:val="30"/>
          <w:szCs w:val="30"/>
        </w:rPr>
      </w:pPr>
    </w:p>
    <w:p>
      <w:pPr>
        <w:jc w:val="left"/>
        <w:rPr>
          <w:b/>
          <w:color w:val="auto"/>
          <w:sz w:val="30"/>
          <w:szCs w:val="30"/>
        </w:rPr>
      </w:pPr>
    </w:p>
    <w:p>
      <w:pPr>
        <w:jc w:val="left"/>
        <w:rPr>
          <w:b/>
          <w:color w:val="auto"/>
          <w:sz w:val="30"/>
          <w:szCs w:val="30"/>
        </w:rPr>
      </w:pPr>
    </w:p>
    <w:p>
      <w:pPr>
        <w:jc w:val="left"/>
        <w:rPr>
          <w:b/>
          <w:color w:val="auto"/>
          <w:sz w:val="30"/>
          <w:szCs w:val="30"/>
        </w:rPr>
      </w:pPr>
    </w:p>
    <w:p>
      <w:pPr>
        <w:ind w:firstLine="602" w:firstLineChars="200"/>
        <w:jc w:val="left"/>
        <w:rPr>
          <w:rFonts w:hint="eastAsia"/>
          <w:b/>
          <w:color w:val="auto"/>
          <w:sz w:val="30"/>
          <w:szCs w:val="30"/>
          <w:lang w:eastAsia="zh-CN"/>
        </w:rPr>
      </w:pPr>
      <w:r>
        <w:rPr>
          <w:rFonts w:hint="eastAsia"/>
          <w:b/>
          <w:color w:val="auto"/>
          <w:sz w:val="30"/>
          <w:szCs w:val="30"/>
        </w:rPr>
        <w:t>招   标   人：</w:t>
      </w:r>
      <w:r>
        <w:rPr>
          <w:rFonts w:hint="eastAsia"/>
          <w:b/>
          <w:color w:val="auto"/>
          <w:sz w:val="30"/>
          <w:szCs w:val="30"/>
          <w:lang w:eastAsia="zh-CN"/>
        </w:rPr>
        <w:t>双牌县桂润房地产开发有限公司</w:t>
      </w:r>
    </w:p>
    <w:p>
      <w:pPr>
        <w:ind w:firstLine="2711" w:firstLineChars="900"/>
        <w:jc w:val="left"/>
        <w:rPr>
          <w:rFonts w:hint="eastAsia"/>
          <w:lang w:eastAsia="zh-CN"/>
        </w:rPr>
      </w:pPr>
      <w:r>
        <w:rPr>
          <w:rFonts w:hint="eastAsia"/>
          <w:b/>
          <w:color w:val="auto"/>
          <w:sz w:val="30"/>
          <w:szCs w:val="30"/>
          <w:lang w:eastAsia="zh-CN"/>
        </w:rPr>
        <w:t>双牌县桂润酒店管理服务有限公司</w:t>
      </w:r>
    </w:p>
    <w:p>
      <w:pPr>
        <w:ind w:firstLine="602" w:firstLineChars="200"/>
        <w:jc w:val="left"/>
        <w:rPr>
          <w:rFonts w:hint="eastAsia" w:eastAsiaTheme="minorEastAsia"/>
          <w:b/>
          <w:color w:val="auto"/>
          <w:sz w:val="30"/>
          <w:szCs w:val="30"/>
          <w:lang w:eastAsia="zh-CN"/>
        </w:rPr>
      </w:pPr>
      <w:r>
        <w:rPr>
          <w:rFonts w:hint="eastAsia"/>
          <w:b/>
          <w:color w:val="auto"/>
          <w:sz w:val="30"/>
          <w:szCs w:val="30"/>
        </w:rPr>
        <w:t>招标代理机构：</w:t>
      </w:r>
      <w:r>
        <w:rPr>
          <w:rFonts w:hint="eastAsia"/>
          <w:b/>
          <w:color w:val="auto"/>
          <w:sz w:val="30"/>
          <w:szCs w:val="30"/>
          <w:lang w:eastAsia="zh-CN"/>
        </w:rPr>
        <w:t>湖南博凯建设有限公司</w:t>
      </w:r>
    </w:p>
    <w:p>
      <w:pPr>
        <w:ind w:firstLine="602" w:firstLineChars="200"/>
        <w:jc w:val="left"/>
        <w:rPr>
          <w:rFonts w:hint="eastAsia" w:eastAsiaTheme="minorEastAsia"/>
          <w:b/>
          <w:color w:val="auto"/>
          <w:sz w:val="30"/>
          <w:szCs w:val="30"/>
          <w:lang w:eastAsia="zh-CN"/>
        </w:rPr>
      </w:pPr>
      <w:r>
        <w:rPr>
          <w:rFonts w:hint="eastAsia"/>
          <w:b/>
          <w:color w:val="auto"/>
          <w:sz w:val="30"/>
          <w:szCs w:val="30"/>
        </w:rPr>
        <w:t>日        期：</w:t>
      </w:r>
      <w:r>
        <w:rPr>
          <w:rFonts w:hint="eastAsia"/>
          <w:b/>
          <w:color w:val="auto"/>
          <w:sz w:val="30"/>
          <w:szCs w:val="30"/>
          <w:lang w:eastAsia="zh-CN"/>
        </w:rPr>
        <w:t>二〇一九年七月</w:t>
      </w:r>
    </w:p>
    <w:p>
      <w:pPr>
        <w:ind w:firstLine="602" w:firstLineChars="200"/>
        <w:jc w:val="center"/>
        <w:rPr>
          <w:b/>
          <w:color w:val="auto"/>
          <w:sz w:val="30"/>
          <w:szCs w:val="30"/>
        </w:rPr>
      </w:pPr>
    </w:p>
    <w:p>
      <w:pPr>
        <w:ind w:firstLine="602" w:firstLineChars="200"/>
        <w:jc w:val="center"/>
        <w:rPr>
          <w:b/>
          <w:color w:val="auto"/>
          <w:sz w:val="30"/>
          <w:szCs w:val="30"/>
        </w:rPr>
      </w:pPr>
    </w:p>
    <w:p>
      <w:pPr>
        <w:ind w:firstLine="602" w:firstLineChars="200"/>
        <w:jc w:val="center"/>
        <w:rPr>
          <w:b/>
          <w:color w:val="auto"/>
          <w:sz w:val="30"/>
          <w:szCs w:val="30"/>
        </w:rPr>
      </w:pPr>
      <w:r>
        <w:rPr>
          <w:rFonts w:hint="eastAsia"/>
          <w:b/>
          <w:color w:val="auto"/>
          <w:sz w:val="30"/>
          <w:szCs w:val="30"/>
        </w:rPr>
        <w:t>目    录</w:t>
      </w:r>
    </w:p>
    <w:p>
      <w:pPr>
        <w:jc w:val="left"/>
        <w:rPr>
          <w:bCs/>
          <w:color w:val="auto"/>
          <w:sz w:val="28"/>
          <w:szCs w:val="28"/>
        </w:rPr>
      </w:pPr>
      <w:r>
        <w:rPr>
          <w:rFonts w:hint="eastAsia"/>
          <w:bCs/>
          <w:color w:val="auto"/>
          <w:sz w:val="28"/>
          <w:szCs w:val="28"/>
        </w:rPr>
        <w:t>第一章  招标公告</w:t>
      </w:r>
    </w:p>
    <w:p>
      <w:pPr>
        <w:jc w:val="left"/>
        <w:rPr>
          <w:bCs/>
          <w:color w:val="auto"/>
          <w:sz w:val="28"/>
          <w:szCs w:val="28"/>
        </w:rPr>
      </w:pPr>
      <w:r>
        <w:rPr>
          <w:rFonts w:hint="eastAsia"/>
          <w:bCs/>
          <w:color w:val="auto"/>
          <w:sz w:val="28"/>
          <w:szCs w:val="28"/>
        </w:rPr>
        <w:t>第二章投标人须知</w:t>
      </w:r>
    </w:p>
    <w:p>
      <w:pPr>
        <w:ind w:firstLine="280" w:firstLineChars="100"/>
        <w:jc w:val="left"/>
        <w:rPr>
          <w:bCs/>
          <w:color w:val="auto"/>
          <w:sz w:val="28"/>
          <w:szCs w:val="28"/>
        </w:rPr>
      </w:pPr>
      <w:r>
        <w:rPr>
          <w:rFonts w:hint="eastAsia"/>
          <w:bCs/>
          <w:color w:val="auto"/>
          <w:sz w:val="28"/>
          <w:szCs w:val="28"/>
        </w:rPr>
        <w:t>1.总则</w:t>
      </w:r>
      <w:r>
        <w:rPr>
          <w:rFonts w:hint="eastAsia"/>
          <w:bCs/>
          <w:color w:val="auto"/>
          <w:sz w:val="28"/>
          <w:szCs w:val="28"/>
        </w:rPr>
        <w:br w:type="textWrapping"/>
      </w:r>
      <w:r>
        <w:rPr>
          <w:rFonts w:hint="eastAsia"/>
          <w:bCs/>
          <w:color w:val="auto"/>
          <w:sz w:val="28"/>
          <w:szCs w:val="28"/>
        </w:rPr>
        <w:t xml:space="preserve">  2.招标文件</w:t>
      </w:r>
    </w:p>
    <w:p>
      <w:pPr>
        <w:ind w:firstLine="280" w:firstLineChars="100"/>
        <w:jc w:val="left"/>
        <w:rPr>
          <w:bCs/>
          <w:color w:val="auto"/>
          <w:sz w:val="28"/>
          <w:szCs w:val="28"/>
        </w:rPr>
      </w:pPr>
      <w:r>
        <w:rPr>
          <w:rFonts w:hint="eastAsia"/>
          <w:bCs/>
          <w:color w:val="auto"/>
          <w:sz w:val="28"/>
          <w:szCs w:val="28"/>
        </w:rPr>
        <w:t>3.投标文件</w:t>
      </w:r>
    </w:p>
    <w:p>
      <w:pPr>
        <w:ind w:firstLine="280" w:firstLineChars="100"/>
        <w:jc w:val="left"/>
        <w:rPr>
          <w:bCs/>
          <w:color w:val="auto"/>
          <w:sz w:val="28"/>
          <w:szCs w:val="28"/>
        </w:rPr>
      </w:pPr>
      <w:r>
        <w:rPr>
          <w:rFonts w:hint="eastAsia"/>
          <w:bCs/>
          <w:color w:val="auto"/>
          <w:sz w:val="28"/>
          <w:szCs w:val="28"/>
        </w:rPr>
        <w:t>4.投标</w:t>
      </w:r>
    </w:p>
    <w:p>
      <w:pPr>
        <w:ind w:firstLine="280" w:firstLineChars="100"/>
        <w:jc w:val="left"/>
        <w:rPr>
          <w:bCs/>
          <w:color w:val="auto"/>
          <w:sz w:val="28"/>
          <w:szCs w:val="28"/>
        </w:rPr>
      </w:pPr>
      <w:r>
        <w:rPr>
          <w:rFonts w:hint="eastAsia"/>
          <w:bCs/>
          <w:color w:val="auto"/>
          <w:sz w:val="28"/>
          <w:szCs w:val="28"/>
        </w:rPr>
        <w:t>5.开标</w:t>
      </w:r>
    </w:p>
    <w:p>
      <w:pPr>
        <w:ind w:left="279" w:leftChars="133"/>
        <w:jc w:val="left"/>
        <w:rPr>
          <w:bCs/>
          <w:color w:val="auto"/>
          <w:sz w:val="28"/>
          <w:szCs w:val="28"/>
        </w:rPr>
      </w:pPr>
      <w:r>
        <w:rPr>
          <w:rFonts w:hint="eastAsia"/>
          <w:bCs/>
          <w:color w:val="auto"/>
          <w:sz w:val="28"/>
          <w:szCs w:val="28"/>
        </w:rPr>
        <w:t>6.评标</w:t>
      </w:r>
      <w:r>
        <w:rPr>
          <w:rFonts w:hint="eastAsia"/>
          <w:bCs/>
          <w:color w:val="auto"/>
          <w:sz w:val="28"/>
          <w:szCs w:val="28"/>
        </w:rPr>
        <w:br w:type="textWrapping"/>
      </w:r>
      <w:r>
        <w:rPr>
          <w:rFonts w:hint="eastAsia"/>
          <w:bCs/>
          <w:color w:val="auto"/>
          <w:sz w:val="28"/>
          <w:szCs w:val="28"/>
        </w:rPr>
        <w:t>7.合同授予</w:t>
      </w:r>
      <w:r>
        <w:rPr>
          <w:rFonts w:hint="eastAsia"/>
          <w:bCs/>
          <w:color w:val="auto"/>
          <w:sz w:val="28"/>
          <w:szCs w:val="28"/>
        </w:rPr>
        <w:br w:type="textWrapping"/>
      </w:r>
      <w:r>
        <w:rPr>
          <w:rFonts w:hint="eastAsia"/>
          <w:bCs/>
          <w:color w:val="auto"/>
          <w:sz w:val="28"/>
          <w:szCs w:val="28"/>
        </w:rPr>
        <w:t>8.重新招标和不再招标</w:t>
      </w:r>
    </w:p>
    <w:p>
      <w:pPr>
        <w:ind w:left="279" w:leftChars="133"/>
        <w:jc w:val="left"/>
        <w:rPr>
          <w:bCs/>
          <w:color w:val="auto"/>
          <w:sz w:val="28"/>
          <w:szCs w:val="28"/>
        </w:rPr>
      </w:pPr>
      <w:r>
        <w:rPr>
          <w:rFonts w:hint="eastAsia"/>
          <w:bCs/>
          <w:color w:val="auto"/>
          <w:sz w:val="28"/>
          <w:szCs w:val="28"/>
        </w:rPr>
        <w:t>9.纪律和监督</w:t>
      </w:r>
      <w:r>
        <w:rPr>
          <w:rFonts w:hint="eastAsia"/>
          <w:bCs/>
          <w:color w:val="auto"/>
          <w:sz w:val="28"/>
          <w:szCs w:val="28"/>
        </w:rPr>
        <w:br w:type="textWrapping"/>
      </w:r>
      <w:r>
        <w:rPr>
          <w:rFonts w:hint="eastAsia"/>
          <w:bCs/>
          <w:color w:val="auto"/>
          <w:sz w:val="28"/>
          <w:szCs w:val="28"/>
        </w:rPr>
        <w:t>10.需要补充的其他内容</w:t>
      </w:r>
    </w:p>
    <w:p>
      <w:pPr>
        <w:jc w:val="left"/>
        <w:rPr>
          <w:bCs/>
          <w:color w:val="auto"/>
          <w:sz w:val="28"/>
          <w:szCs w:val="28"/>
        </w:rPr>
      </w:pPr>
      <w:r>
        <w:rPr>
          <w:rFonts w:hint="eastAsia"/>
          <w:bCs/>
          <w:color w:val="auto"/>
          <w:sz w:val="28"/>
          <w:szCs w:val="28"/>
        </w:rPr>
        <w:t>第三章评标办法</w:t>
      </w:r>
      <w:r>
        <w:rPr>
          <w:rFonts w:hint="eastAsia"/>
          <w:bCs/>
          <w:color w:val="auto"/>
          <w:sz w:val="28"/>
          <w:szCs w:val="28"/>
        </w:rPr>
        <w:br w:type="textWrapping"/>
      </w:r>
      <w:r>
        <w:rPr>
          <w:rFonts w:hint="eastAsia"/>
          <w:bCs/>
          <w:color w:val="auto"/>
          <w:sz w:val="28"/>
          <w:szCs w:val="28"/>
        </w:rPr>
        <w:t>第四章合同条款和格式</w:t>
      </w:r>
    </w:p>
    <w:p>
      <w:pPr>
        <w:jc w:val="left"/>
        <w:rPr>
          <w:bCs/>
          <w:color w:val="auto"/>
          <w:sz w:val="28"/>
          <w:szCs w:val="28"/>
        </w:rPr>
      </w:pPr>
      <w:r>
        <w:rPr>
          <w:rFonts w:hint="eastAsia"/>
          <w:bCs/>
          <w:color w:val="auto"/>
          <w:sz w:val="28"/>
          <w:szCs w:val="28"/>
        </w:rPr>
        <w:t>第五章  图纸</w:t>
      </w:r>
      <w:r>
        <w:rPr>
          <w:rFonts w:hint="eastAsia"/>
          <w:bCs/>
          <w:color w:val="auto"/>
          <w:sz w:val="28"/>
          <w:szCs w:val="28"/>
        </w:rPr>
        <w:br w:type="textWrapping"/>
      </w:r>
      <w:r>
        <w:rPr>
          <w:rFonts w:hint="eastAsia"/>
          <w:bCs/>
          <w:color w:val="auto"/>
          <w:sz w:val="28"/>
          <w:szCs w:val="28"/>
        </w:rPr>
        <w:t>第六章  物业服务需求书</w:t>
      </w:r>
    </w:p>
    <w:p>
      <w:pPr>
        <w:jc w:val="left"/>
        <w:rPr>
          <w:bCs/>
          <w:color w:val="auto"/>
          <w:sz w:val="28"/>
          <w:szCs w:val="28"/>
        </w:rPr>
      </w:pPr>
      <w:r>
        <w:rPr>
          <w:rFonts w:hint="eastAsia"/>
          <w:bCs/>
          <w:color w:val="auto"/>
          <w:sz w:val="28"/>
          <w:szCs w:val="28"/>
        </w:rPr>
        <w:t>第七章  投标文件格式</w:t>
      </w:r>
      <w:r>
        <w:rPr>
          <w:rFonts w:hint="eastAsia"/>
          <w:bCs/>
          <w:color w:val="auto"/>
          <w:sz w:val="28"/>
          <w:szCs w:val="28"/>
        </w:rPr>
        <w:br w:type="textWrapping"/>
      </w:r>
      <w:r>
        <w:rPr>
          <w:rFonts w:hint="eastAsia"/>
          <w:bCs/>
          <w:color w:val="auto"/>
          <w:sz w:val="28"/>
          <w:szCs w:val="28"/>
        </w:rPr>
        <w:t>第一部分  投标函部分格式</w:t>
      </w:r>
    </w:p>
    <w:p>
      <w:pPr>
        <w:jc w:val="left"/>
        <w:rPr>
          <w:bCs/>
          <w:color w:val="auto"/>
          <w:sz w:val="28"/>
          <w:szCs w:val="28"/>
        </w:rPr>
      </w:pPr>
      <w:r>
        <w:rPr>
          <w:rFonts w:hint="eastAsia"/>
          <w:bCs/>
          <w:color w:val="auto"/>
          <w:sz w:val="28"/>
          <w:szCs w:val="28"/>
        </w:rPr>
        <w:t>第二部分  商务标部分格式</w:t>
      </w:r>
    </w:p>
    <w:p>
      <w:pPr>
        <w:jc w:val="left"/>
        <w:rPr>
          <w:bCs/>
          <w:color w:val="auto"/>
          <w:sz w:val="28"/>
          <w:szCs w:val="28"/>
        </w:rPr>
      </w:pPr>
      <w:r>
        <w:rPr>
          <w:rFonts w:hint="eastAsia"/>
          <w:bCs/>
          <w:color w:val="auto"/>
          <w:sz w:val="28"/>
          <w:szCs w:val="28"/>
        </w:rPr>
        <w:t>第三部分  技术标部分格式</w:t>
      </w:r>
    </w:p>
    <w:p>
      <w:pPr>
        <w:numPr>
          <w:ilvl w:val="0"/>
          <w:numId w:val="0"/>
        </w:numPr>
        <w:jc w:val="both"/>
        <w:rPr>
          <w:bCs/>
          <w:color w:val="auto"/>
          <w:sz w:val="28"/>
          <w:szCs w:val="28"/>
        </w:rPr>
        <w:sectPr>
          <w:pgSz w:w="11906" w:h="16838"/>
          <w:pgMar w:top="1440" w:right="1800" w:bottom="1440" w:left="1800" w:header="851" w:footer="992" w:gutter="0"/>
          <w:pgNumType w:start="1"/>
          <w:cols w:space="425" w:num="1"/>
          <w:docGrid w:type="lines" w:linePitch="312" w:charSpace="0"/>
        </w:sectPr>
      </w:pPr>
    </w:p>
    <w:p>
      <w:pPr>
        <w:numPr>
          <w:ilvl w:val="0"/>
          <w:numId w:val="1"/>
        </w:numPr>
        <w:jc w:val="center"/>
        <w:rPr>
          <w:b/>
          <w:color w:val="auto"/>
          <w:sz w:val="28"/>
          <w:szCs w:val="28"/>
        </w:rPr>
      </w:pPr>
      <w:r>
        <w:rPr>
          <w:rFonts w:hint="eastAsia"/>
          <w:b/>
          <w:color w:val="auto"/>
          <w:sz w:val="28"/>
          <w:szCs w:val="28"/>
        </w:rPr>
        <w:t xml:space="preserve">  招标公告</w:t>
      </w:r>
    </w:p>
    <w:p>
      <w:pPr>
        <w:widowControl/>
        <w:spacing w:line="440" w:lineRule="atLeast"/>
        <w:ind w:firstLine="480"/>
        <w:rPr>
          <w:rFonts w:cs="Calibri"/>
          <w:color w:val="auto"/>
          <w:szCs w:val="21"/>
        </w:rPr>
      </w:pPr>
      <w:r>
        <w:rPr>
          <w:rFonts w:hint="eastAsia" w:ascii="宋体" w:hAnsi="宋体" w:cs="宋体"/>
          <w:color w:val="auto"/>
          <w:kern w:val="0"/>
          <w:sz w:val="24"/>
        </w:rPr>
        <w:t>根据建设部《前期物业管理招标投标管理暂行办法》和《永州市前期物业管理招投标暂行办法》等有关规定，</w:t>
      </w:r>
      <w:r>
        <w:rPr>
          <w:rFonts w:hint="eastAsia" w:ascii="宋体" w:hAnsi="宋体" w:cs="宋体"/>
          <w:color w:val="auto"/>
          <w:kern w:val="0"/>
          <w:sz w:val="24"/>
          <w:lang w:eastAsia="zh-CN"/>
        </w:rPr>
        <w:t>双牌县佳兴名城住宅小区和嘉信国际酒店前期物业管理</w:t>
      </w:r>
      <w:r>
        <w:rPr>
          <w:rFonts w:hint="eastAsia" w:ascii="宋体" w:hAnsi="宋体" w:cs="宋体"/>
          <w:color w:val="auto"/>
          <w:kern w:val="0"/>
          <w:sz w:val="24"/>
        </w:rPr>
        <w:t>已具备招标条件，招标人为</w:t>
      </w:r>
      <w:r>
        <w:rPr>
          <w:rFonts w:hint="eastAsia" w:ascii="宋体" w:hAnsi="宋体" w:cs="宋体"/>
          <w:color w:val="auto"/>
          <w:kern w:val="0"/>
          <w:sz w:val="24"/>
          <w:lang w:eastAsia="zh-CN"/>
        </w:rPr>
        <w:t>双牌县桂润房地产开发有限公司</w:t>
      </w:r>
      <w:r>
        <w:rPr>
          <w:rFonts w:hint="eastAsia" w:ascii="宋体" w:hAnsi="宋体" w:cs="宋体"/>
          <w:color w:val="auto"/>
          <w:kern w:val="0"/>
          <w:sz w:val="24"/>
        </w:rPr>
        <w:t>，招标代理机构为</w:t>
      </w:r>
      <w:r>
        <w:rPr>
          <w:rFonts w:hint="eastAsia" w:ascii="宋体" w:hAnsi="宋体" w:cs="宋体"/>
          <w:color w:val="auto"/>
          <w:kern w:val="0"/>
          <w:sz w:val="24"/>
          <w:lang w:eastAsia="zh-CN"/>
        </w:rPr>
        <w:t>湖南博凯建设有限公司</w:t>
      </w:r>
      <w:r>
        <w:rPr>
          <w:rFonts w:hint="eastAsia" w:ascii="宋体" w:hAnsi="宋体" w:cs="宋体"/>
          <w:color w:val="auto"/>
          <w:kern w:val="0"/>
          <w:sz w:val="24"/>
        </w:rPr>
        <w:t>。欢迎符合条件的投标人前来投标，招标有关事项如下。</w:t>
      </w:r>
    </w:p>
    <w:p>
      <w:pPr>
        <w:widowControl/>
        <w:spacing w:line="440" w:lineRule="atLeast"/>
        <w:ind w:left="279" w:firstLine="241"/>
        <w:rPr>
          <w:rFonts w:cs="Calibri"/>
          <w:color w:val="auto"/>
          <w:szCs w:val="21"/>
        </w:rPr>
      </w:pPr>
      <w:r>
        <w:rPr>
          <w:rFonts w:hint="eastAsia" w:ascii="宋体" w:hAnsi="宋体" w:cs="宋体"/>
          <w:b/>
          <w:color w:val="auto"/>
          <w:kern w:val="0"/>
          <w:sz w:val="24"/>
        </w:rPr>
        <w:t>一、招标项目</w:t>
      </w:r>
    </w:p>
    <w:p>
      <w:pPr>
        <w:widowControl/>
        <w:spacing w:line="440" w:lineRule="atLeast"/>
        <w:ind w:firstLine="240"/>
        <w:rPr>
          <w:rFonts w:cs="Calibri"/>
          <w:color w:val="auto"/>
          <w:szCs w:val="21"/>
        </w:rPr>
      </w:pPr>
      <w:r>
        <w:rPr>
          <w:rFonts w:hint="eastAsia" w:ascii="宋体" w:hAnsi="宋体" w:cs="宋体"/>
          <w:color w:val="auto"/>
          <w:kern w:val="0"/>
          <w:sz w:val="24"/>
        </w:rPr>
        <w:t>（一）项目名称：</w:t>
      </w:r>
      <w:r>
        <w:rPr>
          <w:rFonts w:hint="eastAsia" w:ascii="宋体" w:hAnsi="宋体" w:cs="宋体"/>
          <w:color w:val="auto"/>
          <w:kern w:val="0"/>
          <w:sz w:val="24"/>
          <w:lang w:eastAsia="zh-CN"/>
        </w:rPr>
        <w:t>双牌县佳兴名城住宅小区和嘉信国际酒店前期物业管理</w:t>
      </w:r>
      <w:r>
        <w:rPr>
          <w:rFonts w:hint="eastAsia" w:ascii="宋体" w:hAnsi="宋体" w:cs="宋体"/>
          <w:color w:val="auto"/>
          <w:kern w:val="0"/>
          <w:sz w:val="24"/>
        </w:rPr>
        <w:t>。</w:t>
      </w:r>
    </w:p>
    <w:p>
      <w:pPr>
        <w:widowControl/>
        <w:spacing w:line="440" w:lineRule="atLeast"/>
        <w:ind w:left="279"/>
        <w:rPr>
          <w:rFonts w:cs="Calibri"/>
          <w:color w:val="auto"/>
          <w:szCs w:val="21"/>
        </w:rPr>
      </w:pPr>
      <w:r>
        <w:rPr>
          <w:rFonts w:hint="eastAsia" w:ascii="宋体" w:hAnsi="宋体" w:cs="宋体"/>
          <w:color w:val="auto"/>
          <w:kern w:val="0"/>
          <w:sz w:val="24"/>
        </w:rPr>
        <w:t>（二）项目地点：</w:t>
      </w:r>
      <w:r>
        <w:rPr>
          <w:rFonts w:hint="eastAsia" w:ascii="宋体" w:hAnsi="宋体" w:cs="宋体"/>
          <w:color w:val="auto"/>
          <w:kern w:val="0"/>
          <w:sz w:val="24"/>
          <w:u w:val="single"/>
          <w:lang w:eastAsia="zh-CN"/>
        </w:rPr>
        <w:t>双牌县永水路与车站路交界处</w:t>
      </w:r>
      <w:r>
        <w:rPr>
          <w:rFonts w:hint="eastAsia" w:ascii="宋体" w:hAnsi="宋体" w:cs="宋体"/>
          <w:color w:val="auto"/>
          <w:kern w:val="0"/>
          <w:sz w:val="24"/>
          <w:u w:val="single"/>
        </w:rPr>
        <w:t>。</w:t>
      </w:r>
    </w:p>
    <w:p>
      <w:pPr>
        <w:widowControl/>
        <w:spacing w:line="440" w:lineRule="atLeast"/>
        <w:ind w:left="279"/>
        <w:rPr>
          <w:rFonts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kern w:val="0"/>
          <w:sz w:val="24"/>
          <w:lang w:val="en-US" w:eastAsia="zh-CN"/>
        </w:rPr>
        <w:t>项目标段划分及</w:t>
      </w:r>
      <w:r>
        <w:rPr>
          <w:rFonts w:hint="eastAsia" w:ascii="宋体" w:hAnsi="宋体" w:cs="宋体"/>
          <w:color w:val="auto"/>
          <w:kern w:val="0"/>
          <w:sz w:val="24"/>
        </w:rPr>
        <w:t>项目概况</w:t>
      </w:r>
      <w:r>
        <w:rPr>
          <w:rFonts w:ascii="宋体" w:hAnsi="宋体" w:cs="宋体"/>
          <w:color w:val="auto"/>
          <w:kern w:val="0"/>
          <w:sz w:val="24"/>
        </w:rPr>
        <w:t>:</w:t>
      </w:r>
    </w:p>
    <w:p>
      <w:pPr>
        <w:pStyle w:val="2"/>
        <w:rPr>
          <w:rFonts w:hint="default" w:eastAsiaTheme="minorEastAsia"/>
          <w:color w:val="auto"/>
          <w:lang w:val="en-US" w:eastAsia="zh-CN"/>
        </w:rPr>
      </w:pPr>
      <w:r>
        <w:rPr>
          <w:rFonts w:hint="eastAsia" w:ascii="宋体" w:hAnsi="宋体" w:cs="宋体"/>
          <w:color w:val="auto"/>
          <w:kern w:val="0"/>
          <w:sz w:val="24"/>
          <w:lang w:val="en-US" w:eastAsia="zh-CN"/>
        </w:rPr>
        <w:t>1、本项目划分为两个标段，双牌县佳兴名城住宅小区为第一标段，双牌县嘉信国际酒店为第二标段。</w:t>
      </w:r>
    </w:p>
    <w:p>
      <w:pPr>
        <w:widowControl/>
        <w:spacing w:line="440" w:lineRule="atLeast"/>
        <w:ind w:left="239" w:leftChars="114" w:firstLine="240" w:firstLineChars="100"/>
        <w:rPr>
          <w:rFonts w:hint="eastAsia" w:ascii="宋体" w:hAnsi="宋体" w:cs="宋体"/>
          <w:bCs/>
          <w:color w:val="auto"/>
          <w:kern w:val="0"/>
          <w:sz w:val="24"/>
        </w:rPr>
      </w:pPr>
      <w:r>
        <w:rPr>
          <w:rFonts w:hint="eastAsia" w:ascii="宋体" w:hAnsi="宋体" w:cs="宋体"/>
          <w:bCs/>
          <w:color w:val="auto"/>
          <w:kern w:val="0"/>
          <w:sz w:val="24"/>
          <w:lang w:val="en-US" w:eastAsia="zh-CN"/>
        </w:rPr>
        <w:t>2</w:t>
      </w:r>
      <w:r>
        <w:rPr>
          <w:rFonts w:hint="eastAsia" w:ascii="宋体" w:hAnsi="宋体" w:cs="宋体"/>
          <w:bCs/>
          <w:color w:val="auto"/>
          <w:kern w:val="0"/>
          <w:sz w:val="24"/>
        </w:rPr>
        <w:t>、</w:t>
      </w:r>
      <w:r>
        <w:rPr>
          <w:rFonts w:hint="eastAsia" w:ascii="宋体" w:hAnsi="宋体" w:cs="宋体"/>
          <w:bCs/>
          <w:color w:val="auto"/>
          <w:kern w:val="0"/>
          <w:sz w:val="24"/>
          <w:lang w:val="en-US" w:eastAsia="zh-CN"/>
        </w:rPr>
        <w:t>第一标段的</w:t>
      </w:r>
      <w:r>
        <w:rPr>
          <w:rFonts w:hint="eastAsia" w:ascii="宋体" w:hAnsi="宋体" w:cs="宋体"/>
          <w:bCs/>
          <w:color w:val="auto"/>
          <w:kern w:val="0"/>
          <w:sz w:val="24"/>
        </w:rPr>
        <w:t>项目总占地面积</w:t>
      </w:r>
      <w:r>
        <w:rPr>
          <w:rFonts w:hint="eastAsia" w:ascii="宋体" w:hAnsi="宋体" w:cs="宋体"/>
          <w:bCs/>
          <w:color w:val="auto"/>
          <w:kern w:val="0"/>
          <w:sz w:val="24"/>
          <w:lang w:val="en-US" w:eastAsia="zh-CN"/>
        </w:rPr>
        <w:t>15168.18</w:t>
      </w:r>
      <w:r>
        <w:rPr>
          <w:rFonts w:hint="eastAsia" w:ascii="宋体" w:hAnsi="宋体" w:cs="宋体"/>
          <w:bCs/>
          <w:color w:val="auto"/>
          <w:kern w:val="0"/>
          <w:sz w:val="24"/>
        </w:rPr>
        <w:t>平方米，建筑面积</w:t>
      </w:r>
      <w:r>
        <w:rPr>
          <w:rFonts w:hint="eastAsia" w:ascii="宋体" w:hAnsi="宋体" w:cs="宋体"/>
          <w:bCs/>
          <w:color w:val="auto"/>
          <w:kern w:val="0"/>
          <w:sz w:val="24"/>
          <w:lang w:val="en-US" w:eastAsia="zh-CN"/>
        </w:rPr>
        <w:t>69028.05</w:t>
      </w:r>
      <w:r>
        <w:rPr>
          <w:rFonts w:hint="eastAsia" w:ascii="宋体" w:hAnsi="宋体" w:cs="宋体"/>
          <w:bCs/>
          <w:color w:val="auto"/>
          <w:kern w:val="0"/>
          <w:sz w:val="24"/>
        </w:rPr>
        <w:t>平方米，其中住宅建筑面积约</w:t>
      </w:r>
      <w:r>
        <w:rPr>
          <w:rFonts w:hint="eastAsia" w:ascii="宋体" w:hAnsi="宋体" w:cs="宋体"/>
          <w:bCs/>
          <w:color w:val="auto"/>
          <w:kern w:val="0"/>
          <w:sz w:val="24"/>
          <w:lang w:val="en-US" w:eastAsia="zh-CN"/>
        </w:rPr>
        <w:t>46098.70</w:t>
      </w:r>
      <w:r>
        <w:rPr>
          <w:rFonts w:hint="eastAsia" w:ascii="宋体" w:hAnsi="宋体" w:cs="宋体"/>
          <w:bCs/>
          <w:color w:val="auto"/>
          <w:kern w:val="0"/>
          <w:sz w:val="24"/>
        </w:rPr>
        <w:t>平方米，容积率：</w:t>
      </w:r>
      <w:r>
        <w:rPr>
          <w:rFonts w:hint="eastAsia" w:ascii="宋体" w:hAnsi="宋体" w:cs="宋体"/>
          <w:bCs/>
          <w:color w:val="auto"/>
          <w:kern w:val="0"/>
          <w:sz w:val="24"/>
          <w:lang w:val="en-US" w:eastAsia="zh-CN"/>
        </w:rPr>
        <w:t>3.76</w:t>
      </w:r>
      <w:r>
        <w:rPr>
          <w:rFonts w:ascii="宋体" w:hAnsi="宋体" w:cs="宋体"/>
          <w:bCs/>
          <w:color w:val="auto"/>
          <w:kern w:val="0"/>
          <w:sz w:val="24"/>
        </w:rPr>
        <w:t>%</w:t>
      </w:r>
      <w:r>
        <w:rPr>
          <w:rFonts w:hint="eastAsia" w:ascii="宋体" w:hAnsi="宋体" w:cs="宋体"/>
          <w:bCs/>
          <w:color w:val="auto"/>
          <w:kern w:val="0"/>
          <w:sz w:val="24"/>
        </w:rPr>
        <w:t>，绿化率：</w:t>
      </w:r>
      <w:r>
        <w:rPr>
          <w:rFonts w:hint="eastAsia" w:ascii="宋体" w:hAnsi="宋体" w:cs="宋体"/>
          <w:bCs/>
          <w:color w:val="auto"/>
          <w:kern w:val="0"/>
          <w:sz w:val="24"/>
          <w:lang w:val="en-US" w:eastAsia="zh-CN"/>
        </w:rPr>
        <w:t>35.03</w:t>
      </w:r>
      <w:r>
        <w:rPr>
          <w:rFonts w:ascii="宋体" w:hAnsi="宋体" w:cs="宋体"/>
          <w:bCs/>
          <w:color w:val="auto"/>
          <w:kern w:val="0"/>
          <w:sz w:val="24"/>
        </w:rPr>
        <w:t>%</w:t>
      </w:r>
      <w:r>
        <w:rPr>
          <w:rFonts w:hint="eastAsia" w:ascii="宋体" w:hAnsi="宋体" w:cs="宋体"/>
          <w:bCs/>
          <w:color w:val="auto"/>
          <w:kern w:val="0"/>
          <w:sz w:val="24"/>
        </w:rPr>
        <w:t>，建筑密度：</w:t>
      </w:r>
      <w:r>
        <w:rPr>
          <w:rFonts w:hint="eastAsia" w:ascii="宋体" w:hAnsi="宋体" w:cs="宋体"/>
          <w:bCs/>
          <w:color w:val="auto"/>
          <w:kern w:val="0"/>
          <w:sz w:val="24"/>
          <w:lang w:val="en-US" w:eastAsia="zh-CN"/>
        </w:rPr>
        <w:t>29.63</w:t>
      </w:r>
      <w:r>
        <w:rPr>
          <w:rFonts w:ascii="宋体" w:hAnsi="宋体" w:cs="宋体"/>
          <w:bCs/>
          <w:color w:val="auto"/>
          <w:kern w:val="0"/>
          <w:sz w:val="24"/>
        </w:rPr>
        <w:t>%</w:t>
      </w:r>
      <w:r>
        <w:rPr>
          <w:rFonts w:hint="eastAsia" w:ascii="宋体" w:hAnsi="宋体" w:cs="宋体"/>
          <w:bCs/>
          <w:color w:val="auto"/>
          <w:kern w:val="0"/>
          <w:sz w:val="24"/>
        </w:rPr>
        <w:t>。项目由</w:t>
      </w:r>
      <w:r>
        <w:rPr>
          <w:rFonts w:hint="eastAsia" w:ascii="宋体" w:hAnsi="宋体" w:cs="宋体"/>
          <w:bCs/>
          <w:color w:val="auto"/>
          <w:kern w:val="0"/>
          <w:sz w:val="24"/>
          <w:lang w:val="en-US" w:eastAsia="zh-CN"/>
        </w:rPr>
        <w:t>4</w:t>
      </w:r>
      <w:r>
        <w:rPr>
          <w:rFonts w:hint="eastAsia" w:ascii="宋体" w:hAnsi="宋体" w:cs="宋体"/>
          <w:bCs/>
          <w:color w:val="auto"/>
          <w:kern w:val="0"/>
          <w:sz w:val="24"/>
        </w:rPr>
        <w:t>栋商住楼组成，高层其中住宅建筑面积约</w:t>
      </w:r>
      <w:r>
        <w:rPr>
          <w:rFonts w:ascii="宋体" w:hAnsi="宋体" w:cs="宋体"/>
          <w:bCs/>
          <w:color w:val="auto"/>
          <w:kern w:val="0"/>
          <w:sz w:val="24"/>
        </w:rPr>
        <w:t xml:space="preserve"> </w:t>
      </w:r>
      <w:r>
        <w:rPr>
          <w:rFonts w:hint="eastAsia" w:ascii="宋体" w:hAnsi="宋体" w:cs="宋体"/>
          <w:bCs/>
          <w:color w:val="auto"/>
          <w:kern w:val="0"/>
          <w:sz w:val="24"/>
          <w:lang w:val="en-US" w:eastAsia="zh-CN"/>
        </w:rPr>
        <w:t>46098.70</w:t>
      </w:r>
      <w:r>
        <w:rPr>
          <w:rFonts w:hint="eastAsia" w:ascii="宋体" w:hAnsi="宋体" w:cs="宋体"/>
          <w:bCs/>
          <w:color w:val="auto"/>
          <w:kern w:val="0"/>
          <w:sz w:val="24"/>
        </w:rPr>
        <w:t>平方米。规划居住户数</w:t>
      </w:r>
      <w:r>
        <w:rPr>
          <w:rFonts w:hint="eastAsia" w:ascii="宋体" w:hAnsi="宋体" w:cs="宋体"/>
          <w:bCs/>
          <w:color w:val="auto"/>
          <w:kern w:val="0"/>
          <w:sz w:val="24"/>
          <w:lang w:val="en-US" w:eastAsia="zh-CN"/>
        </w:rPr>
        <w:t>298</w:t>
      </w:r>
      <w:r>
        <w:rPr>
          <w:rFonts w:hint="eastAsia" w:ascii="宋体" w:hAnsi="宋体" w:cs="宋体"/>
          <w:bCs/>
          <w:color w:val="auto"/>
          <w:kern w:val="0"/>
          <w:sz w:val="24"/>
        </w:rPr>
        <w:t>户，项目共配置垂直升降客梯</w:t>
      </w:r>
      <w:r>
        <w:rPr>
          <w:rFonts w:hint="eastAsia" w:ascii="宋体" w:hAnsi="宋体" w:cs="宋体"/>
          <w:bCs/>
          <w:color w:val="auto"/>
          <w:kern w:val="0"/>
          <w:sz w:val="24"/>
          <w:lang w:val="en-US" w:eastAsia="zh-CN"/>
        </w:rPr>
        <w:t>13</w:t>
      </w:r>
      <w:r>
        <w:rPr>
          <w:rFonts w:hint="eastAsia" w:ascii="宋体" w:hAnsi="宋体" w:cs="宋体"/>
          <w:bCs/>
          <w:color w:val="auto"/>
          <w:kern w:val="0"/>
          <w:sz w:val="24"/>
        </w:rPr>
        <w:t>台，地面停车位</w:t>
      </w:r>
      <w:r>
        <w:rPr>
          <w:rFonts w:hint="eastAsia" w:ascii="宋体" w:hAnsi="宋体" w:cs="宋体"/>
          <w:bCs/>
          <w:color w:val="auto"/>
          <w:kern w:val="0"/>
          <w:sz w:val="24"/>
          <w:lang w:val="en-US" w:eastAsia="zh-CN"/>
        </w:rPr>
        <w:t>3</w:t>
      </w:r>
      <w:r>
        <w:rPr>
          <w:rFonts w:ascii="宋体" w:hAnsi="宋体" w:cs="宋体"/>
          <w:bCs/>
          <w:color w:val="auto"/>
          <w:kern w:val="0"/>
          <w:sz w:val="24"/>
        </w:rPr>
        <w:t>93</w:t>
      </w:r>
      <w:r>
        <w:rPr>
          <w:rFonts w:hint="eastAsia" w:ascii="宋体" w:hAnsi="宋体" w:cs="宋体"/>
          <w:bCs/>
          <w:color w:val="auto"/>
          <w:kern w:val="0"/>
          <w:sz w:val="24"/>
        </w:rPr>
        <w:t>个。配建单独物业管理用房一栋，位于</w:t>
      </w:r>
      <w:r>
        <w:rPr>
          <w:rFonts w:ascii="宋体" w:hAnsi="宋体" w:cs="宋体"/>
          <w:bCs/>
          <w:color w:val="auto"/>
          <w:kern w:val="0"/>
          <w:sz w:val="24"/>
        </w:rPr>
        <w:t>1</w:t>
      </w:r>
      <w:r>
        <w:rPr>
          <w:rFonts w:hint="eastAsia" w:ascii="宋体" w:hAnsi="宋体" w:cs="宋体"/>
          <w:bCs/>
          <w:color w:val="auto"/>
          <w:kern w:val="0"/>
          <w:sz w:val="24"/>
        </w:rPr>
        <w:t>号楼旁。招标单位依照《湖南省实施</w:t>
      </w:r>
      <w:r>
        <w:rPr>
          <w:rFonts w:ascii="宋体" w:hAnsi="宋体" w:cs="宋体"/>
          <w:bCs/>
          <w:color w:val="auto"/>
          <w:kern w:val="0"/>
          <w:sz w:val="24"/>
        </w:rPr>
        <w:t>&lt;</w:t>
      </w:r>
      <w:r>
        <w:rPr>
          <w:rFonts w:hint="eastAsia" w:ascii="宋体" w:hAnsi="宋体" w:cs="宋体"/>
          <w:bCs/>
          <w:color w:val="auto"/>
          <w:kern w:val="0"/>
          <w:sz w:val="24"/>
        </w:rPr>
        <w:t>物业管理条例</w:t>
      </w:r>
      <w:r>
        <w:rPr>
          <w:rFonts w:ascii="宋体" w:hAnsi="宋体" w:cs="宋体"/>
          <w:bCs/>
          <w:color w:val="auto"/>
          <w:kern w:val="0"/>
          <w:sz w:val="24"/>
        </w:rPr>
        <w:t>&gt;</w:t>
      </w:r>
      <w:r>
        <w:rPr>
          <w:rFonts w:hint="eastAsia" w:ascii="宋体" w:hAnsi="宋体" w:cs="宋体"/>
          <w:bCs/>
          <w:color w:val="auto"/>
          <w:kern w:val="0"/>
          <w:sz w:val="24"/>
        </w:rPr>
        <w:t>办法》《永州市物业管理用房规定》做好装修。</w:t>
      </w:r>
    </w:p>
    <w:p>
      <w:pPr>
        <w:widowControl/>
        <w:spacing w:line="440" w:lineRule="atLeast"/>
        <w:ind w:left="239" w:firstLine="113"/>
        <w:rPr>
          <w:rFonts w:ascii="宋体" w:cs="宋体"/>
          <w:bCs/>
          <w:color w:val="auto"/>
          <w:kern w:val="0"/>
          <w:sz w:val="24"/>
        </w:rPr>
      </w:pPr>
      <w:r>
        <w:rPr>
          <w:rFonts w:hint="eastAsia" w:ascii="宋体" w:hAnsi="宋体" w:cs="宋体"/>
          <w:bCs/>
          <w:color w:val="auto"/>
          <w:kern w:val="0"/>
          <w:sz w:val="24"/>
          <w:lang w:val="en-US" w:eastAsia="zh-CN"/>
        </w:rPr>
        <w:t>第二标段的</w:t>
      </w:r>
      <w:r>
        <w:rPr>
          <w:rFonts w:hint="eastAsia" w:ascii="宋体" w:hAnsi="宋体" w:cs="宋体"/>
          <w:bCs/>
          <w:color w:val="auto"/>
          <w:kern w:val="0"/>
          <w:sz w:val="24"/>
        </w:rPr>
        <w:t>项目总占地面积</w:t>
      </w:r>
      <w:r>
        <w:rPr>
          <w:rFonts w:ascii="宋体" w:hAnsi="宋体" w:cs="宋体"/>
          <w:bCs/>
          <w:color w:val="auto"/>
          <w:kern w:val="0"/>
          <w:sz w:val="24"/>
        </w:rPr>
        <w:t>1</w:t>
      </w:r>
      <w:r>
        <w:rPr>
          <w:rFonts w:hint="eastAsia" w:ascii="宋体" w:hAnsi="宋体" w:cs="宋体"/>
          <w:bCs/>
          <w:color w:val="auto"/>
          <w:kern w:val="0"/>
          <w:sz w:val="24"/>
          <w:lang w:val="en-US" w:eastAsia="zh-CN"/>
        </w:rPr>
        <w:t>1816.08</w:t>
      </w:r>
      <w:r>
        <w:rPr>
          <w:rFonts w:hint="eastAsia" w:ascii="宋体" w:hAnsi="宋体" w:cs="宋体"/>
          <w:bCs/>
          <w:color w:val="auto"/>
          <w:kern w:val="0"/>
          <w:sz w:val="24"/>
        </w:rPr>
        <w:t>平方米，建筑面积</w:t>
      </w:r>
      <w:r>
        <w:rPr>
          <w:rFonts w:hint="eastAsia" w:ascii="宋体" w:hAnsi="宋体" w:cs="宋体"/>
          <w:bCs/>
          <w:color w:val="auto"/>
          <w:kern w:val="0"/>
          <w:sz w:val="24"/>
          <w:lang w:val="en-US" w:eastAsia="zh-CN"/>
        </w:rPr>
        <w:t>33709.96</w:t>
      </w:r>
      <w:r>
        <w:rPr>
          <w:rFonts w:hint="eastAsia" w:ascii="宋体" w:hAnsi="宋体" w:cs="宋体"/>
          <w:bCs/>
          <w:color w:val="auto"/>
          <w:kern w:val="0"/>
          <w:sz w:val="24"/>
        </w:rPr>
        <w:t>平方米，其中住宅建筑面积约</w:t>
      </w:r>
      <w:r>
        <w:rPr>
          <w:rFonts w:hint="eastAsia" w:ascii="宋体" w:hAnsi="宋体" w:cs="宋体"/>
          <w:bCs/>
          <w:color w:val="auto"/>
          <w:kern w:val="0"/>
          <w:sz w:val="24"/>
          <w:lang w:val="en-US" w:eastAsia="zh-CN"/>
        </w:rPr>
        <w:t>4692</w:t>
      </w:r>
      <w:r>
        <w:rPr>
          <w:rFonts w:hint="eastAsia" w:ascii="宋体" w:hAnsi="宋体" w:cs="宋体"/>
          <w:bCs/>
          <w:color w:val="auto"/>
          <w:kern w:val="0"/>
          <w:sz w:val="24"/>
        </w:rPr>
        <w:t>平方米，容积率：</w:t>
      </w:r>
      <w:r>
        <w:rPr>
          <w:rFonts w:ascii="宋体" w:hAnsi="宋体" w:cs="宋体"/>
          <w:bCs/>
          <w:color w:val="auto"/>
          <w:kern w:val="0"/>
          <w:sz w:val="24"/>
        </w:rPr>
        <w:t>2.</w:t>
      </w:r>
      <w:r>
        <w:rPr>
          <w:rFonts w:hint="eastAsia" w:ascii="宋体" w:hAnsi="宋体" w:cs="宋体"/>
          <w:bCs/>
          <w:color w:val="auto"/>
          <w:kern w:val="0"/>
          <w:sz w:val="24"/>
          <w:lang w:val="en-US" w:eastAsia="zh-CN"/>
        </w:rPr>
        <w:t>55</w:t>
      </w:r>
      <w:r>
        <w:rPr>
          <w:rFonts w:ascii="宋体" w:hAnsi="宋体" w:cs="宋体"/>
          <w:bCs/>
          <w:color w:val="auto"/>
          <w:kern w:val="0"/>
          <w:sz w:val="24"/>
        </w:rPr>
        <w:t>%</w:t>
      </w:r>
      <w:r>
        <w:rPr>
          <w:rFonts w:hint="eastAsia" w:ascii="宋体" w:hAnsi="宋体" w:cs="宋体"/>
          <w:bCs/>
          <w:color w:val="auto"/>
          <w:kern w:val="0"/>
          <w:sz w:val="24"/>
        </w:rPr>
        <w:t>，绿化率：</w:t>
      </w:r>
      <w:r>
        <w:rPr>
          <w:rFonts w:hint="eastAsia" w:ascii="宋体" w:hAnsi="宋体" w:cs="宋体"/>
          <w:bCs/>
          <w:color w:val="auto"/>
          <w:kern w:val="0"/>
          <w:sz w:val="24"/>
          <w:lang w:val="en-US" w:eastAsia="zh-CN"/>
        </w:rPr>
        <w:t>30.08</w:t>
      </w:r>
      <w:r>
        <w:rPr>
          <w:rFonts w:ascii="宋体" w:hAnsi="宋体" w:cs="宋体"/>
          <w:bCs/>
          <w:color w:val="auto"/>
          <w:kern w:val="0"/>
          <w:sz w:val="24"/>
        </w:rPr>
        <w:t>%</w:t>
      </w:r>
      <w:r>
        <w:rPr>
          <w:rFonts w:hint="eastAsia" w:ascii="宋体" w:hAnsi="宋体" w:cs="宋体"/>
          <w:bCs/>
          <w:color w:val="auto"/>
          <w:kern w:val="0"/>
          <w:sz w:val="24"/>
        </w:rPr>
        <w:t>，建筑密度：</w:t>
      </w:r>
      <w:r>
        <w:rPr>
          <w:rFonts w:hint="eastAsia" w:ascii="宋体" w:hAnsi="宋体" w:cs="宋体"/>
          <w:bCs/>
          <w:color w:val="auto"/>
          <w:kern w:val="0"/>
          <w:sz w:val="24"/>
          <w:lang w:val="en-US" w:eastAsia="zh-CN"/>
        </w:rPr>
        <w:t>29.95</w:t>
      </w:r>
      <w:r>
        <w:rPr>
          <w:rFonts w:ascii="宋体" w:hAnsi="宋体" w:cs="宋体"/>
          <w:bCs/>
          <w:color w:val="auto"/>
          <w:kern w:val="0"/>
          <w:sz w:val="24"/>
        </w:rPr>
        <w:t>%</w:t>
      </w:r>
      <w:r>
        <w:rPr>
          <w:rFonts w:hint="eastAsia" w:ascii="宋体" w:hAnsi="宋体" w:cs="宋体"/>
          <w:bCs/>
          <w:color w:val="auto"/>
          <w:kern w:val="0"/>
          <w:sz w:val="24"/>
        </w:rPr>
        <w:t>。项目由</w:t>
      </w:r>
      <w:r>
        <w:rPr>
          <w:rFonts w:hint="eastAsia" w:ascii="宋体" w:hAnsi="宋体" w:cs="宋体"/>
          <w:bCs/>
          <w:color w:val="auto"/>
          <w:kern w:val="0"/>
          <w:sz w:val="24"/>
          <w:lang w:val="en-US" w:eastAsia="zh-CN"/>
        </w:rPr>
        <w:t>3</w:t>
      </w:r>
      <w:r>
        <w:rPr>
          <w:rFonts w:hint="eastAsia" w:ascii="宋体" w:hAnsi="宋体" w:cs="宋体"/>
          <w:bCs/>
          <w:color w:val="auto"/>
          <w:kern w:val="0"/>
          <w:sz w:val="24"/>
        </w:rPr>
        <w:t>栋商住楼组成，高层其中住宅建筑面积约</w:t>
      </w:r>
      <w:r>
        <w:rPr>
          <w:rFonts w:hint="eastAsia" w:ascii="宋体" w:hAnsi="宋体" w:cs="宋体"/>
          <w:bCs/>
          <w:color w:val="auto"/>
          <w:kern w:val="0"/>
          <w:sz w:val="24"/>
          <w:lang w:val="en-US" w:eastAsia="zh-CN"/>
        </w:rPr>
        <w:t>4692</w:t>
      </w:r>
      <w:r>
        <w:rPr>
          <w:rFonts w:hint="eastAsia" w:ascii="宋体" w:hAnsi="宋体" w:cs="宋体"/>
          <w:bCs/>
          <w:color w:val="auto"/>
          <w:kern w:val="0"/>
          <w:sz w:val="24"/>
        </w:rPr>
        <w:t>平方米。</w:t>
      </w:r>
    </w:p>
    <w:p>
      <w:pPr>
        <w:widowControl/>
        <w:spacing w:line="440" w:lineRule="atLeast"/>
        <w:ind w:left="239" w:leftChars="114" w:firstLine="0" w:firstLineChars="0"/>
        <w:rPr>
          <w:rFonts w:hint="eastAsia" w:ascii="宋体" w:hAnsi="宋体" w:cs="宋体"/>
          <w:bCs/>
          <w:color w:val="auto"/>
          <w:kern w:val="0"/>
          <w:sz w:val="24"/>
        </w:rPr>
      </w:pPr>
      <w:r>
        <w:rPr>
          <w:rFonts w:hint="eastAsia" w:ascii="宋体" w:hAnsi="宋体" w:cs="宋体"/>
          <w:bCs/>
          <w:color w:val="auto"/>
          <w:kern w:val="0"/>
          <w:sz w:val="24"/>
        </w:rPr>
        <w:t>规划居住户数</w:t>
      </w:r>
      <w:r>
        <w:rPr>
          <w:rFonts w:hint="eastAsia" w:ascii="宋体" w:hAnsi="宋体" w:cs="宋体"/>
          <w:bCs/>
          <w:color w:val="auto"/>
          <w:kern w:val="0"/>
          <w:sz w:val="24"/>
          <w:lang w:val="en-US" w:eastAsia="zh-CN"/>
        </w:rPr>
        <w:t>58</w:t>
      </w:r>
      <w:r>
        <w:rPr>
          <w:rFonts w:hint="eastAsia" w:ascii="宋体" w:hAnsi="宋体" w:cs="宋体"/>
          <w:bCs/>
          <w:color w:val="auto"/>
          <w:kern w:val="0"/>
          <w:sz w:val="24"/>
        </w:rPr>
        <w:t>户，项目共配置垂直升降客梯</w:t>
      </w:r>
      <w:r>
        <w:rPr>
          <w:rFonts w:hint="eastAsia" w:ascii="宋体" w:hAnsi="宋体" w:cs="宋体"/>
          <w:bCs/>
          <w:color w:val="auto"/>
          <w:kern w:val="0"/>
          <w:sz w:val="24"/>
          <w:lang w:val="en-US" w:eastAsia="zh-CN"/>
        </w:rPr>
        <w:t>6</w:t>
      </w:r>
      <w:r>
        <w:rPr>
          <w:rFonts w:hint="eastAsia" w:ascii="宋体" w:hAnsi="宋体" w:cs="宋体"/>
          <w:bCs/>
          <w:color w:val="auto"/>
          <w:kern w:val="0"/>
          <w:sz w:val="24"/>
        </w:rPr>
        <w:t>台，地面停车位</w:t>
      </w:r>
      <w:r>
        <w:rPr>
          <w:rFonts w:hint="eastAsia" w:ascii="宋体" w:hAnsi="宋体" w:cs="宋体"/>
          <w:bCs/>
          <w:color w:val="auto"/>
          <w:kern w:val="0"/>
          <w:sz w:val="24"/>
          <w:lang w:val="en-US" w:eastAsia="zh-CN"/>
        </w:rPr>
        <w:t>240</w:t>
      </w:r>
      <w:r>
        <w:rPr>
          <w:rFonts w:hint="eastAsia" w:ascii="宋体" w:hAnsi="宋体" w:cs="宋体"/>
          <w:bCs/>
          <w:color w:val="auto"/>
          <w:kern w:val="0"/>
          <w:sz w:val="24"/>
        </w:rPr>
        <w:t>个。配建单独物业管理用房一栋，位于</w:t>
      </w:r>
      <w:r>
        <w:rPr>
          <w:rFonts w:ascii="宋体" w:hAnsi="宋体" w:cs="宋体"/>
          <w:bCs/>
          <w:color w:val="auto"/>
          <w:kern w:val="0"/>
          <w:sz w:val="24"/>
        </w:rPr>
        <w:t>1</w:t>
      </w:r>
      <w:r>
        <w:rPr>
          <w:rFonts w:hint="eastAsia" w:ascii="宋体" w:hAnsi="宋体" w:cs="宋体"/>
          <w:bCs/>
          <w:color w:val="auto"/>
          <w:kern w:val="0"/>
          <w:sz w:val="24"/>
        </w:rPr>
        <w:t>号楼旁。招标单位依照《湖南省实施</w:t>
      </w:r>
      <w:r>
        <w:rPr>
          <w:rFonts w:ascii="宋体" w:hAnsi="宋体" w:cs="宋体"/>
          <w:bCs/>
          <w:color w:val="auto"/>
          <w:kern w:val="0"/>
          <w:sz w:val="24"/>
        </w:rPr>
        <w:t>&lt;</w:t>
      </w:r>
      <w:r>
        <w:rPr>
          <w:rFonts w:hint="eastAsia" w:ascii="宋体" w:hAnsi="宋体" w:cs="宋体"/>
          <w:bCs/>
          <w:color w:val="auto"/>
          <w:kern w:val="0"/>
          <w:sz w:val="24"/>
        </w:rPr>
        <w:t>物业管理条例</w:t>
      </w:r>
      <w:r>
        <w:rPr>
          <w:rFonts w:ascii="宋体" w:hAnsi="宋体" w:cs="宋体"/>
          <w:bCs/>
          <w:color w:val="auto"/>
          <w:kern w:val="0"/>
          <w:sz w:val="24"/>
        </w:rPr>
        <w:t>&gt;</w:t>
      </w:r>
      <w:r>
        <w:rPr>
          <w:rFonts w:hint="eastAsia" w:ascii="宋体" w:hAnsi="宋体" w:cs="宋体"/>
          <w:bCs/>
          <w:color w:val="auto"/>
          <w:kern w:val="0"/>
          <w:sz w:val="24"/>
        </w:rPr>
        <w:t>办法》《永州市物业管理用房规定》做好装修。</w:t>
      </w:r>
    </w:p>
    <w:p>
      <w:pPr>
        <w:pStyle w:val="2"/>
        <w:rPr>
          <w:rFonts w:hint="default" w:eastAsiaTheme="minorEastAsia"/>
          <w:color w:val="auto"/>
          <w:lang w:val="en-US" w:eastAsia="zh-CN"/>
        </w:rPr>
      </w:pPr>
      <w:r>
        <w:rPr>
          <w:rFonts w:hint="eastAsia" w:ascii="宋体" w:hAnsi="宋体" w:cs="宋体"/>
          <w:bCs/>
          <w:color w:val="auto"/>
          <w:kern w:val="0"/>
          <w:sz w:val="24"/>
          <w:lang w:val="en-US" w:eastAsia="zh-CN"/>
        </w:rPr>
        <w:t>3、投标单位对两个标段同时投标，共同报价。</w:t>
      </w:r>
    </w:p>
    <w:p>
      <w:pPr>
        <w:widowControl/>
        <w:spacing w:line="440" w:lineRule="atLeast"/>
        <w:ind w:firstLine="482" w:firstLineChars="200"/>
        <w:rPr>
          <w:rFonts w:cs="Calibri"/>
          <w:color w:val="auto"/>
          <w:szCs w:val="21"/>
        </w:rPr>
      </w:pPr>
      <w:r>
        <w:rPr>
          <w:rFonts w:hint="eastAsia" w:ascii="宋体" w:hAnsi="宋体" w:cs="宋体"/>
          <w:b/>
          <w:color w:val="auto"/>
          <w:kern w:val="0"/>
          <w:sz w:val="24"/>
        </w:rPr>
        <w:t>二、招标范围</w:t>
      </w:r>
    </w:p>
    <w:p>
      <w:pPr>
        <w:widowControl/>
        <w:spacing w:line="440" w:lineRule="atLeast"/>
        <w:ind w:left="353"/>
        <w:rPr>
          <w:rFonts w:cs="Calibri"/>
          <w:color w:val="auto"/>
          <w:szCs w:val="21"/>
        </w:rPr>
      </w:pPr>
      <w:r>
        <w:rPr>
          <w:rFonts w:hint="eastAsia" w:ascii="宋体" w:hAnsi="宋体" w:cs="宋体"/>
          <w:color w:val="auto"/>
          <w:kern w:val="0"/>
          <w:sz w:val="24"/>
        </w:rPr>
        <w:t>（一）招标标的：</w:t>
      </w:r>
      <w:r>
        <w:rPr>
          <w:rFonts w:hint="eastAsia" w:ascii="宋体" w:hAnsi="宋体" w:cs="宋体"/>
          <w:color w:val="auto"/>
          <w:kern w:val="0"/>
          <w:sz w:val="24"/>
          <w:lang w:eastAsia="zh-CN"/>
        </w:rPr>
        <w:t>双牌县佳兴名城住宅小区和嘉信国际酒店前期物业管理</w:t>
      </w:r>
      <w:r>
        <w:rPr>
          <w:rFonts w:hint="eastAsia" w:ascii="宋体" w:hAnsi="宋体" w:cs="宋体"/>
          <w:color w:val="auto"/>
          <w:kern w:val="0"/>
          <w:sz w:val="24"/>
        </w:rPr>
        <w:t>服务。</w:t>
      </w:r>
    </w:p>
    <w:p>
      <w:pPr>
        <w:widowControl/>
        <w:spacing w:line="440" w:lineRule="atLeast"/>
        <w:ind w:left="353"/>
        <w:rPr>
          <w:rFonts w:cs="Calibri"/>
          <w:color w:val="auto"/>
          <w:szCs w:val="21"/>
        </w:rPr>
      </w:pPr>
      <w:r>
        <w:rPr>
          <w:rFonts w:hint="eastAsia" w:ascii="宋体" w:hAnsi="宋体" w:cs="宋体"/>
          <w:color w:val="auto"/>
          <w:kern w:val="0"/>
          <w:sz w:val="24"/>
        </w:rPr>
        <w:t>（二）接管日期：合同交房日期或招标人书面通知之日。</w:t>
      </w:r>
    </w:p>
    <w:p>
      <w:pPr>
        <w:widowControl/>
        <w:spacing w:line="440" w:lineRule="atLeast"/>
        <w:ind w:left="239" w:firstLine="112"/>
        <w:rPr>
          <w:rFonts w:cs="Calibri"/>
          <w:color w:val="auto"/>
          <w:szCs w:val="21"/>
        </w:rPr>
      </w:pPr>
      <w:r>
        <w:rPr>
          <w:rFonts w:hint="eastAsia" w:ascii="宋体" w:hAnsi="宋体" w:cs="宋体"/>
          <w:color w:val="auto"/>
          <w:kern w:val="0"/>
          <w:sz w:val="24"/>
        </w:rPr>
        <w:t>（三）服务期限：自接管之日起，期限为</w:t>
      </w:r>
      <w:r>
        <w:rPr>
          <w:rFonts w:hint="eastAsia" w:ascii="宋体" w:hAnsi="宋体" w:cs="宋体"/>
          <w:color w:val="auto"/>
          <w:kern w:val="0"/>
          <w:sz w:val="24"/>
          <w:lang w:eastAsia="zh-CN"/>
        </w:rPr>
        <w:t>3年</w:t>
      </w:r>
      <w:r>
        <w:rPr>
          <w:rFonts w:hint="eastAsia" w:ascii="宋体" w:hAnsi="宋体" w:cs="宋体"/>
          <w:color w:val="auto"/>
          <w:kern w:val="0"/>
          <w:sz w:val="24"/>
        </w:rPr>
        <w:t>；但在本期限内，业主委员会代表全体业主与物业服务企业签订的物业服务合同生效时，本服务期限自动终止。</w:t>
      </w:r>
    </w:p>
    <w:p>
      <w:pPr>
        <w:widowControl/>
        <w:spacing w:line="440" w:lineRule="atLeast"/>
        <w:ind w:left="239" w:firstLine="113"/>
        <w:rPr>
          <w:rFonts w:cs="Calibri"/>
          <w:color w:val="auto"/>
          <w:szCs w:val="21"/>
        </w:rPr>
      </w:pPr>
      <w:r>
        <w:rPr>
          <w:rFonts w:hint="eastAsia" w:ascii="宋体" w:hAnsi="宋体" w:cs="宋体"/>
          <w:b/>
          <w:color w:val="auto"/>
          <w:kern w:val="0"/>
          <w:sz w:val="24"/>
        </w:rPr>
        <w:t>三、投标人资格要求</w:t>
      </w:r>
    </w:p>
    <w:p>
      <w:pPr>
        <w:widowControl/>
        <w:spacing w:line="440" w:lineRule="atLeast"/>
        <w:ind w:firstLine="360"/>
        <w:rPr>
          <w:rFonts w:cs="Calibri"/>
          <w:color w:val="auto"/>
          <w:szCs w:val="21"/>
        </w:rPr>
      </w:pPr>
      <w:r>
        <w:rPr>
          <w:rFonts w:hint="eastAsia" w:ascii="宋体" w:hAnsi="宋体" w:cs="宋体"/>
          <w:color w:val="auto"/>
          <w:kern w:val="0"/>
          <w:sz w:val="24"/>
        </w:rPr>
        <w:t>投标申请人须同时满足以下条件：</w:t>
      </w:r>
    </w:p>
    <w:p>
      <w:pPr>
        <w:widowControl/>
        <w:spacing w:line="315" w:lineRule="atLeast"/>
        <w:ind w:firstLine="352"/>
        <w:rPr>
          <w:rFonts w:cs="Calibri"/>
          <w:color w:val="auto"/>
          <w:szCs w:val="21"/>
        </w:rPr>
      </w:pPr>
      <w:r>
        <w:rPr>
          <w:rFonts w:ascii="宋体" w:hAnsi="宋体" w:cs="宋体"/>
          <w:color w:val="auto"/>
          <w:kern w:val="0"/>
          <w:sz w:val="24"/>
        </w:rPr>
        <w:t>1</w:t>
      </w:r>
      <w:r>
        <w:rPr>
          <w:rFonts w:hint="eastAsia" w:ascii="宋体" w:hAnsi="宋体" w:cs="宋体"/>
          <w:color w:val="auto"/>
          <w:kern w:val="0"/>
          <w:sz w:val="24"/>
        </w:rPr>
        <w:t>、具有物业服务企业资质或在永州市物业管理办公室完成企业备案；</w:t>
      </w:r>
    </w:p>
    <w:p>
      <w:pPr>
        <w:widowControl/>
        <w:spacing w:line="315" w:lineRule="atLeast"/>
        <w:ind w:firstLine="352"/>
        <w:rPr>
          <w:rFonts w:cs="Calibri"/>
          <w:color w:val="auto"/>
          <w:szCs w:val="21"/>
        </w:rPr>
      </w:pPr>
      <w:r>
        <w:rPr>
          <w:rFonts w:ascii="宋体" w:hAnsi="宋体" w:cs="宋体"/>
          <w:color w:val="auto"/>
          <w:kern w:val="0"/>
          <w:sz w:val="24"/>
        </w:rPr>
        <w:t>2</w:t>
      </w:r>
      <w:r>
        <w:rPr>
          <w:rFonts w:hint="eastAsia" w:ascii="宋体" w:hAnsi="宋体" w:cs="宋体"/>
          <w:color w:val="auto"/>
          <w:kern w:val="0"/>
          <w:sz w:val="24"/>
        </w:rPr>
        <w:t>、拟派驻招标项目的负责人具备物业管理师资格或物业服务企业经理岗位证；</w:t>
      </w:r>
    </w:p>
    <w:p>
      <w:pPr>
        <w:widowControl/>
        <w:spacing w:line="315" w:lineRule="atLeast"/>
        <w:ind w:firstLine="352"/>
        <w:rPr>
          <w:rFonts w:cs="Calibri"/>
          <w:color w:val="auto"/>
          <w:szCs w:val="21"/>
        </w:rPr>
      </w:pPr>
      <w:r>
        <w:rPr>
          <w:rFonts w:ascii="宋体" w:hAnsi="宋体" w:cs="宋体"/>
          <w:color w:val="auto"/>
          <w:kern w:val="0"/>
          <w:sz w:val="24"/>
        </w:rPr>
        <w:t>3</w:t>
      </w:r>
      <w:r>
        <w:rPr>
          <w:rFonts w:hint="eastAsia" w:ascii="宋体" w:hAnsi="宋体" w:cs="宋体"/>
          <w:color w:val="auto"/>
          <w:kern w:val="0"/>
          <w:sz w:val="24"/>
        </w:rPr>
        <w:t>、投标报名前三年未受过市、县（区）物业管理行政主管部门处罚；</w:t>
      </w:r>
    </w:p>
    <w:p>
      <w:pPr>
        <w:widowControl/>
        <w:spacing w:line="315" w:lineRule="atLeast"/>
        <w:ind w:firstLine="352"/>
        <w:rPr>
          <w:rFonts w:hint="eastAsia" w:eastAsiaTheme="minorEastAsia"/>
          <w:color w:val="auto"/>
          <w:lang w:val="en-US" w:eastAsia="zh-CN"/>
        </w:rPr>
      </w:pPr>
      <w:r>
        <w:rPr>
          <w:rFonts w:ascii="宋体" w:hAnsi="宋体" w:cs="宋体"/>
          <w:color w:val="auto"/>
          <w:kern w:val="0"/>
          <w:sz w:val="24"/>
        </w:rPr>
        <w:t>4</w:t>
      </w:r>
      <w:r>
        <w:rPr>
          <w:rFonts w:hint="eastAsia" w:ascii="宋体" w:hAnsi="宋体" w:cs="宋体"/>
          <w:color w:val="auto"/>
          <w:kern w:val="0"/>
          <w:sz w:val="24"/>
        </w:rPr>
        <w:t>、具有协助招标人开展业主入住等相关工作的能力和条件。</w:t>
      </w:r>
    </w:p>
    <w:p>
      <w:pPr>
        <w:widowControl/>
        <w:spacing w:line="315" w:lineRule="atLeast"/>
        <w:ind w:firstLine="482"/>
        <w:rPr>
          <w:rFonts w:cs="Calibri"/>
          <w:color w:val="auto"/>
          <w:szCs w:val="21"/>
        </w:rPr>
      </w:pPr>
      <w:r>
        <w:rPr>
          <w:rFonts w:hint="eastAsia" w:ascii="宋体" w:hAnsi="宋体" w:cs="宋体"/>
          <w:b/>
          <w:color w:val="auto"/>
          <w:kern w:val="0"/>
          <w:sz w:val="24"/>
        </w:rPr>
        <w:t>四、投标人资格审查和招标文件的获取</w:t>
      </w:r>
    </w:p>
    <w:p>
      <w:pPr>
        <w:widowControl/>
        <w:spacing w:line="315" w:lineRule="atLeast"/>
        <w:ind w:firstLine="360"/>
        <w:rPr>
          <w:rFonts w:cs="Calibri"/>
          <w:color w:val="auto"/>
          <w:szCs w:val="21"/>
        </w:rPr>
      </w:pPr>
      <w:r>
        <w:rPr>
          <w:rFonts w:ascii="宋体" w:hAnsi="宋体" w:cs="宋体"/>
          <w:color w:val="auto"/>
          <w:kern w:val="0"/>
          <w:sz w:val="24"/>
        </w:rPr>
        <w:t>1</w:t>
      </w:r>
      <w:r>
        <w:rPr>
          <w:rFonts w:hint="eastAsia" w:ascii="宋体" w:hAnsi="宋体" w:cs="宋体"/>
          <w:color w:val="auto"/>
          <w:kern w:val="0"/>
          <w:sz w:val="24"/>
        </w:rPr>
        <w:t>、</w:t>
      </w:r>
      <w:r>
        <w:rPr>
          <w:rFonts w:ascii="宋体" w:hAnsi="宋体" w:cs="宋体"/>
          <w:color w:val="auto"/>
          <w:kern w:val="0"/>
          <w:sz w:val="24"/>
        </w:rPr>
        <w:t xml:space="preserve"> </w:t>
      </w:r>
      <w:r>
        <w:rPr>
          <w:rFonts w:hint="eastAsia" w:ascii="宋体" w:hAnsi="宋体" w:cs="宋体"/>
          <w:color w:val="auto"/>
          <w:kern w:val="0"/>
          <w:sz w:val="24"/>
        </w:rPr>
        <w:t>本次招标的资格审查采用开标后资格审查。</w:t>
      </w:r>
    </w:p>
    <w:p>
      <w:pPr>
        <w:widowControl/>
        <w:spacing w:line="315" w:lineRule="atLeast"/>
        <w:ind w:firstLine="352"/>
        <w:rPr>
          <w:rFonts w:hint="eastAsia" w:cs="Calibri" w:eastAsiaTheme="minorEastAsia"/>
          <w:color w:val="auto"/>
          <w:szCs w:val="21"/>
          <w:lang w:eastAsia="zh-CN"/>
        </w:rPr>
      </w:pPr>
      <w:r>
        <w:rPr>
          <w:rFonts w:ascii="宋体" w:hAnsi="宋体" w:cs="宋体"/>
          <w:color w:val="auto"/>
          <w:kern w:val="0"/>
          <w:sz w:val="24"/>
        </w:rPr>
        <w:t>2</w:t>
      </w:r>
      <w:r>
        <w:rPr>
          <w:rFonts w:hint="eastAsia" w:ascii="宋体" w:hAnsi="宋体" w:cs="宋体"/>
          <w:color w:val="auto"/>
          <w:kern w:val="0"/>
          <w:sz w:val="24"/>
        </w:rPr>
        <w:t>、</w:t>
      </w:r>
      <w:r>
        <w:rPr>
          <w:rFonts w:hint="eastAsia" w:ascii="宋体" w:hAnsi="宋体" w:cs="宋体"/>
          <w:color w:val="auto"/>
          <w:kern w:val="0"/>
          <w:sz w:val="24"/>
          <w:lang w:eastAsia="zh-CN"/>
        </w:rPr>
        <w:t>招标文件做为本公告附件在本公告发布网站可直接下载。</w:t>
      </w:r>
    </w:p>
    <w:p>
      <w:pPr>
        <w:widowControl/>
        <w:spacing w:line="315" w:lineRule="atLeast"/>
        <w:ind w:left="359"/>
        <w:rPr>
          <w:rFonts w:cs="Calibri"/>
          <w:color w:val="auto"/>
          <w:szCs w:val="21"/>
        </w:rPr>
      </w:pPr>
      <w:r>
        <w:rPr>
          <w:rFonts w:ascii="宋体" w:hAnsi="宋体" w:cs="宋体"/>
          <w:color w:val="auto"/>
          <w:kern w:val="0"/>
          <w:sz w:val="24"/>
        </w:rPr>
        <w:t>3</w:t>
      </w:r>
      <w:r>
        <w:rPr>
          <w:rFonts w:hint="eastAsia" w:ascii="宋体" w:hAnsi="宋体" w:cs="宋体"/>
          <w:color w:val="auto"/>
          <w:kern w:val="0"/>
          <w:sz w:val="24"/>
        </w:rPr>
        <w:t>、投标报名需递交的资料</w:t>
      </w:r>
    </w:p>
    <w:p>
      <w:pPr>
        <w:widowControl/>
        <w:spacing w:line="315" w:lineRule="atLeast"/>
        <w:ind w:left="359"/>
        <w:rPr>
          <w:rFonts w:cs="Calibri"/>
          <w:color w:val="auto"/>
          <w:szCs w:val="21"/>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）工商营业执照副本复印件</w:t>
      </w:r>
      <w:r>
        <w:rPr>
          <w:rFonts w:ascii="宋体" w:cs="宋体"/>
          <w:color w:val="auto"/>
          <w:kern w:val="0"/>
          <w:sz w:val="24"/>
        </w:rPr>
        <w:t>,</w:t>
      </w:r>
      <w:r>
        <w:rPr>
          <w:rFonts w:hint="eastAsia" w:ascii="宋体" w:hAnsi="宋体" w:cs="宋体"/>
          <w:color w:val="auto"/>
          <w:kern w:val="0"/>
          <w:sz w:val="24"/>
        </w:rPr>
        <w:t>带原件备验；</w:t>
      </w:r>
    </w:p>
    <w:p>
      <w:pPr>
        <w:widowControl/>
        <w:spacing w:line="315" w:lineRule="atLeast"/>
        <w:ind w:left="359"/>
        <w:rPr>
          <w:rFonts w:cs="Calibri"/>
          <w:color w:val="auto"/>
          <w:szCs w:val="21"/>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）物业管理企业资质证书副本复印件，带原件备验；</w:t>
      </w:r>
    </w:p>
    <w:p>
      <w:pPr>
        <w:widowControl/>
        <w:spacing w:line="315" w:lineRule="atLeast"/>
        <w:ind w:firstLine="360"/>
        <w:rPr>
          <w:rFonts w:cs="Calibri"/>
          <w:color w:val="auto"/>
          <w:szCs w:val="21"/>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）法人代表证明书原件及法人代表身份证复印件</w:t>
      </w:r>
      <w:r>
        <w:rPr>
          <w:rFonts w:ascii="宋体" w:cs="宋体"/>
          <w:color w:val="auto"/>
          <w:kern w:val="0"/>
          <w:sz w:val="24"/>
        </w:rPr>
        <w:t>,</w:t>
      </w:r>
      <w:r>
        <w:rPr>
          <w:rFonts w:hint="eastAsia" w:ascii="宋体" w:hAnsi="宋体" w:cs="宋体"/>
          <w:color w:val="auto"/>
          <w:kern w:val="0"/>
          <w:sz w:val="24"/>
        </w:rPr>
        <w:t>法人代表授权委托书原件</w:t>
      </w:r>
      <w:r>
        <w:rPr>
          <w:rFonts w:ascii="宋体" w:cs="宋体"/>
          <w:color w:val="auto"/>
          <w:kern w:val="0"/>
          <w:sz w:val="24"/>
        </w:rPr>
        <w:t>,</w:t>
      </w:r>
      <w:r>
        <w:rPr>
          <w:rFonts w:hint="eastAsia" w:ascii="宋体" w:hAnsi="宋体" w:cs="宋体"/>
          <w:color w:val="auto"/>
          <w:kern w:val="0"/>
          <w:sz w:val="24"/>
        </w:rPr>
        <w:t>受权代理人身份证原件和复印件。</w:t>
      </w:r>
    </w:p>
    <w:p>
      <w:pPr>
        <w:widowControl/>
        <w:spacing w:line="315" w:lineRule="atLeast"/>
        <w:ind w:firstLine="360"/>
        <w:rPr>
          <w:rFonts w:cs="Calibri"/>
          <w:color w:val="auto"/>
          <w:szCs w:val="21"/>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）拟派驻的项目负责人的物业管理师证书（或物业服务企业经理岗位证书）复印件，验原件。</w:t>
      </w:r>
    </w:p>
    <w:p>
      <w:pPr>
        <w:widowControl/>
        <w:spacing w:line="315" w:lineRule="atLeast"/>
        <w:ind w:firstLine="360"/>
        <w:rPr>
          <w:rFonts w:cs="Calibri"/>
          <w:color w:val="auto"/>
          <w:szCs w:val="21"/>
        </w:rPr>
      </w:pPr>
      <w:r>
        <w:rPr>
          <w:rFonts w:hint="eastAsia" w:ascii="宋体" w:hAnsi="宋体" w:cs="宋体"/>
          <w:color w:val="auto"/>
          <w:kern w:val="0"/>
          <w:sz w:val="24"/>
        </w:rPr>
        <w:t>（</w:t>
      </w:r>
      <w:r>
        <w:rPr>
          <w:rFonts w:ascii="宋体" w:hAnsi="宋体" w:cs="宋体"/>
          <w:color w:val="auto"/>
          <w:kern w:val="0"/>
          <w:sz w:val="24"/>
        </w:rPr>
        <w:t>5</w:t>
      </w:r>
      <w:r>
        <w:rPr>
          <w:rFonts w:hint="eastAsia" w:ascii="宋体" w:hAnsi="宋体" w:cs="宋体"/>
          <w:color w:val="auto"/>
          <w:kern w:val="0"/>
          <w:sz w:val="24"/>
        </w:rPr>
        <w:t>）企业注册地房地产行政主管部门开具的无不良信用记录证明。</w:t>
      </w:r>
    </w:p>
    <w:p>
      <w:pPr>
        <w:widowControl/>
        <w:spacing w:line="315" w:lineRule="atLeast"/>
        <w:ind w:firstLine="360"/>
        <w:rPr>
          <w:rFonts w:cs="Calibri"/>
          <w:color w:val="auto"/>
          <w:szCs w:val="21"/>
        </w:rPr>
      </w:pPr>
      <w:r>
        <w:rPr>
          <w:rFonts w:ascii="宋体" w:cs="宋体"/>
          <w:color w:val="auto"/>
          <w:kern w:val="0"/>
          <w:sz w:val="24"/>
        </w:rPr>
        <w:t> </w:t>
      </w:r>
      <w:r>
        <w:rPr>
          <w:rFonts w:hint="eastAsia" w:ascii="宋体" w:hAnsi="宋体" w:cs="宋体"/>
          <w:color w:val="auto"/>
          <w:kern w:val="0"/>
          <w:sz w:val="24"/>
        </w:rPr>
        <w:t>投标人须按上述要求提供报名资料，以上资料均一式一份，并按上述顺序装订，所有复印件需加盖物业服务企业公章。上述资料有任何一项缺陷，招标人不予受理。</w:t>
      </w:r>
    </w:p>
    <w:p>
      <w:pPr>
        <w:widowControl/>
        <w:spacing w:line="315" w:lineRule="atLeast"/>
        <w:ind w:firstLine="480"/>
        <w:rPr>
          <w:rFonts w:cs="Calibri"/>
          <w:color w:val="auto"/>
          <w:szCs w:val="21"/>
        </w:rPr>
      </w:pPr>
      <w:r>
        <w:rPr>
          <w:rFonts w:ascii="宋体" w:hAnsi="宋体" w:cs="宋体"/>
          <w:color w:val="auto"/>
          <w:kern w:val="0"/>
          <w:sz w:val="24"/>
        </w:rPr>
        <w:t>4</w:t>
      </w:r>
      <w:r>
        <w:rPr>
          <w:rFonts w:hint="eastAsia" w:ascii="宋体" w:hAnsi="宋体" w:cs="宋体"/>
          <w:color w:val="auto"/>
          <w:kern w:val="0"/>
          <w:sz w:val="24"/>
        </w:rPr>
        <w:t>、本次招标的投标报名、购买招标文件的地点设在</w:t>
      </w:r>
      <w:r>
        <w:rPr>
          <w:rFonts w:hint="eastAsia" w:cs="宋体"/>
          <w:color w:val="auto"/>
          <w:sz w:val="24"/>
          <w:lang w:eastAsia="zh-CN"/>
        </w:rPr>
        <w:t>湖南博凯建设有限公司</w:t>
      </w:r>
      <w:r>
        <w:rPr>
          <w:rFonts w:hint="eastAsia" w:ascii="宋体" w:hAnsi="宋体" w:cs="宋体"/>
          <w:color w:val="auto"/>
          <w:kern w:val="0"/>
          <w:sz w:val="24"/>
        </w:rPr>
        <w:t>。</w:t>
      </w:r>
    </w:p>
    <w:p>
      <w:pPr>
        <w:widowControl/>
        <w:spacing w:line="315" w:lineRule="atLeast"/>
        <w:ind w:firstLine="241"/>
        <w:rPr>
          <w:rFonts w:cs="Calibri"/>
          <w:color w:val="auto"/>
          <w:szCs w:val="21"/>
        </w:rPr>
      </w:pPr>
      <w:r>
        <w:rPr>
          <w:rFonts w:hint="eastAsia" w:ascii="宋体" w:hAnsi="宋体" w:cs="宋体"/>
          <w:b/>
          <w:color w:val="auto"/>
          <w:kern w:val="0"/>
          <w:sz w:val="24"/>
        </w:rPr>
        <w:t>五、招标工作有关的其他事项</w:t>
      </w:r>
    </w:p>
    <w:p>
      <w:pPr>
        <w:widowControl/>
        <w:spacing w:line="315" w:lineRule="atLeast"/>
        <w:ind w:firstLine="360"/>
        <w:rPr>
          <w:rFonts w:cs="Calibri"/>
          <w:color w:val="auto"/>
          <w:szCs w:val="21"/>
        </w:rPr>
      </w:pPr>
      <w:r>
        <w:rPr>
          <w:rFonts w:ascii="宋体" w:hAnsi="宋体" w:cs="宋体"/>
          <w:color w:val="auto"/>
          <w:kern w:val="0"/>
          <w:sz w:val="24"/>
        </w:rPr>
        <w:t>1</w:t>
      </w:r>
      <w:r>
        <w:rPr>
          <w:rFonts w:hint="eastAsia" w:ascii="宋体" w:hAnsi="宋体" w:cs="宋体"/>
          <w:color w:val="auto"/>
          <w:kern w:val="0"/>
          <w:sz w:val="24"/>
        </w:rPr>
        <w:t>、本次招标不接受联合体投标，不统一组织现场踏勘。</w:t>
      </w:r>
    </w:p>
    <w:p>
      <w:pPr>
        <w:widowControl/>
        <w:spacing w:line="315" w:lineRule="atLeast"/>
        <w:ind w:firstLine="360"/>
        <w:rPr>
          <w:rFonts w:cs="Calibri"/>
          <w:color w:val="auto"/>
          <w:szCs w:val="21"/>
        </w:rPr>
      </w:pPr>
      <w:r>
        <w:rPr>
          <w:rFonts w:ascii="宋体" w:hAnsi="宋体" w:cs="宋体"/>
          <w:color w:val="auto"/>
          <w:kern w:val="0"/>
          <w:sz w:val="24"/>
        </w:rPr>
        <w:t>2</w:t>
      </w:r>
      <w:r>
        <w:rPr>
          <w:rFonts w:hint="eastAsia" w:ascii="宋体" w:hAnsi="宋体" w:cs="宋体"/>
          <w:color w:val="auto"/>
          <w:kern w:val="0"/>
          <w:sz w:val="24"/>
        </w:rPr>
        <w:t>、投标人需承担购买招标文件的费用，并承担其编制投标文件与递交投标文件所涉及的相关费用。</w:t>
      </w:r>
    </w:p>
    <w:p>
      <w:pPr>
        <w:widowControl/>
        <w:spacing w:line="315" w:lineRule="atLeast"/>
        <w:ind w:firstLine="360"/>
        <w:rPr>
          <w:rFonts w:cs="Calibri"/>
          <w:color w:val="auto"/>
          <w:szCs w:val="21"/>
        </w:rPr>
      </w:pPr>
      <w:r>
        <w:rPr>
          <w:rFonts w:ascii="宋体" w:hAnsi="宋体" w:cs="宋体"/>
          <w:color w:val="auto"/>
          <w:kern w:val="0"/>
          <w:sz w:val="24"/>
        </w:rPr>
        <w:t>3</w:t>
      </w:r>
      <w:r>
        <w:rPr>
          <w:rFonts w:hint="eastAsia" w:ascii="宋体" w:hAnsi="宋体" w:cs="宋体"/>
          <w:color w:val="auto"/>
          <w:kern w:val="0"/>
          <w:sz w:val="24"/>
        </w:rPr>
        <w:t>、本次招标须提交投标保证金人民币壹万元。（中标后投标保证金自动转为履约保证金）</w:t>
      </w:r>
    </w:p>
    <w:p>
      <w:pPr>
        <w:widowControl/>
        <w:spacing w:line="315" w:lineRule="atLeast"/>
        <w:ind w:left="479" w:hanging="120"/>
        <w:rPr>
          <w:rFonts w:cs="Calibri"/>
          <w:color w:val="auto"/>
          <w:szCs w:val="21"/>
        </w:rPr>
      </w:pPr>
      <w:r>
        <w:rPr>
          <w:rFonts w:ascii="宋体" w:hAnsi="宋体" w:cs="宋体"/>
          <w:color w:val="auto"/>
          <w:kern w:val="0"/>
          <w:sz w:val="24"/>
        </w:rPr>
        <w:t>4</w:t>
      </w:r>
      <w:r>
        <w:rPr>
          <w:rFonts w:hint="eastAsia" w:ascii="宋体" w:hAnsi="宋体" w:cs="宋体"/>
          <w:color w:val="auto"/>
          <w:kern w:val="0"/>
          <w:sz w:val="24"/>
        </w:rPr>
        <w:t>、本次招标所涉及的时间一律为北京时间。</w:t>
      </w:r>
    </w:p>
    <w:p>
      <w:pPr>
        <w:widowControl/>
        <w:spacing w:line="315" w:lineRule="atLeast"/>
        <w:ind w:firstLine="236"/>
        <w:rPr>
          <w:rFonts w:cs="Calibri"/>
          <w:color w:val="auto"/>
          <w:szCs w:val="21"/>
        </w:rPr>
      </w:pPr>
      <w:r>
        <w:rPr>
          <w:rFonts w:hint="eastAsia" w:ascii="宋体" w:hAnsi="宋体" w:cs="宋体"/>
          <w:b/>
          <w:color w:val="auto"/>
          <w:kern w:val="0"/>
          <w:sz w:val="24"/>
        </w:rPr>
        <w:t>六、联系方式</w:t>
      </w:r>
    </w:p>
    <w:p>
      <w:pPr>
        <w:widowControl/>
        <w:spacing w:line="315" w:lineRule="atLeast"/>
        <w:ind w:firstLine="592"/>
        <w:rPr>
          <w:rFonts w:hint="eastAsia" w:ascii="宋体" w:hAnsi="宋体" w:cs="宋体"/>
          <w:color w:val="auto"/>
          <w:kern w:val="0"/>
          <w:sz w:val="24"/>
          <w:lang w:eastAsia="zh-CN"/>
        </w:rPr>
      </w:pPr>
      <w:r>
        <w:rPr>
          <w:rFonts w:hint="eastAsia" w:ascii="宋体" w:hAnsi="宋体" w:cs="宋体"/>
          <w:color w:val="auto"/>
          <w:kern w:val="0"/>
          <w:sz w:val="24"/>
        </w:rPr>
        <w:t>招标人：</w:t>
      </w:r>
      <w:r>
        <w:rPr>
          <w:rFonts w:hint="eastAsia" w:ascii="宋体" w:hAnsi="宋体" w:cs="宋体"/>
          <w:color w:val="auto"/>
          <w:kern w:val="0"/>
          <w:sz w:val="24"/>
          <w:lang w:eastAsia="zh-CN"/>
        </w:rPr>
        <w:t>双牌县桂润房地产开发有限公司</w:t>
      </w:r>
    </w:p>
    <w:p>
      <w:pPr>
        <w:keepNext w:val="0"/>
        <w:keepLines w:val="0"/>
        <w:pageBreakBefore w:val="0"/>
        <w:widowControl/>
        <w:kinsoku/>
        <w:wordWrap/>
        <w:overflowPunct/>
        <w:topLinePunct w:val="0"/>
        <w:autoSpaceDE/>
        <w:autoSpaceDN/>
        <w:bidi w:val="0"/>
        <w:adjustRightInd/>
        <w:snapToGrid/>
        <w:spacing w:line="315" w:lineRule="atLeast"/>
        <w:ind w:left="0" w:leftChars="0" w:right="0" w:rightChars="0" w:firstLine="1560" w:firstLineChars="650"/>
        <w:jc w:val="both"/>
        <w:textAlignment w:val="auto"/>
        <w:outlineLvl w:val="9"/>
        <w:rPr>
          <w:rFonts w:cs="Calibri"/>
          <w:color w:val="auto"/>
          <w:szCs w:val="21"/>
        </w:rPr>
      </w:pPr>
      <w:r>
        <w:rPr>
          <w:rFonts w:hint="eastAsia" w:ascii="宋体" w:hAnsi="宋体" w:cs="宋体"/>
          <w:color w:val="auto"/>
          <w:kern w:val="0"/>
          <w:sz w:val="24"/>
          <w:lang w:eastAsia="zh-CN"/>
        </w:rPr>
        <w:t>双牌县桂润酒店管理服务有限公司</w:t>
      </w:r>
      <w:r>
        <w:rPr>
          <w:rFonts w:hint="eastAsia" w:ascii="宋体" w:hAnsi="宋体" w:cs="宋体"/>
          <w:color w:val="auto"/>
          <w:kern w:val="0"/>
          <w:sz w:val="24"/>
        </w:rPr>
        <w:t>；</w:t>
      </w:r>
    </w:p>
    <w:p>
      <w:pPr>
        <w:widowControl/>
        <w:spacing w:line="315" w:lineRule="atLeast"/>
        <w:ind w:firstLine="592"/>
        <w:rPr>
          <w:rFonts w:cs="Calibri"/>
          <w:color w:val="auto"/>
          <w:szCs w:val="21"/>
        </w:rPr>
      </w:pPr>
      <w:r>
        <w:rPr>
          <w:rFonts w:hint="eastAsia" w:ascii="宋体" w:hAnsi="宋体" w:cs="宋体"/>
          <w:color w:val="auto"/>
          <w:kern w:val="0"/>
          <w:sz w:val="24"/>
        </w:rPr>
        <w:t>地址：</w:t>
      </w:r>
      <w:r>
        <w:rPr>
          <w:rFonts w:hint="eastAsia" w:ascii="宋体" w:hAnsi="宋体" w:cs="宋体"/>
          <w:color w:val="auto"/>
          <w:kern w:val="0"/>
          <w:sz w:val="24"/>
          <w:lang w:eastAsia="zh-CN"/>
        </w:rPr>
        <w:t>双牌县永水路与车站路交界处</w:t>
      </w:r>
      <w:r>
        <w:rPr>
          <w:rFonts w:hint="eastAsia" w:ascii="宋体" w:hAnsi="宋体" w:cs="宋体"/>
          <w:color w:val="auto"/>
          <w:kern w:val="0"/>
          <w:sz w:val="24"/>
        </w:rPr>
        <w:t>；</w:t>
      </w:r>
    </w:p>
    <w:p>
      <w:pPr>
        <w:widowControl/>
        <w:spacing w:line="315" w:lineRule="atLeast"/>
        <w:ind w:firstLine="592"/>
        <w:rPr>
          <w:rFonts w:cs="Calibri"/>
          <w:color w:val="auto"/>
          <w:szCs w:val="21"/>
        </w:rPr>
      </w:pPr>
      <w:r>
        <w:rPr>
          <w:rFonts w:hint="eastAsia" w:ascii="宋体" w:hAnsi="宋体" w:cs="宋体"/>
          <w:color w:val="auto"/>
          <w:kern w:val="0"/>
          <w:sz w:val="24"/>
        </w:rPr>
        <w:t>联系人：</w:t>
      </w:r>
      <w:r>
        <w:rPr>
          <w:rFonts w:hint="eastAsia" w:ascii="宋体" w:hAnsi="宋体" w:cs="宋体"/>
          <w:color w:val="auto"/>
          <w:kern w:val="0"/>
          <w:sz w:val="24"/>
          <w:lang w:val="en-US" w:eastAsia="zh-CN"/>
        </w:rPr>
        <w:t>唐先生</w:t>
      </w:r>
      <w:r>
        <w:rPr>
          <w:rFonts w:hint="eastAsia" w:ascii="宋体" w:hAnsi="宋体" w:cs="宋体"/>
          <w:color w:val="auto"/>
          <w:kern w:val="0"/>
          <w:sz w:val="24"/>
        </w:rPr>
        <w:t>，电话：</w:t>
      </w:r>
      <w:r>
        <w:rPr>
          <w:rFonts w:hint="eastAsia" w:ascii="宋体" w:hAnsi="宋体" w:cs="宋体"/>
          <w:color w:val="auto"/>
          <w:kern w:val="0"/>
          <w:sz w:val="24"/>
          <w:lang w:val="en-US" w:eastAsia="zh-CN"/>
        </w:rPr>
        <w:t>13617469741</w:t>
      </w:r>
      <w:r>
        <w:rPr>
          <w:rFonts w:hint="eastAsia" w:ascii="宋体" w:hAnsi="宋体" w:cs="宋体"/>
          <w:color w:val="auto"/>
          <w:kern w:val="0"/>
          <w:sz w:val="24"/>
        </w:rPr>
        <w:t>；</w:t>
      </w:r>
    </w:p>
    <w:p>
      <w:pPr>
        <w:widowControl/>
        <w:spacing w:line="315" w:lineRule="atLeast"/>
        <w:ind w:firstLine="592"/>
        <w:rPr>
          <w:rFonts w:cs="Calibri"/>
          <w:color w:val="auto"/>
          <w:szCs w:val="21"/>
        </w:rPr>
      </w:pPr>
      <w:r>
        <w:rPr>
          <w:rFonts w:hint="eastAsia" w:ascii="宋体" w:hAnsi="宋体" w:cs="宋体"/>
          <w:color w:val="auto"/>
          <w:kern w:val="0"/>
          <w:sz w:val="24"/>
        </w:rPr>
        <w:t>招标代理人：</w:t>
      </w:r>
      <w:r>
        <w:rPr>
          <w:rFonts w:hint="eastAsia" w:cs="宋体"/>
          <w:color w:val="auto"/>
          <w:sz w:val="24"/>
          <w:lang w:eastAsia="zh-CN"/>
        </w:rPr>
        <w:t>湖南博凯建设有限公司</w:t>
      </w:r>
      <w:r>
        <w:rPr>
          <w:rFonts w:hint="eastAsia" w:ascii="宋体" w:hAnsi="宋体" w:cs="宋体"/>
          <w:color w:val="auto"/>
          <w:kern w:val="0"/>
          <w:sz w:val="24"/>
        </w:rPr>
        <w:t>；</w:t>
      </w:r>
    </w:p>
    <w:p>
      <w:pPr>
        <w:widowControl/>
        <w:spacing w:line="315" w:lineRule="atLeast"/>
        <w:ind w:firstLine="592"/>
        <w:rPr>
          <w:rFonts w:cs="Calibri"/>
          <w:color w:val="auto"/>
          <w:szCs w:val="21"/>
        </w:rPr>
      </w:pPr>
      <w:r>
        <w:rPr>
          <w:rFonts w:hint="eastAsia" w:ascii="宋体" w:hAnsi="宋体" w:cs="宋体"/>
          <w:color w:val="auto"/>
          <w:kern w:val="0"/>
          <w:sz w:val="24"/>
        </w:rPr>
        <w:t>招标代理人地址：</w:t>
      </w:r>
      <w:r>
        <w:rPr>
          <w:rFonts w:hint="eastAsia" w:cs="宋体"/>
          <w:color w:val="auto"/>
          <w:sz w:val="24"/>
        </w:rPr>
        <w:t>永州市冷水滩区</w:t>
      </w:r>
      <w:r>
        <w:rPr>
          <w:rFonts w:hint="eastAsia" w:cs="宋体"/>
          <w:color w:val="auto"/>
          <w:sz w:val="24"/>
          <w:lang w:val="en-US" w:eastAsia="zh-CN"/>
        </w:rPr>
        <w:t>梅湾南路</w:t>
      </w:r>
      <w:r>
        <w:rPr>
          <w:rFonts w:hint="eastAsia" w:ascii="宋体" w:hAnsi="宋体" w:cs="宋体"/>
          <w:color w:val="auto"/>
          <w:kern w:val="0"/>
          <w:sz w:val="24"/>
        </w:rPr>
        <w:t>；</w:t>
      </w:r>
    </w:p>
    <w:p>
      <w:pPr>
        <w:widowControl/>
        <w:ind w:firstLine="600"/>
        <w:rPr>
          <w:rFonts w:cs="Calibri"/>
          <w:color w:val="auto"/>
          <w:szCs w:val="21"/>
        </w:rPr>
      </w:pPr>
      <w:r>
        <w:rPr>
          <w:rFonts w:hint="eastAsia" w:ascii="宋体" w:hAnsi="宋体" w:cs="宋体"/>
          <w:color w:val="auto"/>
          <w:kern w:val="0"/>
          <w:sz w:val="24"/>
        </w:rPr>
        <w:t>联系人：</w:t>
      </w:r>
      <w:r>
        <w:rPr>
          <w:rFonts w:hint="eastAsia" w:ascii="宋体" w:hAnsi="宋体" w:cs="宋体"/>
          <w:color w:val="auto"/>
          <w:kern w:val="0"/>
          <w:sz w:val="24"/>
          <w:lang w:val="en-US" w:eastAsia="zh-CN"/>
        </w:rPr>
        <w:t>李女士</w:t>
      </w:r>
      <w:r>
        <w:rPr>
          <w:rFonts w:hint="eastAsia" w:ascii="宋体" w:hAnsi="宋体" w:cs="宋体"/>
          <w:color w:val="auto"/>
          <w:kern w:val="0"/>
          <w:sz w:val="24"/>
        </w:rPr>
        <w:t>，电话：</w:t>
      </w:r>
      <w:r>
        <w:rPr>
          <w:rFonts w:hint="eastAsia" w:ascii="宋体" w:hAnsi="宋体" w:cs="宋体"/>
          <w:color w:val="auto"/>
          <w:kern w:val="0"/>
          <w:sz w:val="24"/>
          <w:lang w:val="en-US" w:eastAsia="zh-CN"/>
        </w:rPr>
        <w:t>17774658740</w:t>
      </w:r>
      <w:r>
        <w:rPr>
          <w:rFonts w:hint="eastAsia" w:ascii="宋体" w:hAnsi="宋体" w:cs="宋体"/>
          <w:color w:val="auto"/>
          <w:kern w:val="0"/>
          <w:sz w:val="24"/>
        </w:rPr>
        <w:t>。</w:t>
      </w:r>
    </w:p>
    <w:p>
      <w:pPr>
        <w:widowControl/>
        <w:spacing w:line="315" w:lineRule="atLeast"/>
        <w:ind w:firstLine="600"/>
        <w:rPr>
          <w:rFonts w:hint="default" w:ascii="Calibri" w:hAnsi="Calibri" w:cs="Calibri" w:eastAsiaTheme="minorEastAsia"/>
          <w:color w:val="auto"/>
          <w:szCs w:val="21"/>
          <w:lang w:val="en-US" w:eastAsia="zh-CN"/>
        </w:rPr>
      </w:pPr>
      <w:r>
        <w:rPr>
          <w:rFonts w:hint="eastAsia" w:ascii="Calibri" w:hAnsi="Calibri" w:cs="Calibri"/>
          <w:color w:val="auto"/>
          <w:szCs w:val="21"/>
          <w:lang w:eastAsia="zh-CN"/>
        </w:rPr>
        <w:t>日期：</w:t>
      </w:r>
      <w:r>
        <w:rPr>
          <w:rFonts w:hint="eastAsia" w:ascii="Calibri" w:hAnsi="Calibri" w:cs="Calibri"/>
          <w:color w:val="auto"/>
          <w:szCs w:val="21"/>
          <w:lang w:val="en-US" w:eastAsia="zh-CN"/>
        </w:rPr>
        <w:t>2019年7月29日</w:t>
      </w:r>
    </w:p>
    <w:p>
      <w:pPr>
        <w:jc w:val="left"/>
        <w:rPr>
          <w:bCs/>
          <w:color w:val="auto"/>
          <w:sz w:val="28"/>
          <w:szCs w:val="28"/>
        </w:rPr>
      </w:pPr>
    </w:p>
    <w:p>
      <w:pPr>
        <w:jc w:val="left"/>
        <w:rPr>
          <w:bCs/>
          <w:color w:val="auto"/>
          <w:sz w:val="28"/>
          <w:szCs w:val="28"/>
        </w:rPr>
      </w:pPr>
    </w:p>
    <w:p>
      <w:pPr>
        <w:pStyle w:val="2"/>
        <w:ind w:left="0" w:leftChars="0" w:firstLine="0" w:firstLineChars="0"/>
        <w:rPr>
          <w:color w:val="auto"/>
        </w:rPr>
      </w:pPr>
    </w:p>
    <w:p>
      <w:pPr>
        <w:jc w:val="both"/>
        <w:rPr>
          <w:b/>
          <w:color w:val="auto"/>
          <w:sz w:val="32"/>
          <w:szCs w:val="32"/>
        </w:rPr>
      </w:pPr>
      <w:bookmarkStart w:id="0" w:name="_Toc268968198"/>
      <w:bookmarkStart w:id="1" w:name="_Toc269044483"/>
      <w:bookmarkStart w:id="2" w:name="_Toc268054258"/>
      <w:bookmarkStart w:id="3" w:name="_Toc269044442"/>
      <w:bookmarkStart w:id="4" w:name="_Toc269299758"/>
    </w:p>
    <w:p>
      <w:pPr>
        <w:jc w:val="center"/>
        <w:rPr>
          <w:b/>
          <w:color w:val="auto"/>
          <w:sz w:val="32"/>
          <w:szCs w:val="32"/>
        </w:rPr>
      </w:pPr>
      <w:r>
        <w:rPr>
          <w:rFonts w:hint="eastAsia"/>
          <w:b/>
          <w:color w:val="auto"/>
          <w:sz w:val="32"/>
          <w:szCs w:val="32"/>
        </w:rPr>
        <w:t>第二章 投标人须知</w:t>
      </w:r>
      <w:bookmarkEnd w:id="0"/>
      <w:bookmarkEnd w:id="1"/>
      <w:bookmarkEnd w:id="2"/>
      <w:bookmarkEnd w:id="3"/>
      <w:bookmarkEnd w:id="4"/>
    </w:p>
    <w:p>
      <w:pPr>
        <w:pStyle w:val="3"/>
        <w:spacing w:before="0" w:after="0" w:line="360" w:lineRule="auto"/>
        <w:jc w:val="center"/>
        <w:rPr>
          <w:rFonts w:ascii="宋体" w:hAnsi="宋体" w:eastAsia="宋体"/>
          <w:color w:val="auto"/>
        </w:rPr>
      </w:pPr>
      <w:bookmarkStart w:id="5" w:name="_Toc268968199"/>
      <w:bookmarkStart w:id="6" w:name="_Toc269044443"/>
      <w:bookmarkStart w:id="7" w:name="_Toc268054259"/>
      <w:bookmarkStart w:id="8" w:name="_Toc269299759"/>
      <w:bookmarkStart w:id="9" w:name="_Toc269044484"/>
    </w:p>
    <w:p>
      <w:pPr>
        <w:pStyle w:val="3"/>
        <w:spacing w:before="0" w:after="0" w:line="360" w:lineRule="auto"/>
        <w:jc w:val="center"/>
        <w:rPr>
          <w:rFonts w:ascii="宋体" w:hAnsi="宋体" w:eastAsia="宋体"/>
          <w:color w:val="auto"/>
        </w:rPr>
      </w:pPr>
      <w:r>
        <w:rPr>
          <w:rFonts w:hint="eastAsia" w:ascii="宋体" w:hAnsi="宋体" w:eastAsia="宋体"/>
          <w:color w:val="auto"/>
        </w:rPr>
        <w:t>投标须知前附表</w:t>
      </w:r>
      <w:bookmarkEnd w:id="5"/>
      <w:bookmarkEnd w:id="6"/>
      <w:bookmarkEnd w:id="7"/>
      <w:bookmarkEnd w:id="8"/>
      <w:bookmarkEnd w:id="9"/>
    </w:p>
    <w:tbl>
      <w:tblPr>
        <w:tblStyle w:val="10"/>
        <w:tblW w:w="9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972"/>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938" w:type="dxa"/>
            <w:vAlign w:val="center"/>
          </w:tcPr>
          <w:p>
            <w:pPr>
              <w:spacing w:line="400" w:lineRule="exact"/>
              <w:jc w:val="center"/>
              <w:rPr>
                <w:rFonts w:ascii="宋体" w:hAnsi="宋体"/>
                <w:b/>
                <w:color w:val="auto"/>
                <w:szCs w:val="21"/>
              </w:rPr>
            </w:pPr>
            <w:r>
              <w:rPr>
                <w:rFonts w:hint="eastAsia" w:ascii="宋体" w:hAnsi="宋体"/>
                <w:b/>
                <w:color w:val="auto"/>
                <w:szCs w:val="21"/>
              </w:rPr>
              <w:t>条款号</w:t>
            </w:r>
          </w:p>
        </w:tc>
        <w:tc>
          <w:tcPr>
            <w:tcW w:w="1972" w:type="dxa"/>
            <w:vAlign w:val="center"/>
          </w:tcPr>
          <w:p>
            <w:pPr>
              <w:spacing w:line="400" w:lineRule="exact"/>
              <w:jc w:val="center"/>
              <w:rPr>
                <w:rFonts w:ascii="宋体" w:hAnsi="宋体"/>
                <w:b/>
                <w:color w:val="auto"/>
                <w:szCs w:val="21"/>
              </w:rPr>
            </w:pPr>
            <w:r>
              <w:rPr>
                <w:rFonts w:hint="eastAsia" w:ascii="宋体" w:hAnsi="宋体"/>
                <w:b/>
                <w:color w:val="auto"/>
                <w:szCs w:val="21"/>
              </w:rPr>
              <w:t>条款名称</w:t>
            </w:r>
          </w:p>
        </w:tc>
        <w:tc>
          <w:tcPr>
            <w:tcW w:w="6875" w:type="dxa"/>
            <w:vAlign w:val="center"/>
          </w:tcPr>
          <w:p>
            <w:pPr>
              <w:spacing w:line="400" w:lineRule="exact"/>
              <w:jc w:val="center"/>
              <w:rPr>
                <w:rFonts w:ascii="宋体" w:hAnsi="宋体"/>
                <w:b/>
                <w:color w:val="auto"/>
                <w:szCs w:val="21"/>
              </w:rPr>
            </w:pPr>
            <w:r>
              <w:rPr>
                <w:rFonts w:hint="eastAsia" w:ascii="宋体" w:hAnsi="宋体"/>
                <w:b/>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1.1.2</w:t>
            </w:r>
          </w:p>
        </w:tc>
        <w:tc>
          <w:tcPr>
            <w:tcW w:w="1972" w:type="dxa"/>
            <w:vAlign w:val="center"/>
          </w:tcPr>
          <w:p>
            <w:pPr>
              <w:spacing w:line="400" w:lineRule="exact"/>
              <w:jc w:val="center"/>
              <w:rPr>
                <w:rFonts w:ascii="宋体" w:hAnsi="宋体"/>
                <w:color w:val="auto"/>
              </w:rPr>
            </w:pPr>
            <w:r>
              <w:rPr>
                <w:rFonts w:hint="eastAsia" w:ascii="宋体" w:hAnsi="宋体"/>
                <w:color w:val="auto"/>
              </w:rPr>
              <w:t>招标人</w:t>
            </w:r>
          </w:p>
        </w:tc>
        <w:tc>
          <w:tcPr>
            <w:tcW w:w="6875" w:type="dxa"/>
            <w:vAlign w:val="center"/>
          </w:tcPr>
          <w:p>
            <w:pPr>
              <w:spacing w:line="400" w:lineRule="exact"/>
              <w:ind w:right="1050"/>
              <w:rPr>
                <w:rFonts w:hint="eastAsia" w:ascii="宋体" w:hAnsi="宋体"/>
                <w:color w:val="auto"/>
                <w:lang w:eastAsia="zh-CN"/>
              </w:rPr>
            </w:pPr>
            <w:r>
              <w:rPr>
                <w:rFonts w:hint="eastAsia" w:ascii="宋体" w:hAnsi="宋体"/>
                <w:color w:val="auto"/>
              </w:rPr>
              <w:t>招标人名称：</w:t>
            </w:r>
            <w:r>
              <w:rPr>
                <w:rFonts w:hint="eastAsia" w:ascii="宋体" w:hAnsi="宋体"/>
                <w:color w:val="auto"/>
                <w:lang w:eastAsia="zh-CN"/>
              </w:rPr>
              <w:t>双牌县桂润房地产开发有限公司</w:t>
            </w:r>
          </w:p>
          <w:p>
            <w:pPr>
              <w:spacing w:line="400" w:lineRule="exact"/>
              <w:ind w:right="1050" w:firstLine="1260" w:firstLineChars="600"/>
              <w:rPr>
                <w:rFonts w:hint="eastAsia" w:ascii="宋体" w:hAnsi="宋体" w:eastAsiaTheme="minorEastAsia"/>
                <w:color w:val="auto"/>
                <w:lang w:eastAsia="zh-CN"/>
              </w:rPr>
            </w:pPr>
            <w:r>
              <w:rPr>
                <w:rFonts w:hint="eastAsia" w:ascii="宋体" w:hAnsi="宋体"/>
                <w:color w:val="auto"/>
                <w:lang w:eastAsia="zh-CN"/>
              </w:rPr>
              <w:t>双牌县桂润酒店管理服务有限公司</w:t>
            </w:r>
          </w:p>
          <w:p>
            <w:pPr>
              <w:spacing w:line="400" w:lineRule="exact"/>
              <w:rPr>
                <w:rFonts w:ascii="宋体" w:hAnsi="宋体"/>
                <w:color w:val="auto"/>
                <w:kern w:val="0"/>
              </w:rPr>
            </w:pPr>
            <w:r>
              <w:rPr>
                <w:rFonts w:hint="eastAsia" w:ascii="宋体" w:hAnsi="宋体"/>
                <w:color w:val="auto"/>
              </w:rPr>
              <w:t>地址：</w:t>
            </w:r>
            <w:r>
              <w:rPr>
                <w:rFonts w:hint="eastAsia" w:ascii="宋体" w:hAnsi="宋体"/>
                <w:color w:val="auto"/>
                <w:lang w:eastAsia="zh-CN"/>
              </w:rPr>
              <w:t>双牌县永水路与车站路交界处</w:t>
            </w:r>
            <w:r>
              <w:rPr>
                <w:rFonts w:hint="eastAsia" w:ascii="宋体" w:hAnsi="宋体"/>
                <w:color w:val="auto"/>
                <w:szCs w:val="21"/>
              </w:rPr>
              <w:t xml:space="preserve"> </w:t>
            </w:r>
          </w:p>
          <w:p>
            <w:pPr>
              <w:spacing w:line="400" w:lineRule="exact"/>
              <w:rPr>
                <w:rFonts w:hint="default" w:ascii="宋体" w:hAnsi="宋体" w:eastAsiaTheme="minorEastAsia"/>
                <w:color w:val="auto"/>
                <w:szCs w:val="21"/>
                <w:lang w:val="en-US" w:eastAsia="zh-CN"/>
              </w:rPr>
            </w:pPr>
            <w:r>
              <w:rPr>
                <w:rFonts w:hint="eastAsia" w:ascii="宋体" w:hAnsi="宋体"/>
                <w:color w:val="auto"/>
                <w:szCs w:val="21"/>
              </w:rPr>
              <w:t>联系人：</w:t>
            </w:r>
            <w:r>
              <w:rPr>
                <w:rFonts w:hint="eastAsia" w:ascii="宋体" w:hAnsi="宋体"/>
                <w:color w:val="auto"/>
                <w:szCs w:val="21"/>
                <w:lang w:val="en-US" w:eastAsia="zh-CN"/>
              </w:rPr>
              <w:t>唐先生</w:t>
            </w:r>
          </w:p>
          <w:p>
            <w:pPr>
              <w:spacing w:line="400" w:lineRule="exact"/>
              <w:rPr>
                <w:rFonts w:ascii="宋体" w:hAnsi="宋体"/>
                <w:color w:val="auto"/>
              </w:rPr>
            </w:pPr>
            <w:r>
              <w:rPr>
                <w:rFonts w:hint="eastAsia" w:ascii="宋体" w:hAnsi="宋体"/>
                <w:color w:val="auto"/>
                <w:szCs w:val="21"/>
              </w:rPr>
              <w:t>电话：</w:t>
            </w:r>
            <w:r>
              <w:rPr>
                <w:rFonts w:hint="eastAsia" w:ascii="宋体" w:hAnsi="宋体"/>
                <w:color w:val="auto"/>
                <w:szCs w:val="21"/>
                <w:lang w:val="en-US" w:eastAsia="zh-CN"/>
              </w:rPr>
              <w:t>13617469741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1.1.3</w:t>
            </w:r>
          </w:p>
        </w:tc>
        <w:tc>
          <w:tcPr>
            <w:tcW w:w="1972" w:type="dxa"/>
            <w:vAlign w:val="center"/>
          </w:tcPr>
          <w:p>
            <w:pPr>
              <w:spacing w:line="400" w:lineRule="exact"/>
              <w:jc w:val="center"/>
              <w:rPr>
                <w:rFonts w:ascii="宋体" w:hAnsi="宋体"/>
                <w:color w:val="auto"/>
              </w:rPr>
            </w:pPr>
            <w:r>
              <w:rPr>
                <w:rFonts w:hint="eastAsia" w:ascii="宋体" w:hAnsi="宋体"/>
                <w:color w:val="auto"/>
              </w:rPr>
              <w:t>招标代理机构</w:t>
            </w:r>
          </w:p>
        </w:tc>
        <w:tc>
          <w:tcPr>
            <w:tcW w:w="6875" w:type="dxa"/>
            <w:vAlign w:val="center"/>
          </w:tcPr>
          <w:p>
            <w:pPr>
              <w:spacing w:line="400" w:lineRule="exact"/>
              <w:ind w:right="1050"/>
              <w:rPr>
                <w:rFonts w:ascii="宋体" w:hAnsi="宋体"/>
                <w:color w:val="auto"/>
              </w:rPr>
            </w:pPr>
            <w:r>
              <w:rPr>
                <w:rFonts w:hint="eastAsia" w:ascii="宋体" w:hAnsi="宋体"/>
                <w:color w:val="auto"/>
              </w:rPr>
              <w:t>招标代理机构：</w:t>
            </w:r>
            <w:r>
              <w:rPr>
                <w:rFonts w:hint="eastAsia" w:ascii="宋体" w:hAnsi="宋体"/>
                <w:color w:val="auto"/>
                <w:lang w:eastAsia="zh-CN"/>
              </w:rPr>
              <w:t>湖南博凯建设有限公司</w:t>
            </w:r>
            <w:r>
              <w:rPr>
                <w:rFonts w:hint="eastAsia" w:ascii="宋体" w:hAnsi="宋体"/>
                <w:color w:val="auto"/>
              </w:rPr>
              <w:t>；</w:t>
            </w:r>
          </w:p>
          <w:p>
            <w:pPr>
              <w:spacing w:line="400" w:lineRule="exact"/>
              <w:ind w:right="1050"/>
              <w:rPr>
                <w:rFonts w:ascii="宋体" w:hAnsi="宋体"/>
                <w:color w:val="auto"/>
              </w:rPr>
            </w:pPr>
            <w:r>
              <w:rPr>
                <w:rFonts w:hint="eastAsia" w:ascii="宋体" w:hAnsi="宋体"/>
                <w:color w:val="auto"/>
              </w:rPr>
              <w:t>地址：</w:t>
            </w:r>
            <w:r>
              <w:rPr>
                <w:rFonts w:hint="eastAsia" w:ascii="宋体" w:hAnsi="宋体"/>
                <w:color w:val="auto"/>
                <w:lang w:eastAsia="zh-CN"/>
              </w:rPr>
              <w:t>永州市冷水滩区梅湾南路</w:t>
            </w:r>
            <w:r>
              <w:rPr>
                <w:rFonts w:hint="eastAsia" w:ascii="宋体" w:hAnsi="宋体"/>
                <w:color w:val="auto"/>
              </w:rPr>
              <w:t>；</w:t>
            </w:r>
          </w:p>
          <w:p>
            <w:pPr>
              <w:spacing w:line="400" w:lineRule="exact"/>
              <w:ind w:right="1050"/>
              <w:rPr>
                <w:rFonts w:hint="eastAsia" w:ascii="宋体" w:hAnsi="宋体" w:eastAsiaTheme="minorEastAsia"/>
                <w:color w:val="auto"/>
                <w:lang w:eastAsia="zh-CN"/>
              </w:rPr>
            </w:pPr>
            <w:r>
              <w:rPr>
                <w:rFonts w:hint="eastAsia" w:ascii="宋体" w:hAnsi="宋体"/>
                <w:color w:val="auto"/>
              </w:rPr>
              <w:t>联系人：</w:t>
            </w:r>
            <w:r>
              <w:rPr>
                <w:rFonts w:hint="eastAsia" w:ascii="宋体" w:hAnsi="宋体"/>
                <w:color w:val="auto"/>
                <w:lang w:eastAsia="zh-CN"/>
              </w:rPr>
              <w:t>李女士</w:t>
            </w:r>
          </w:p>
          <w:p>
            <w:pPr>
              <w:spacing w:line="400" w:lineRule="exact"/>
              <w:ind w:right="1050"/>
              <w:rPr>
                <w:rFonts w:ascii="宋体" w:hAnsi="宋体"/>
                <w:color w:val="auto"/>
                <w:szCs w:val="21"/>
              </w:rPr>
            </w:pPr>
            <w:r>
              <w:rPr>
                <w:rFonts w:hint="eastAsia" w:ascii="宋体" w:hAnsi="宋体"/>
                <w:color w:val="auto"/>
              </w:rPr>
              <w:t>电话：</w:t>
            </w:r>
            <w:r>
              <w:rPr>
                <w:rFonts w:hint="eastAsia" w:ascii="宋体" w:hAnsi="宋体"/>
                <w:color w:val="auto"/>
                <w:lang w:val="en-US" w:eastAsia="zh-CN"/>
              </w:rPr>
              <w:t>17774658740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1.1.4</w:t>
            </w:r>
          </w:p>
        </w:tc>
        <w:tc>
          <w:tcPr>
            <w:tcW w:w="1972" w:type="dxa"/>
            <w:vAlign w:val="center"/>
          </w:tcPr>
          <w:p>
            <w:pPr>
              <w:spacing w:line="400" w:lineRule="exact"/>
              <w:jc w:val="center"/>
              <w:rPr>
                <w:rFonts w:ascii="宋体" w:hAnsi="宋体"/>
                <w:color w:val="auto"/>
              </w:rPr>
            </w:pPr>
            <w:r>
              <w:rPr>
                <w:rFonts w:hint="eastAsia" w:ascii="宋体" w:hAnsi="宋体"/>
                <w:color w:val="auto"/>
              </w:rPr>
              <w:t>项目名称</w:t>
            </w:r>
          </w:p>
        </w:tc>
        <w:tc>
          <w:tcPr>
            <w:tcW w:w="6875" w:type="dxa"/>
            <w:vAlign w:val="center"/>
          </w:tcPr>
          <w:p>
            <w:pPr>
              <w:spacing w:line="400" w:lineRule="exact"/>
              <w:ind w:left="525" w:hanging="525" w:hangingChars="250"/>
              <w:rPr>
                <w:rFonts w:ascii="宋体" w:hAnsi="宋体"/>
                <w:color w:val="auto"/>
                <w:szCs w:val="21"/>
              </w:rPr>
            </w:pPr>
            <w:r>
              <w:rPr>
                <w:rFonts w:hint="eastAsia" w:ascii="宋体" w:hAnsi="宋体"/>
                <w:color w:val="auto"/>
                <w:szCs w:val="21"/>
                <w:lang w:eastAsia="zh-CN"/>
              </w:rPr>
              <w:t>双牌县佳兴名城住宅小区和嘉信国际酒店前期物业管理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1.1.5</w:t>
            </w:r>
          </w:p>
        </w:tc>
        <w:tc>
          <w:tcPr>
            <w:tcW w:w="1972" w:type="dxa"/>
            <w:vAlign w:val="center"/>
          </w:tcPr>
          <w:p>
            <w:pPr>
              <w:spacing w:line="400" w:lineRule="exact"/>
              <w:jc w:val="center"/>
              <w:rPr>
                <w:rFonts w:ascii="宋体" w:hAnsi="宋体"/>
                <w:color w:val="auto"/>
              </w:rPr>
            </w:pPr>
            <w:r>
              <w:rPr>
                <w:rFonts w:hint="eastAsia" w:ascii="宋体" w:hAnsi="宋体"/>
                <w:color w:val="auto"/>
              </w:rPr>
              <w:t>项目地点</w:t>
            </w:r>
          </w:p>
        </w:tc>
        <w:tc>
          <w:tcPr>
            <w:tcW w:w="6875" w:type="dxa"/>
            <w:vAlign w:val="center"/>
          </w:tcPr>
          <w:p>
            <w:pPr>
              <w:spacing w:line="400" w:lineRule="exact"/>
              <w:ind w:left="525" w:hanging="525" w:hangingChars="250"/>
              <w:rPr>
                <w:rFonts w:hint="eastAsia" w:ascii="宋体" w:hAnsi="宋体" w:eastAsiaTheme="minorEastAsia"/>
                <w:color w:val="auto"/>
                <w:szCs w:val="21"/>
                <w:lang w:eastAsia="zh-CN"/>
              </w:rPr>
            </w:pPr>
            <w:r>
              <w:rPr>
                <w:rFonts w:hint="eastAsia" w:ascii="宋体" w:hAnsi="宋体"/>
                <w:color w:val="auto"/>
                <w:szCs w:val="21"/>
                <w:lang w:eastAsia="zh-CN"/>
              </w:rPr>
              <w:t>双牌县永水路与车站路交界处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1.2</w:t>
            </w:r>
          </w:p>
        </w:tc>
        <w:tc>
          <w:tcPr>
            <w:tcW w:w="1972" w:type="dxa"/>
            <w:vAlign w:val="center"/>
          </w:tcPr>
          <w:p>
            <w:pPr>
              <w:spacing w:line="400" w:lineRule="exact"/>
              <w:jc w:val="center"/>
              <w:rPr>
                <w:rFonts w:ascii="宋体" w:hAnsi="宋体"/>
                <w:color w:val="auto"/>
              </w:rPr>
            </w:pPr>
            <w:r>
              <w:rPr>
                <w:rFonts w:hint="eastAsia" w:ascii="宋体" w:hAnsi="宋体"/>
                <w:color w:val="auto"/>
              </w:rPr>
              <w:t>物业服务</w:t>
            </w:r>
          </w:p>
          <w:p>
            <w:pPr>
              <w:spacing w:line="400" w:lineRule="exact"/>
              <w:jc w:val="center"/>
              <w:rPr>
                <w:rFonts w:ascii="宋体" w:hAnsi="宋体"/>
                <w:color w:val="auto"/>
              </w:rPr>
            </w:pPr>
            <w:r>
              <w:rPr>
                <w:rFonts w:hint="eastAsia" w:ascii="宋体" w:hAnsi="宋体"/>
                <w:color w:val="auto"/>
              </w:rPr>
              <w:t>费用来源</w:t>
            </w:r>
          </w:p>
        </w:tc>
        <w:tc>
          <w:tcPr>
            <w:tcW w:w="6875" w:type="dxa"/>
            <w:vAlign w:val="center"/>
          </w:tcPr>
          <w:p>
            <w:pPr>
              <w:spacing w:line="400" w:lineRule="exact"/>
              <w:ind w:left="525" w:hanging="525" w:hangingChars="250"/>
              <w:rPr>
                <w:rFonts w:ascii="宋体" w:hAnsi="宋体"/>
                <w:color w:val="auto"/>
                <w:szCs w:val="21"/>
              </w:rPr>
            </w:pPr>
            <w:r>
              <w:rPr>
                <w:rFonts w:hint="eastAsia" w:ascii="宋体" w:hAnsi="宋体"/>
                <w:color w:val="auto"/>
                <w:szCs w:val="21"/>
              </w:rPr>
              <w:t>面向业主收费，包干制。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1.3.1</w:t>
            </w:r>
          </w:p>
        </w:tc>
        <w:tc>
          <w:tcPr>
            <w:tcW w:w="1972" w:type="dxa"/>
            <w:vAlign w:val="center"/>
          </w:tcPr>
          <w:p>
            <w:pPr>
              <w:spacing w:line="400" w:lineRule="exact"/>
              <w:jc w:val="center"/>
              <w:rPr>
                <w:rFonts w:ascii="宋体" w:hAnsi="宋体"/>
                <w:color w:val="auto"/>
              </w:rPr>
            </w:pPr>
            <w:r>
              <w:rPr>
                <w:rFonts w:hint="eastAsia" w:ascii="宋体" w:hAnsi="宋体"/>
                <w:color w:val="auto"/>
              </w:rPr>
              <w:t>招标范围</w:t>
            </w:r>
          </w:p>
        </w:tc>
        <w:tc>
          <w:tcPr>
            <w:tcW w:w="6875" w:type="dxa"/>
            <w:vAlign w:val="center"/>
          </w:tcPr>
          <w:p>
            <w:pPr>
              <w:spacing w:line="400" w:lineRule="exact"/>
              <w:rPr>
                <w:rFonts w:ascii="宋体" w:hAnsi="宋体"/>
                <w:color w:val="auto"/>
              </w:rPr>
            </w:pPr>
            <w:r>
              <w:rPr>
                <w:rFonts w:hint="eastAsia" w:ascii="宋体" w:hAnsi="宋体"/>
                <w:color w:val="auto"/>
                <w:lang w:eastAsia="zh-CN"/>
              </w:rPr>
              <w:t>双牌县佳兴名城住宅小区和嘉信国际酒店前期物业管理</w:t>
            </w:r>
            <w:r>
              <w:rPr>
                <w:rFonts w:hint="eastAsia" w:ascii="宋体" w:hAnsi="宋体"/>
                <w:color w:val="auto"/>
              </w:rPr>
              <w:t>服务，物业服务内容见第六章物业服务需求书。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1.3.2</w:t>
            </w:r>
          </w:p>
        </w:tc>
        <w:tc>
          <w:tcPr>
            <w:tcW w:w="1972" w:type="dxa"/>
            <w:vAlign w:val="center"/>
          </w:tcPr>
          <w:p>
            <w:pPr>
              <w:spacing w:line="400" w:lineRule="exact"/>
              <w:jc w:val="center"/>
              <w:rPr>
                <w:rFonts w:ascii="宋体" w:hAnsi="宋体"/>
                <w:color w:val="auto"/>
              </w:rPr>
            </w:pPr>
            <w:r>
              <w:rPr>
                <w:rFonts w:hint="eastAsia" w:ascii="宋体" w:hAnsi="宋体"/>
                <w:color w:val="auto"/>
              </w:rPr>
              <w:t>物业服务期限</w:t>
            </w:r>
          </w:p>
        </w:tc>
        <w:tc>
          <w:tcPr>
            <w:tcW w:w="6875" w:type="dxa"/>
            <w:vAlign w:val="center"/>
          </w:tcPr>
          <w:p>
            <w:pPr>
              <w:adjustRightInd w:val="0"/>
              <w:snapToGrid w:val="0"/>
              <w:spacing w:line="400" w:lineRule="exact"/>
              <w:rPr>
                <w:rFonts w:ascii="宋体" w:hAnsi="宋体"/>
                <w:color w:val="auto"/>
              </w:rPr>
            </w:pPr>
            <w:r>
              <w:rPr>
                <w:rFonts w:hint="eastAsia" w:ascii="宋体" w:hAnsi="宋体"/>
                <w:color w:val="auto"/>
              </w:rPr>
              <w:t>自接管之日起，期限为</w:t>
            </w:r>
            <w:r>
              <w:rPr>
                <w:rFonts w:hint="eastAsia" w:ascii="宋体" w:hAnsi="宋体"/>
                <w:color w:val="auto"/>
                <w:lang w:eastAsia="zh-CN"/>
              </w:rPr>
              <w:t>3年</w:t>
            </w:r>
            <w:r>
              <w:rPr>
                <w:rFonts w:hint="eastAsia" w:ascii="宋体" w:hAnsi="宋体"/>
                <w:color w:val="auto"/>
              </w:rPr>
              <w:t>；但在本期限内，业主委员会代表全体业主与物业服务企业签订的物业服务合同生效时，本服务期限自动终止。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1.3.3</w:t>
            </w:r>
          </w:p>
        </w:tc>
        <w:tc>
          <w:tcPr>
            <w:tcW w:w="1972" w:type="dxa"/>
            <w:vAlign w:val="center"/>
          </w:tcPr>
          <w:p>
            <w:pPr>
              <w:spacing w:line="400" w:lineRule="exact"/>
              <w:jc w:val="center"/>
              <w:rPr>
                <w:rFonts w:ascii="宋体" w:hAnsi="宋体"/>
                <w:color w:val="auto"/>
              </w:rPr>
            </w:pPr>
            <w:r>
              <w:rPr>
                <w:rFonts w:hint="eastAsia" w:ascii="宋体" w:hAnsi="宋体"/>
                <w:color w:val="auto"/>
              </w:rPr>
              <w:t>服务质量标准</w:t>
            </w:r>
          </w:p>
        </w:tc>
        <w:tc>
          <w:tcPr>
            <w:tcW w:w="6875" w:type="dxa"/>
            <w:vAlign w:val="center"/>
          </w:tcPr>
          <w:p>
            <w:pPr>
              <w:adjustRightInd w:val="0"/>
              <w:snapToGrid w:val="0"/>
              <w:spacing w:line="400" w:lineRule="exact"/>
              <w:rPr>
                <w:rFonts w:ascii="宋体" w:hAnsi="宋体"/>
                <w:color w:val="auto"/>
              </w:rPr>
            </w:pPr>
            <w:r>
              <w:rPr>
                <w:rFonts w:hint="eastAsia" w:ascii="宋体" w:hAnsi="宋体"/>
                <w:color w:val="auto"/>
              </w:rPr>
              <w:t>住宅物业服务质量标准从《湖南省物业服务收费管理办法》附件一《湖南省住宅物业服务分项目分等级基准价标准》中选取相应等级，具体标准见第六章物业服务需求书。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1.4.1</w:t>
            </w:r>
          </w:p>
        </w:tc>
        <w:tc>
          <w:tcPr>
            <w:tcW w:w="1972" w:type="dxa"/>
            <w:vAlign w:val="center"/>
          </w:tcPr>
          <w:p>
            <w:pPr>
              <w:spacing w:line="400" w:lineRule="exact"/>
              <w:jc w:val="center"/>
              <w:rPr>
                <w:rFonts w:ascii="宋体" w:hAnsi="宋体"/>
                <w:color w:val="auto"/>
              </w:rPr>
            </w:pPr>
            <w:r>
              <w:rPr>
                <w:rFonts w:hint="eastAsia" w:ascii="宋体" w:hAnsi="宋体"/>
                <w:color w:val="auto"/>
              </w:rPr>
              <w:t>投标人资格要求</w:t>
            </w:r>
          </w:p>
        </w:tc>
        <w:tc>
          <w:tcPr>
            <w:tcW w:w="6875" w:type="dxa"/>
            <w:vAlign w:val="center"/>
          </w:tcPr>
          <w:p>
            <w:pPr>
              <w:adjustRightInd w:val="0"/>
              <w:snapToGrid w:val="0"/>
              <w:spacing w:line="400" w:lineRule="exact"/>
              <w:rPr>
                <w:rFonts w:ascii="宋体" w:hAnsi="宋体"/>
                <w:color w:val="auto"/>
              </w:rPr>
            </w:pPr>
            <w:r>
              <w:rPr>
                <w:rFonts w:hint="eastAsia" w:ascii="宋体" w:hAnsi="宋体"/>
                <w:color w:val="auto"/>
              </w:rPr>
              <w:t>1、具有物业服务企业资质或在永州市物业管理办公室完成企业备案；</w:t>
            </w:r>
          </w:p>
          <w:p>
            <w:pPr>
              <w:adjustRightInd w:val="0"/>
              <w:snapToGrid w:val="0"/>
              <w:spacing w:line="400" w:lineRule="exact"/>
              <w:rPr>
                <w:rFonts w:ascii="宋体" w:hAnsi="宋体"/>
                <w:color w:val="auto"/>
              </w:rPr>
            </w:pPr>
            <w:r>
              <w:rPr>
                <w:rFonts w:hint="eastAsia" w:ascii="宋体" w:hAnsi="宋体"/>
                <w:color w:val="auto"/>
              </w:rPr>
              <w:t>2、拟派驻招标项目的负责人具备物业管理师资格或物业服务企业经理岗位证；</w:t>
            </w:r>
          </w:p>
          <w:p>
            <w:pPr>
              <w:adjustRightInd w:val="0"/>
              <w:snapToGrid w:val="0"/>
              <w:spacing w:line="400" w:lineRule="exact"/>
              <w:rPr>
                <w:rFonts w:ascii="宋体" w:hAnsi="宋体"/>
                <w:color w:val="auto"/>
              </w:rPr>
            </w:pPr>
            <w:r>
              <w:rPr>
                <w:rFonts w:hint="eastAsia" w:ascii="宋体" w:hAnsi="宋体"/>
                <w:color w:val="auto"/>
              </w:rPr>
              <w:t>3、投标报名前三年未受过市、县（区）物业管理行政主管部门处罚；</w:t>
            </w:r>
          </w:p>
          <w:p>
            <w:pPr>
              <w:adjustRightInd w:val="0"/>
              <w:snapToGrid w:val="0"/>
              <w:spacing w:line="400" w:lineRule="exact"/>
              <w:rPr>
                <w:rFonts w:ascii="宋体" w:hAnsi="宋体"/>
                <w:color w:val="auto"/>
              </w:rPr>
            </w:pPr>
            <w:r>
              <w:rPr>
                <w:rFonts w:hint="eastAsia" w:ascii="宋体" w:hAnsi="宋体"/>
                <w:color w:val="auto"/>
              </w:rPr>
              <w:t>4、具有协助招标人开展业主入住等相关工作的能力和条件。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1.4.2</w:t>
            </w:r>
          </w:p>
        </w:tc>
        <w:tc>
          <w:tcPr>
            <w:tcW w:w="1972" w:type="dxa"/>
            <w:vAlign w:val="center"/>
          </w:tcPr>
          <w:p>
            <w:pPr>
              <w:spacing w:line="400" w:lineRule="exact"/>
              <w:jc w:val="center"/>
              <w:rPr>
                <w:rFonts w:ascii="宋体" w:hAnsi="宋体"/>
                <w:color w:val="auto"/>
              </w:rPr>
            </w:pPr>
            <w:r>
              <w:rPr>
                <w:rFonts w:hint="eastAsia" w:ascii="宋体" w:hAnsi="宋体"/>
                <w:color w:val="auto"/>
              </w:rPr>
              <w:t>是香接受联合体</w:t>
            </w:r>
          </w:p>
          <w:p>
            <w:pPr>
              <w:spacing w:line="400" w:lineRule="exact"/>
              <w:jc w:val="center"/>
              <w:rPr>
                <w:rFonts w:ascii="宋体" w:hAnsi="宋体"/>
                <w:color w:val="auto"/>
              </w:rPr>
            </w:pPr>
            <w:r>
              <w:rPr>
                <w:rFonts w:hint="eastAsia" w:ascii="宋体" w:hAnsi="宋体"/>
                <w:color w:val="auto"/>
              </w:rPr>
              <w:t>投标</w:t>
            </w:r>
          </w:p>
        </w:tc>
        <w:tc>
          <w:tcPr>
            <w:tcW w:w="6875" w:type="dxa"/>
            <w:vAlign w:val="center"/>
          </w:tcPr>
          <w:p>
            <w:pPr>
              <w:adjustRightInd w:val="0"/>
              <w:snapToGrid w:val="0"/>
              <w:spacing w:line="400" w:lineRule="exact"/>
              <w:rPr>
                <w:rFonts w:ascii="宋体" w:hAnsi="宋体"/>
                <w:color w:val="auto"/>
              </w:rPr>
            </w:pPr>
            <w:r>
              <w:rPr>
                <w:rFonts w:hint="eastAsia" w:ascii="宋体" w:hAnsi="宋体"/>
                <w:color w:val="auto"/>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1.5.1</w:t>
            </w:r>
          </w:p>
        </w:tc>
        <w:tc>
          <w:tcPr>
            <w:tcW w:w="1972" w:type="dxa"/>
            <w:vAlign w:val="center"/>
          </w:tcPr>
          <w:p>
            <w:pPr>
              <w:spacing w:line="400" w:lineRule="exact"/>
              <w:jc w:val="center"/>
              <w:rPr>
                <w:rFonts w:ascii="宋体" w:hAnsi="宋体"/>
                <w:color w:val="auto"/>
              </w:rPr>
            </w:pPr>
            <w:r>
              <w:rPr>
                <w:rFonts w:hint="eastAsia" w:ascii="宋体" w:hAnsi="宋体"/>
                <w:color w:val="auto"/>
              </w:rPr>
              <w:t>踏勘现场</w:t>
            </w:r>
          </w:p>
        </w:tc>
        <w:tc>
          <w:tcPr>
            <w:tcW w:w="6875" w:type="dxa"/>
            <w:vAlign w:val="center"/>
          </w:tcPr>
          <w:p>
            <w:pPr>
              <w:adjustRightInd w:val="0"/>
              <w:snapToGrid w:val="0"/>
              <w:spacing w:line="400" w:lineRule="exact"/>
              <w:rPr>
                <w:rFonts w:ascii="宋体" w:hAnsi="宋体"/>
                <w:color w:val="auto"/>
              </w:rPr>
            </w:pPr>
            <w:r>
              <w:rPr>
                <w:rFonts w:hint="eastAsia" w:ascii="宋体" w:hAnsi="宋体"/>
                <w:color w:val="auto"/>
              </w:rPr>
              <w:t>本项目招标人不统一组织现场踏勘，由投标人自行踏勘现场。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1.6.1</w:t>
            </w:r>
          </w:p>
        </w:tc>
        <w:tc>
          <w:tcPr>
            <w:tcW w:w="1972" w:type="dxa"/>
            <w:vAlign w:val="center"/>
          </w:tcPr>
          <w:p>
            <w:pPr>
              <w:spacing w:line="400" w:lineRule="exact"/>
              <w:jc w:val="center"/>
              <w:rPr>
                <w:rFonts w:ascii="宋体" w:hAnsi="宋体"/>
                <w:color w:val="auto"/>
              </w:rPr>
            </w:pPr>
            <w:r>
              <w:rPr>
                <w:rFonts w:hint="eastAsia" w:ascii="宋体" w:hAnsi="宋体"/>
                <w:color w:val="auto"/>
              </w:rPr>
              <w:t>投标预备会</w:t>
            </w:r>
          </w:p>
        </w:tc>
        <w:tc>
          <w:tcPr>
            <w:tcW w:w="6875" w:type="dxa"/>
            <w:vAlign w:val="center"/>
          </w:tcPr>
          <w:p>
            <w:pPr>
              <w:spacing w:line="400" w:lineRule="exact"/>
              <w:rPr>
                <w:rFonts w:ascii="宋体" w:hAnsi="宋体"/>
                <w:color w:val="auto"/>
              </w:rPr>
            </w:pPr>
            <w:r>
              <w:rPr>
                <w:rFonts w:hint="eastAsia" w:ascii="宋体" w:hAnsi="宋体"/>
                <w:color w:val="auto"/>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1.7.1</w:t>
            </w:r>
          </w:p>
        </w:tc>
        <w:tc>
          <w:tcPr>
            <w:tcW w:w="1972" w:type="dxa"/>
            <w:vAlign w:val="center"/>
          </w:tcPr>
          <w:p>
            <w:pPr>
              <w:spacing w:line="400" w:lineRule="exact"/>
              <w:jc w:val="center"/>
              <w:rPr>
                <w:rFonts w:ascii="宋体" w:hAnsi="宋体"/>
                <w:color w:val="auto"/>
              </w:rPr>
            </w:pPr>
            <w:r>
              <w:rPr>
                <w:rFonts w:hint="eastAsia" w:ascii="宋体" w:hAnsi="宋体"/>
                <w:color w:val="auto"/>
              </w:rPr>
              <w:t>招标人</w:t>
            </w:r>
          </w:p>
        </w:tc>
        <w:tc>
          <w:tcPr>
            <w:tcW w:w="6875" w:type="dxa"/>
            <w:vAlign w:val="center"/>
          </w:tcPr>
          <w:p>
            <w:pPr>
              <w:spacing w:line="400" w:lineRule="exact"/>
              <w:rPr>
                <w:rFonts w:ascii="宋体" w:hAnsi="宋体"/>
                <w:color w:val="auto"/>
              </w:rPr>
            </w:pPr>
            <w:r>
              <w:rPr>
                <w:rFonts w:hint="eastAsia" w:ascii="宋体" w:hAnsi="宋体"/>
                <w:color w:val="auto"/>
              </w:rPr>
              <w:t>综合评分法，详见第六部分《评标办法》。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1.8.1</w:t>
            </w:r>
          </w:p>
        </w:tc>
        <w:tc>
          <w:tcPr>
            <w:tcW w:w="1972" w:type="dxa"/>
            <w:vAlign w:val="center"/>
          </w:tcPr>
          <w:p>
            <w:pPr>
              <w:spacing w:line="400" w:lineRule="exact"/>
              <w:jc w:val="center"/>
              <w:rPr>
                <w:rFonts w:ascii="宋体" w:hAnsi="宋体"/>
                <w:color w:val="auto"/>
              </w:rPr>
            </w:pPr>
            <w:r>
              <w:rPr>
                <w:rFonts w:hint="eastAsia" w:ascii="宋体" w:hAnsi="宋体"/>
                <w:color w:val="auto"/>
              </w:rPr>
              <w:t>专项服务分包</w:t>
            </w:r>
          </w:p>
        </w:tc>
        <w:tc>
          <w:tcPr>
            <w:tcW w:w="6875" w:type="dxa"/>
            <w:vAlign w:val="center"/>
          </w:tcPr>
          <w:p>
            <w:pPr>
              <w:spacing w:line="400" w:lineRule="exact"/>
              <w:rPr>
                <w:rFonts w:ascii="宋体" w:hAnsi="宋体"/>
                <w:color w:val="auto"/>
              </w:rPr>
            </w:pPr>
            <w:r>
              <w:rPr>
                <w:rFonts w:hint="eastAsia" w:ascii="宋体" w:hAnsi="宋体"/>
                <w:color w:val="auto"/>
              </w:rPr>
              <w:t>专业服务分包需经过招标人认可。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1.9.1</w:t>
            </w:r>
          </w:p>
        </w:tc>
        <w:tc>
          <w:tcPr>
            <w:tcW w:w="1972" w:type="dxa"/>
            <w:vAlign w:val="center"/>
          </w:tcPr>
          <w:p>
            <w:pPr>
              <w:spacing w:line="400" w:lineRule="exact"/>
              <w:jc w:val="center"/>
              <w:rPr>
                <w:rFonts w:ascii="宋体" w:hAnsi="宋体"/>
                <w:color w:val="auto"/>
              </w:rPr>
            </w:pPr>
            <w:r>
              <w:rPr>
                <w:rFonts w:hint="eastAsia" w:ascii="宋体" w:hAnsi="宋体"/>
                <w:color w:val="auto"/>
              </w:rPr>
              <w:t>偏  离</w:t>
            </w:r>
          </w:p>
        </w:tc>
        <w:tc>
          <w:tcPr>
            <w:tcW w:w="6875" w:type="dxa"/>
            <w:vAlign w:val="center"/>
          </w:tcPr>
          <w:p>
            <w:pPr>
              <w:spacing w:line="400" w:lineRule="exact"/>
              <w:rPr>
                <w:rFonts w:ascii="宋体" w:hAnsi="宋体"/>
                <w:color w:val="auto"/>
              </w:rPr>
            </w:pPr>
            <w:r>
              <w:rPr>
                <w:rFonts w:hint="eastAsia" w:ascii="宋体" w:hAnsi="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2.1</w:t>
            </w:r>
          </w:p>
        </w:tc>
        <w:tc>
          <w:tcPr>
            <w:tcW w:w="1972" w:type="dxa"/>
            <w:vAlign w:val="center"/>
          </w:tcPr>
          <w:p>
            <w:pPr>
              <w:spacing w:line="400" w:lineRule="exact"/>
              <w:jc w:val="center"/>
              <w:rPr>
                <w:rFonts w:ascii="宋体" w:hAnsi="宋体"/>
                <w:color w:val="auto"/>
              </w:rPr>
            </w:pPr>
            <w:r>
              <w:rPr>
                <w:rFonts w:hint="eastAsia" w:ascii="宋体" w:hAnsi="宋体"/>
                <w:color w:val="auto"/>
              </w:rPr>
              <w:t>构成投标文件的</w:t>
            </w:r>
          </w:p>
          <w:p>
            <w:pPr>
              <w:spacing w:line="400" w:lineRule="exact"/>
              <w:jc w:val="center"/>
              <w:rPr>
                <w:rFonts w:ascii="宋体" w:hAnsi="宋体"/>
                <w:color w:val="auto"/>
              </w:rPr>
            </w:pPr>
            <w:r>
              <w:rPr>
                <w:rFonts w:hint="eastAsia" w:ascii="宋体" w:hAnsi="宋体"/>
                <w:color w:val="auto"/>
              </w:rPr>
              <w:t>其他材料</w:t>
            </w:r>
          </w:p>
        </w:tc>
        <w:tc>
          <w:tcPr>
            <w:tcW w:w="6875" w:type="dxa"/>
            <w:vAlign w:val="center"/>
          </w:tcPr>
          <w:p>
            <w:pPr>
              <w:spacing w:line="400" w:lineRule="exact"/>
              <w:rPr>
                <w:rFonts w:ascii="宋体" w:hAnsi="宋体"/>
                <w:color w:val="auto"/>
              </w:rPr>
            </w:pPr>
            <w:r>
              <w:rPr>
                <w:rFonts w:hint="eastAsia" w:ascii="宋体" w:hAnsi="宋体"/>
                <w:color w:val="auto"/>
              </w:rPr>
              <w:t>招标人对招标文件的修改、澄清和补充。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2.2.4</w:t>
            </w:r>
          </w:p>
        </w:tc>
        <w:tc>
          <w:tcPr>
            <w:tcW w:w="1972" w:type="dxa"/>
            <w:vAlign w:val="center"/>
          </w:tcPr>
          <w:p>
            <w:pPr>
              <w:spacing w:line="400" w:lineRule="exact"/>
              <w:jc w:val="center"/>
              <w:rPr>
                <w:rFonts w:ascii="宋体" w:hAnsi="宋体"/>
                <w:color w:val="auto"/>
              </w:rPr>
            </w:pPr>
            <w:r>
              <w:rPr>
                <w:rFonts w:hint="eastAsia" w:ascii="宋体" w:hAnsi="宋体"/>
                <w:color w:val="auto"/>
              </w:rPr>
              <w:t>投标截止时间</w:t>
            </w:r>
          </w:p>
        </w:tc>
        <w:tc>
          <w:tcPr>
            <w:tcW w:w="6875" w:type="dxa"/>
            <w:vAlign w:val="center"/>
          </w:tcPr>
          <w:p>
            <w:pPr>
              <w:spacing w:line="400" w:lineRule="exact"/>
              <w:rPr>
                <w:rFonts w:ascii="宋体" w:hAnsi="宋体"/>
                <w:color w:val="auto"/>
              </w:rPr>
            </w:pPr>
            <w:r>
              <w:rPr>
                <w:rFonts w:hint="eastAsia" w:ascii="宋体" w:hAnsi="宋体"/>
                <w:color w:val="auto"/>
              </w:rPr>
              <w:t>2019年</w:t>
            </w:r>
            <w:r>
              <w:rPr>
                <w:rFonts w:hint="eastAsia" w:ascii="宋体" w:hAnsi="宋体"/>
                <w:color w:val="auto"/>
                <w:lang w:val="en-US" w:eastAsia="zh-CN"/>
              </w:rPr>
              <w:t>8</w:t>
            </w:r>
            <w:r>
              <w:rPr>
                <w:rFonts w:hint="eastAsia" w:ascii="宋体" w:hAnsi="宋体"/>
                <w:color w:val="auto"/>
              </w:rPr>
              <w:t>月</w:t>
            </w:r>
            <w:r>
              <w:rPr>
                <w:rFonts w:hint="eastAsia" w:ascii="宋体" w:hAnsi="宋体"/>
                <w:color w:val="auto"/>
                <w:lang w:val="en-US" w:eastAsia="zh-CN"/>
              </w:rPr>
              <w:t>2</w:t>
            </w:r>
            <w:r>
              <w:rPr>
                <w:rFonts w:hint="eastAsia" w:ascii="宋体" w:hAnsi="宋体"/>
                <w:color w:val="auto"/>
              </w:rPr>
              <w:t>9日10：30时。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2.3</w:t>
            </w:r>
          </w:p>
        </w:tc>
        <w:tc>
          <w:tcPr>
            <w:tcW w:w="1972" w:type="dxa"/>
            <w:vAlign w:val="center"/>
          </w:tcPr>
          <w:p>
            <w:pPr>
              <w:spacing w:line="400" w:lineRule="exact"/>
              <w:jc w:val="center"/>
              <w:rPr>
                <w:rFonts w:ascii="宋体" w:hAnsi="宋体"/>
                <w:color w:val="auto"/>
              </w:rPr>
            </w:pPr>
            <w:r>
              <w:rPr>
                <w:rFonts w:hint="eastAsia" w:ascii="宋体" w:hAnsi="宋体"/>
                <w:color w:val="auto"/>
              </w:rPr>
              <w:t>投标人确认收到招标文件修改的时间</w:t>
            </w:r>
          </w:p>
        </w:tc>
        <w:tc>
          <w:tcPr>
            <w:tcW w:w="6875" w:type="dxa"/>
            <w:vAlign w:val="center"/>
          </w:tcPr>
          <w:p>
            <w:pPr>
              <w:spacing w:line="400" w:lineRule="exact"/>
              <w:rPr>
                <w:rFonts w:ascii="宋体" w:hAnsi="宋体"/>
                <w:color w:val="auto"/>
              </w:rPr>
            </w:pPr>
            <w:r>
              <w:rPr>
                <w:rFonts w:hint="eastAsia" w:ascii="宋体" w:hAnsi="宋体"/>
                <w:color w:val="auto"/>
              </w:rPr>
              <w:t>不需确认。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3.1.1</w:t>
            </w:r>
          </w:p>
        </w:tc>
        <w:tc>
          <w:tcPr>
            <w:tcW w:w="1972" w:type="dxa"/>
            <w:vAlign w:val="center"/>
          </w:tcPr>
          <w:p>
            <w:pPr>
              <w:spacing w:line="400" w:lineRule="exact"/>
              <w:jc w:val="center"/>
              <w:rPr>
                <w:rFonts w:ascii="宋体" w:hAnsi="宋体"/>
                <w:color w:val="auto"/>
              </w:rPr>
            </w:pPr>
            <w:r>
              <w:rPr>
                <w:rFonts w:hint="eastAsia" w:ascii="宋体" w:hAnsi="宋体"/>
                <w:color w:val="auto"/>
              </w:rPr>
              <w:t>构成投标文件的</w:t>
            </w:r>
          </w:p>
          <w:p>
            <w:pPr>
              <w:spacing w:line="400" w:lineRule="exact"/>
              <w:jc w:val="center"/>
              <w:rPr>
                <w:rFonts w:ascii="宋体" w:hAnsi="宋体"/>
                <w:color w:val="auto"/>
              </w:rPr>
            </w:pPr>
            <w:r>
              <w:rPr>
                <w:rFonts w:hint="eastAsia" w:ascii="宋体" w:hAnsi="宋体"/>
                <w:color w:val="auto"/>
              </w:rPr>
              <w:t>其他材料</w:t>
            </w:r>
          </w:p>
        </w:tc>
        <w:tc>
          <w:tcPr>
            <w:tcW w:w="6875" w:type="dxa"/>
            <w:vAlign w:val="center"/>
          </w:tcPr>
          <w:p>
            <w:pPr>
              <w:spacing w:line="400" w:lineRule="exact"/>
              <w:rPr>
                <w:rFonts w:ascii="宋体" w:hAnsi="宋体"/>
                <w:color w:val="auto"/>
              </w:rPr>
            </w:pPr>
            <w:r>
              <w:rPr>
                <w:rFonts w:hint="eastAsia" w:ascii="宋体" w:hAnsi="宋体"/>
                <w:color w:val="auto"/>
              </w:rPr>
              <w:t>开标时要求提交的证书及证明原件如下：</w:t>
            </w:r>
          </w:p>
          <w:p>
            <w:pPr>
              <w:numPr>
                <w:ilvl w:val="0"/>
                <w:numId w:val="2"/>
              </w:numPr>
              <w:spacing w:line="400" w:lineRule="exact"/>
              <w:rPr>
                <w:rFonts w:ascii="宋体" w:hAnsi="宋体"/>
                <w:color w:val="auto"/>
              </w:rPr>
            </w:pPr>
            <w:r>
              <w:rPr>
                <w:rFonts w:hint="eastAsia" w:ascii="宋体" w:hAnsi="宋体"/>
                <w:color w:val="auto"/>
              </w:rPr>
              <w:t>营业执照副本；</w:t>
            </w:r>
          </w:p>
          <w:p>
            <w:pPr>
              <w:numPr>
                <w:ilvl w:val="0"/>
                <w:numId w:val="2"/>
              </w:numPr>
              <w:spacing w:line="400" w:lineRule="exact"/>
              <w:rPr>
                <w:rFonts w:ascii="宋体" w:hAnsi="宋体"/>
                <w:color w:val="auto"/>
              </w:rPr>
            </w:pPr>
            <w:r>
              <w:rPr>
                <w:rFonts w:hint="eastAsia" w:ascii="宋体" w:hAnsi="宋体"/>
                <w:color w:val="auto"/>
              </w:rPr>
              <w:t>资质等级证书副本；</w:t>
            </w:r>
          </w:p>
          <w:p>
            <w:pPr>
              <w:numPr>
                <w:ilvl w:val="0"/>
                <w:numId w:val="2"/>
              </w:numPr>
              <w:spacing w:line="400" w:lineRule="exact"/>
              <w:rPr>
                <w:rFonts w:ascii="宋体" w:hAnsi="宋体"/>
                <w:color w:val="auto"/>
              </w:rPr>
            </w:pPr>
            <w:r>
              <w:rPr>
                <w:rFonts w:hint="eastAsia" w:ascii="宋体" w:hAnsi="宋体"/>
                <w:color w:val="auto"/>
              </w:rPr>
              <w:t>项目负责人的职业资格证书</w:t>
            </w:r>
          </w:p>
          <w:p>
            <w:pPr>
              <w:spacing w:line="400" w:lineRule="exact"/>
              <w:rPr>
                <w:rFonts w:ascii="宋体" w:hAnsi="宋体"/>
                <w:color w:val="auto"/>
              </w:rPr>
            </w:pPr>
            <w:r>
              <w:rPr>
                <w:rFonts w:hint="eastAsia" w:ascii="宋体" w:hAnsi="宋体"/>
                <w:color w:val="auto"/>
              </w:rPr>
              <w:t>说明：</w:t>
            </w:r>
          </w:p>
          <w:p>
            <w:pPr>
              <w:spacing w:line="400" w:lineRule="exact"/>
              <w:rPr>
                <w:rFonts w:ascii="宋体" w:hAnsi="宋体"/>
                <w:color w:val="auto"/>
              </w:rPr>
            </w:pPr>
            <w:r>
              <w:rPr>
                <w:rFonts w:hint="eastAsia" w:ascii="宋体" w:hAnsi="宋体"/>
                <w:color w:val="auto"/>
              </w:rPr>
              <w:t>(1)如果以上原件正在年检，则必须提供年检单位出具的有效盖章正明原件。</w:t>
            </w:r>
          </w:p>
          <w:p>
            <w:pPr>
              <w:spacing w:line="400" w:lineRule="exact"/>
              <w:rPr>
                <w:rFonts w:ascii="宋体" w:hAnsi="宋体"/>
                <w:color w:val="auto"/>
              </w:rPr>
            </w:pPr>
            <w:r>
              <w:rPr>
                <w:rFonts w:hint="eastAsia" w:ascii="宋体" w:hAnsi="宋体"/>
                <w:color w:val="auto"/>
              </w:rPr>
              <w:t>(2)投标人应将以上原件装入密封袋内单独提交，原件需列详细清单。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3.3.1</w:t>
            </w:r>
          </w:p>
        </w:tc>
        <w:tc>
          <w:tcPr>
            <w:tcW w:w="1972" w:type="dxa"/>
            <w:vAlign w:val="center"/>
          </w:tcPr>
          <w:p>
            <w:pPr>
              <w:spacing w:line="400" w:lineRule="exact"/>
              <w:jc w:val="center"/>
              <w:rPr>
                <w:rFonts w:ascii="宋体" w:hAnsi="宋体"/>
                <w:color w:val="auto"/>
              </w:rPr>
            </w:pPr>
            <w:r>
              <w:rPr>
                <w:rFonts w:hint="eastAsia" w:ascii="宋体" w:hAnsi="宋体"/>
                <w:color w:val="auto"/>
              </w:rPr>
              <w:t>投标有效期</w:t>
            </w:r>
          </w:p>
        </w:tc>
        <w:tc>
          <w:tcPr>
            <w:tcW w:w="6875" w:type="dxa"/>
            <w:vAlign w:val="center"/>
          </w:tcPr>
          <w:p>
            <w:pPr>
              <w:spacing w:line="400" w:lineRule="exact"/>
              <w:rPr>
                <w:rFonts w:ascii="宋体" w:hAnsi="宋体"/>
                <w:color w:val="auto"/>
                <w:szCs w:val="21"/>
              </w:rPr>
            </w:pPr>
            <w:r>
              <w:rPr>
                <w:rFonts w:hint="eastAsia" w:ascii="宋体" w:hAnsi="宋体"/>
                <w:color w:val="auto"/>
              </w:rPr>
              <w:t>90天，从投标截止时间算起。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3.4.1</w:t>
            </w:r>
          </w:p>
        </w:tc>
        <w:tc>
          <w:tcPr>
            <w:tcW w:w="1972" w:type="dxa"/>
            <w:vAlign w:val="center"/>
          </w:tcPr>
          <w:p>
            <w:pPr>
              <w:spacing w:line="400" w:lineRule="exact"/>
              <w:jc w:val="center"/>
              <w:rPr>
                <w:rFonts w:ascii="宋体" w:hAnsi="宋体"/>
                <w:color w:val="auto"/>
              </w:rPr>
            </w:pPr>
            <w:r>
              <w:rPr>
                <w:rFonts w:hint="eastAsia" w:ascii="宋体" w:hAnsi="宋体"/>
                <w:color w:val="auto"/>
              </w:rPr>
              <w:t>投标保证金</w:t>
            </w:r>
          </w:p>
        </w:tc>
        <w:tc>
          <w:tcPr>
            <w:tcW w:w="6875" w:type="dxa"/>
            <w:vAlign w:val="center"/>
          </w:tcPr>
          <w:p>
            <w:pPr>
              <w:tabs>
                <w:tab w:val="right" w:leader="middleDot" w:pos="8931"/>
              </w:tabs>
              <w:spacing w:line="360" w:lineRule="exact"/>
              <w:rPr>
                <w:rFonts w:ascii="宋体" w:hAnsi="宋体"/>
                <w:color w:val="auto"/>
                <w:szCs w:val="21"/>
              </w:rPr>
            </w:pPr>
            <w:r>
              <w:rPr>
                <w:rFonts w:hint="eastAsia" w:ascii="宋体" w:hAnsi="宋体"/>
                <w:color w:val="auto"/>
                <w:szCs w:val="21"/>
              </w:rPr>
              <w:t>1、人民币壹万元整（10000.00元），在开标截止时间前，投标人将保证金交到</w:t>
            </w:r>
            <w:r>
              <w:rPr>
                <w:rFonts w:hint="eastAsia" w:ascii="宋体" w:hAnsi="宋体"/>
                <w:color w:val="auto"/>
                <w:szCs w:val="21"/>
                <w:lang w:eastAsia="zh-CN"/>
              </w:rPr>
              <w:t>湖南博凯建设有限公司</w:t>
            </w:r>
            <w:r>
              <w:rPr>
                <w:rFonts w:hint="eastAsia" w:ascii="宋体" w:hAnsi="宋体"/>
                <w:color w:val="auto"/>
                <w:szCs w:val="21"/>
              </w:rPr>
              <w:t>，并办理投标保证金收据。</w:t>
            </w:r>
          </w:p>
          <w:p>
            <w:pPr>
              <w:spacing w:line="400" w:lineRule="exact"/>
              <w:rPr>
                <w:rFonts w:ascii="宋体" w:hAnsi="宋体"/>
                <w:color w:val="auto"/>
                <w:szCs w:val="21"/>
              </w:rPr>
            </w:pPr>
            <w:r>
              <w:rPr>
                <w:rFonts w:hint="eastAsia" w:ascii="宋体" w:hAnsi="宋体"/>
                <w:color w:val="auto"/>
                <w:szCs w:val="21"/>
              </w:rPr>
              <w:t>2、开标时，投标人必须提交投标保证金收据。</w:t>
            </w:r>
          </w:p>
          <w:p>
            <w:pPr>
              <w:spacing w:line="400" w:lineRule="exact"/>
              <w:rPr>
                <w:rFonts w:ascii="宋体" w:hAnsi="宋体"/>
                <w:color w:val="auto"/>
                <w:szCs w:val="21"/>
              </w:rPr>
            </w:pPr>
            <w:r>
              <w:rPr>
                <w:rFonts w:hint="eastAsia" w:ascii="宋体" w:hAnsi="宋体"/>
                <w:color w:val="auto"/>
                <w:szCs w:val="21"/>
              </w:rPr>
              <w:t>3、中标人的投标保证金在与招标人签订了合同后自动转为履约保证金；其他未中标或者在投标截止时间前放弃投标的投标人，其投标保证金于中标通知书发出后5个工作日内无息退还。</w:t>
            </w:r>
          </w:p>
          <w:p>
            <w:pPr>
              <w:spacing w:line="400" w:lineRule="exact"/>
              <w:rPr>
                <w:rFonts w:ascii="宋体" w:hAnsi="宋体"/>
                <w:color w:val="auto"/>
              </w:rPr>
            </w:pPr>
            <w:r>
              <w:rPr>
                <w:rFonts w:hint="eastAsia" w:ascii="宋体" w:hAnsi="宋体"/>
                <w:color w:val="auto"/>
                <w:szCs w:val="21"/>
              </w:rPr>
              <w:t>4．中标人未能按中标通知书规定的时间和地点与招标方签订合同，投标保证金将不予返还投标人。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3.6.3</w:t>
            </w:r>
          </w:p>
        </w:tc>
        <w:tc>
          <w:tcPr>
            <w:tcW w:w="1972" w:type="dxa"/>
            <w:vAlign w:val="center"/>
          </w:tcPr>
          <w:p>
            <w:pPr>
              <w:spacing w:line="400" w:lineRule="exact"/>
              <w:jc w:val="center"/>
              <w:rPr>
                <w:rFonts w:ascii="宋体" w:hAnsi="宋体"/>
                <w:color w:val="auto"/>
              </w:rPr>
            </w:pPr>
            <w:r>
              <w:rPr>
                <w:rFonts w:hint="eastAsia" w:ascii="宋体" w:hAnsi="宋体"/>
                <w:color w:val="auto"/>
              </w:rPr>
              <w:t>签字和盖章要求</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 xml:space="preserve"> (1)投标文件封面、投标函、及招标文件第七章“投标文件格式”有规定的，必须同时由投标人的法定代表人或其委托代理人签字(或盖章)并加盖单位公章。</w:t>
            </w:r>
          </w:p>
          <w:p>
            <w:pPr>
              <w:spacing w:line="400" w:lineRule="exact"/>
              <w:rPr>
                <w:rFonts w:ascii="宋体" w:hAnsi="宋体"/>
                <w:color w:val="auto"/>
                <w:szCs w:val="21"/>
              </w:rPr>
            </w:pPr>
            <w:r>
              <w:rPr>
                <w:rFonts w:hint="eastAsia" w:ascii="宋体" w:hAnsi="宋体"/>
                <w:color w:val="auto"/>
                <w:szCs w:val="21"/>
              </w:rPr>
              <w:t xml:space="preserve"> (2)上述签字盖章要求投标文件正本法定代表人本人亲笔签字，盖章必须为原章，副本可用正本复印。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3.6.4</w:t>
            </w:r>
          </w:p>
          <w:p>
            <w:pPr>
              <w:spacing w:line="400" w:lineRule="exact"/>
              <w:jc w:val="center"/>
              <w:rPr>
                <w:rFonts w:ascii="宋体" w:hAnsi="宋体"/>
                <w:color w:val="auto"/>
              </w:rPr>
            </w:pPr>
          </w:p>
        </w:tc>
        <w:tc>
          <w:tcPr>
            <w:tcW w:w="1972" w:type="dxa"/>
            <w:vAlign w:val="center"/>
          </w:tcPr>
          <w:p>
            <w:pPr>
              <w:spacing w:line="400" w:lineRule="exact"/>
              <w:jc w:val="center"/>
              <w:rPr>
                <w:rFonts w:ascii="宋体" w:hAnsi="宋体"/>
                <w:color w:val="auto"/>
              </w:rPr>
            </w:pPr>
            <w:r>
              <w:rPr>
                <w:rFonts w:hint="eastAsia" w:ascii="宋体" w:hAnsi="宋体"/>
                <w:color w:val="auto"/>
              </w:rPr>
              <w:t>投标文件份数</w:t>
            </w:r>
          </w:p>
        </w:tc>
        <w:tc>
          <w:tcPr>
            <w:tcW w:w="6875" w:type="dxa"/>
            <w:vAlign w:val="center"/>
          </w:tcPr>
          <w:p>
            <w:pPr>
              <w:spacing w:line="400" w:lineRule="exact"/>
              <w:rPr>
                <w:rFonts w:ascii="宋体" w:hAnsi="宋体"/>
                <w:color w:val="auto"/>
                <w:szCs w:val="21"/>
              </w:rPr>
            </w:pPr>
            <w:r>
              <w:rPr>
                <w:rFonts w:hint="eastAsia" w:ascii="宋体" w:hAnsi="宋体"/>
                <w:color w:val="auto"/>
                <w:szCs w:val="21"/>
                <w:u w:val="single"/>
              </w:rPr>
              <w:t>正本壹份，副本肆份，副本可复印，正本和副本的封面上应请楚地标记“正本”或“副本”的字样。当副本和正本不一致时，以正本为准。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3.6.5</w:t>
            </w:r>
          </w:p>
        </w:tc>
        <w:tc>
          <w:tcPr>
            <w:tcW w:w="1972" w:type="dxa"/>
            <w:vAlign w:val="center"/>
          </w:tcPr>
          <w:p>
            <w:pPr>
              <w:spacing w:line="400" w:lineRule="exact"/>
              <w:jc w:val="center"/>
              <w:rPr>
                <w:rFonts w:ascii="宋体" w:hAnsi="宋体"/>
                <w:color w:val="auto"/>
              </w:rPr>
            </w:pPr>
            <w:r>
              <w:rPr>
                <w:rFonts w:hint="eastAsia" w:ascii="宋体" w:hAnsi="宋体"/>
                <w:color w:val="auto"/>
              </w:rPr>
              <w:t>装订要求</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按照投标人须知第3.1.1项规定的投标文件组成内容，投标文件的正本与副本应分别装订成册，并编制目录，每册均应装订牢固、不易拆散和换页，提倡双面打印。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4.1.2</w:t>
            </w:r>
          </w:p>
        </w:tc>
        <w:tc>
          <w:tcPr>
            <w:tcW w:w="1972" w:type="dxa"/>
            <w:vAlign w:val="center"/>
          </w:tcPr>
          <w:p>
            <w:pPr>
              <w:spacing w:line="400" w:lineRule="exact"/>
              <w:jc w:val="center"/>
              <w:rPr>
                <w:rFonts w:ascii="宋体" w:hAnsi="宋体"/>
                <w:color w:val="auto"/>
              </w:rPr>
            </w:pPr>
            <w:r>
              <w:rPr>
                <w:rFonts w:hint="eastAsia" w:ascii="宋体" w:hAnsi="宋体"/>
                <w:color w:val="auto"/>
              </w:rPr>
              <w:t>封套上写明</w:t>
            </w:r>
          </w:p>
        </w:tc>
        <w:tc>
          <w:tcPr>
            <w:tcW w:w="6875" w:type="dxa"/>
            <w:vAlign w:val="center"/>
          </w:tcPr>
          <w:p>
            <w:pPr>
              <w:spacing w:line="400" w:lineRule="exact"/>
              <w:rPr>
                <w:rFonts w:ascii="宋体" w:hAnsi="宋体"/>
                <w:color w:val="auto"/>
                <w:szCs w:val="21"/>
                <w:u w:val="single"/>
              </w:rPr>
            </w:pPr>
            <w:r>
              <w:rPr>
                <w:rFonts w:hint="eastAsia" w:ascii="宋体" w:hAnsi="宋体"/>
                <w:color w:val="auto"/>
                <w:szCs w:val="21"/>
              </w:rPr>
              <w:t>招标人名称:</w:t>
            </w:r>
            <w:r>
              <w:rPr>
                <w:rFonts w:hint="eastAsia" w:ascii="宋体" w:hAnsi="宋体"/>
                <w:color w:val="auto"/>
                <w:szCs w:val="21"/>
                <w:u w:val="single"/>
              </w:rPr>
              <w:t xml:space="preserve">               </w:t>
            </w:r>
          </w:p>
          <w:p>
            <w:pPr>
              <w:spacing w:line="400" w:lineRule="exact"/>
              <w:rPr>
                <w:rFonts w:ascii="宋体" w:hAnsi="宋体"/>
                <w:color w:val="auto"/>
                <w:szCs w:val="21"/>
                <w:u w:val="single"/>
              </w:rPr>
            </w:pPr>
            <w:r>
              <w:rPr>
                <w:rFonts w:hint="eastAsia" w:ascii="宋体" w:hAnsi="宋体"/>
                <w:color w:val="auto"/>
                <w:szCs w:val="21"/>
              </w:rPr>
              <w:t>招标人地址:</w:t>
            </w:r>
            <w:r>
              <w:rPr>
                <w:rFonts w:hint="eastAsia" w:ascii="宋体" w:hAnsi="宋体"/>
                <w:color w:val="auto"/>
                <w:szCs w:val="21"/>
                <w:u w:val="single"/>
              </w:rPr>
              <w:t xml:space="preserve">               </w:t>
            </w:r>
          </w:p>
          <w:p>
            <w:pPr>
              <w:spacing w:line="400" w:lineRule="exact"/>
              <w:rPr>
                <w:rFonts w:ascii="宋体" w:hAnsi="宋体"/>
                <w:color w:val="auto"/>
                <w:szCs w:val="21"/>
                <w:u w:val="single"/>
              </w:rPr>
            </w:pPr>
            <w:r>
              <w:rPr>
                <w:rFonts w:hint="eastAsia" w:ascii="宋体" w:hAnsi="宋体"/>
                <w:color w:val="auto"/>
                <w:szCs w:val="21"/>
              </w:rPr>
              <w:t>投标人全称:</w:t>
            </w:r>
            <w:r>
              <w:rPr>
                <w:rFonts w:hint="eastAsia" w:ascii="宋体" w:hAnsi="宋体"/>
                <w:color w:val="auto"/>
                <w:szCs w:val="21"/>
                <w:u w:val="single"/>
              </w:rPr>
              <w:t xml:space="preserve">               </w:t>
            </w:r>
          </w:p>
          <w:p>
            <w:pPr>
              <w:spacing w:line="400" w:lineRule="exact"/>
              <w:rPr>
                <w:rFonts w:ascii="宋体" w:hAnsi="宋体"/>
                <w:color w:val="auto"/>
                <w:szCs w:val="21"/>
                <w:u w:val="single"/>
              </w:rPr>
            </w:pPr>
            <w:r>
              <w:rPr>
                <w:rFonts w:hint="eastAsia" w:ascii="宋体" w:hAnsi="宋体"/>
                <w:color w:val="auto"/>
                <w:szCs w:val="21"/>
              </w:rPr>
              <w:t>投标人的地址:</w:t>
            </w:r>
            <w:r>
              <w:rPr>
                <w:rFonts w:hint="eastAsia" w:ascii="宋体" w:hAnsi="宋体"/>
                <w:color w:val="auto"/>
                <w:szCs w:val="21"/>
                <w:u w:val="single"/>
              </w:rPr>
              <w:t xml:space="preserve">             </w:t>
            </w:r>
          </w:p>
          <w:p>
            <w:pPr>
              <w:spacing w:line="400" w:lineRule="exact"/>
              <w:rPr>
                <w:rFonts w:ascii="宋体" w:hAnsi="宋体"/>
                <w:color w:val="auto"/>
                <w:szCs w:val="21"/>
              </w:rPr>
            </w:pPr>
            <w:r>
              <w:rPr>
                <w:rFonts w:hint="eastAsia" w:ascii="宋体" w:hAnsi="宋体"/>
                <w:color w:val="auto"/>
                <w:szCs w:val="21"/>
                <w:u w:val="single"/>
              </w:rPr>
              <w:t xml:space="preserve">                     前</w:t>
            </w:r>
            <w:r>
              <w:rPr>
                <w:rFonts w:hint="eastAsia" w:ascii="宋体" w:hAnsi="宋体"/>
                <w:color w:val="auto"/>
                <w:szCs w:val="21"/>
              </w:rPr>
              <w:t>期物业管理投标文件</w:t>
            </w:r>
          </w:p>
          <w:p>
            <w:pPr>
              <w:spacing w:line="400" w:lineRule="exact"/>
              <w:rPr>
                <w:rFonts w:ascii="宋体" w:hAnsi="宋体"/>
                <w:color w:val="auto"/>
                <w:szCs w:val="21"/>
              </w:rPr>
            </w:pPr>
            <w:r>
              <w:rPr>
                <w:rFonts w:hint="eastAsia" w:ascii="宋体" w:hAnsi="宋体"/>
                <w:color w:val="auto"/>
                <w:szCs w:val="21"/>
              </w:rPr>
              <w:t>在</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w:t>
            </w:r>
            <w:r>
              <w:rPr>
                <w:rFonts w:hint="eastAsia" w:ascii="宋体" w:hAnsi="宋体"/>
                <w:color w:val="auto"/>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4.2.2</w:t>
            </w:r>
          </w:p>
        </w:tc>
        <w:tc>
          <w:tcPr>
            <w:tcW w:w="1972" w:type="dxa"/>
            <w:vAlign w:val="center"/>
          </w:tcPr>
          <w:p>
            <w:pPr>
              <w:spacing w:line="400" w:lineRule="exact"/>
              <w:jc w:val="center"/>
              <w:rPr>
                <w:rFonts w:ascii="宋体" w:hAnsi="宋体"/>
                <w:color w:val="auto"/>
              </w:rPr>
            </w:pPr>
            <w:r>
              <w:rPr>
                <w:rFonts w:hint="eastAsia" w:ascii="宋体" w:hAnsi="宋体"/>
                <w:color w:val="auto"/>
              </w:rPr>
              <w:t>递交投标文件地点</w:t>
            </w:r>
          </w:p>
        </w:tc>
        <w:tc>
          <w:tcPr>
            <w:tcW w:w="6875" w:type="dxa"/>
            <w:vAlign w:val="center"/>
          </w:tcPr>
          <w:p>
            <w:pPr>
              <w:spacing w:line="400" w:lineRule="exact"/>
              <w:rPr>
                <w:rFonts w:ascii="宋体" w:hAnsi="宋体"/>
                <w:b/>
                <w:bCs/>
                <w:color w:val="auto"/>
                <w:szCs w:val="21"/>
              </w:rPr>
            </w:pPr>
            <w:r>
              <w:rPr>
                <w:rFonts w:hint="eastAsia" w:ascii="宋体" w:hAnsi="宋体"/>
                <w:b/>
                <w:bCs/>
                <w:color w:val="auto"/>
                <w:szCs w:val="21"/>
                <w:lang w:eastAsia="zh-CN"/>
              </w:rPr>
              <w:t>双牌县桂润房地产开发有限公司</w:t>
            </w:r>
            <w:r>
              <w:rPr>
                <w:rFonts w:hint="eastAsia" w:ascii="宋体" w:hAnsi="宋体"/>
                <w:b/>
                <w:bCs/>
                <w:color w:val="auto"/>
                <w:szCs w:val="21"/>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4.2.3</w:t>
            </w:r>
          </w:p>
        </w:tc>
        <w:tc>
          <w:tcPr>
            <w:tcW w:w="1972" w:type="dxa"/>
            <w:vAlign w:val="center"/>
          </w:tcPr>
          <w:p>
            <w:pPr>
              <w:spacing w:line="400" w:lineRule="exact"/>
              <w:jc w:val="center"/>
              <w:rPr>
                <w:rFonts w:ascii="宋体" w:hAnsi="宋体"/>
                <w:color w:val="auto"/>
              </w:rPr>
            </w:pPr>
            <w:r>
              <w:rPr>
                <w:rFonts w:hint="eastAsia" w:ascii="宋体" w:hAnsi="宋体"/>
                <w:color w:val="auto"/>
              </w:rPr>
              <w:t>是否退还投标文件</w:t>
            </w:r>
          </w:p>
        </w:tc>
        <w:tc>
          <w:tcPr>
            <w:tcW w:w="6875" w:type="dxa"/>
            <w:vAlign w:val="center"/>
          </w:tcPr>
          <w:p>
            <w:pPr>
              <w:spacing w:line="400" w:lineRule="exact"/>
              <w:rPr>
                <w:rFonts w:ascii="宋体" w:hAnsi="宋体"/>
                <w:color w:val="auto"/>
                <w:szCs w:val="21"/>
              </w:rPr>
            </w:pPr>
            <w:r>
              <w:rPr>
                <w:rFonts w:hint="eastAsia" w:ascii="宋体" w:hAnsi="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5.1</w:t>
            </w:r>
          </w:p>
        </w:tc>
        <w:tc>
          <w:tcPr>
            <w:tcW w:w="1972" w:type="dxa"/>
            <w:vAlign w:val="center"/>
          </w:tcPr>
          <w:p>
            <w:pPr>
              <w:spacing w:line="400" w:lineRule="exact"/>
              <w:jc w:val="center"/>
              <w:rPr>
                <w:rFonts w:ascii="宋体" w:hAnsi="宋体"/>
                <w:color w:val="auto"/>
              </w:rPr>
            </w:pPr>
            <w:r>
              <w:rPr>
                <w:rFonts w:hint="eastAsia" w:ascii="宋体" w:hAnsi="宋体"/>
                <w:color w:val="auto"/>
              </w:rPr>
              <w:t>开标时间和地点</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 xml:space="preserve">开标时间: </w:t>
            </w:r>
            <w:r>
              <w:rPr>
                <w:rFonts w:hint="eastAsia" w:ascii="宋体" w:hAnsi="宋体"/>
                <w:color w:val="auto"/>
                <w:lang w:eastAsia="zh-CN"/>
              </w:rPr>
              <w:t>2019年8月29日</w:t>
            </w:r>
            <w:r>
              <w:rPr>
                <w:rFonts w:hint="eastAsia" w:ascii="宋体" w:hAnsi="宋体"/>
                <w:color w:val="auto"/>
              </w:rPr>
              <w:t>10：30时。</w:t>
            </w:r>
          </w:p>
          <w:p>
            <w:pPr>
              <w:spacing w:line="400" w:lineRule="exact"/>
              <w:rPr>
                <w:rFonts w:ascii="宋体" w:hAnsi="宋体"/>
                <w:color w:val="auto"/>
                <w:szCs w:val="21"/>
              </w:rPr>
            </w:pPr>
            <w:r>
              <w:rPr>
                <w:rFonts w:hint="eastAsia" w:ascii="宋体" w:hAnsi="宋体"/>
                <w:color w:val="auto"/>
                <w:szCs w:val="21"/>
              </w:rPr>
              <w:t>开标地点:</w:t>
            </w:r>
            <w:r>
              <w:rPr>
                <w:rFonts w:hint="eastAsia" w:ascii="宋体" w:hAnsi="宋体"/>
                <w:b/>
                <w:bCs/>
                <w:color w:val="auto"/>
                <w:szCs w:val="21"/>
                <w:lang w:eastAsia="zh-CN"/>
              </w:rPr>
              <w:t>双牌县桂润房地产开发有限公司</w:t>
            </w:r>
            <w:r>
              <w:rPr>
                <w:rFonts w:hint="eastAsia" w:ascii="宋体" w:hAnsi="宋体"/>
                <w:b/>
                <w:bCs/>
                <w:color w:val="auto"/>
                <w:szCs w:val="21"/>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5.2</w:t>
            </w:r>
          </w:p>
        </w:tc>
        <w:tc>
          <w:tcPr>
            <w:tcW w:w="1972" w:type="dxa"/>
            <w:vAlign w:val="center"/>
          </w:tcPr>
          <w:p>
            <w:pPr>
              <w:spacing w:line="400" w:lineRule="exact"/>
              <w:jc w:val="center"/>
              <w:rPr>
                <w:rFonts w:ascii="宋体" w:hAnsi="宋体"/>
                <w:color w:val="auto"/>
              </w:rPr>
            </w:pPr>
            <w:r>
              <w:rPr>
                <w:rFonts w:hint="eastAsia" w:ascii="宋体" w:hAnsi="宋体"/>
                <w:color w:val="auto"/>
              </w:rPr>
              <w:t>开标程序</w:t>
            </w:r>
          </w:p>
        </w:tc>
        <w:tc>
          <w:tcPr>
            <w:tcW w:w="6875" w:type="dxa"/>
            <w:vAlign w:val="center"/>
          </w:tcPr>
          <w:p>
            <w:pPr>
              <w:tabs>
                <w:tab w:val="left" w:pos="312"/>
              </w:tabs>
              <w:spacing w:line="400" w:lineRule="exact"/>
              <w:rPr>
                <w:rFonts w:ascii="宋体" w:hAnsi="宋体"/>
                <w:color w:val="auto"/>
                <w:szCs w:val="21"/>
              </w:rPr>
            </w:pPr>
            <w:r>
              <w:rPr>
                <w:rFonts w:hint="eastAsia" w:ascii="宋体" w:hAnsi="宋体"/>
                <w:color w:val="auto"/>
                <w:szCs w:val="21"/>
              </w:rPr>
              <w:t>(1)密封情况检查：由投标人代表监督检查密封性；</w:t>
            </w:r>
          </w:p>
          <w:p>
            <w:pPr>
              <w:spacing w:line="400" w:lineRule="exact"/>
              <w:rPr>
                <w:rFonts w:ascii="宋体" w:hAnsi="宋体"/>
                <w:color w:val="auto"/>
                <w:szCs w:val="21"/>
              </w:rPr>
            </w:pPr>
            <w:r>
              <w:rPr>
                <w:rFonts w:hint="eastAsia" w:ascii="宋体" w:hAnsi="宋体"/>
                <w:color w:val="auto"/>
                <w:szCs w:val="21"/>
              </w:rPr>
              <w:t>(2)开标顺序: 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6.1.1</w:t>
            </w:r>
          </w:p>
        </w:tc>
        <w:tc>
          <w:tcPr>
            <w:tcW w:w="1972" w:type="dxa"/>
            <w:vAlign w:val="center"/>
          </w:tcPr>
          <w:p>
            <w:pPr>
              <w:spacing w:line="400" w:lineRule="exact"/>
              <w:jc w:val="center"/>
              <w:rPr>
                <w:rFonts w:ascii="宋体" w:hAnsi="宋体"/>
                <w:color w:val="auto"/>
              </w:rPr>
            </w:pPr>
            <w:r>
              <w:rPr>
                <w:rFonts w:hint="eastAsia" w:ascii="宋体" w:hAnsi="宋体"/>
                <w:color w:val="auto"/>
              </w:rPr>
              <w:t>评标委员会的组建</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评标委员会构成:</w:t>
            </w:r>
            <w:r>
              <w:rPr>
                <w:rFonts w:hint="eastAsia" w:ascii="宋体" w:hAnsi="宋体"/>
                <w:color w:val="auto"/>
                <w:szCs w:val="21"/>
                <w:u w:val="single"/>
              </w:rPr>
              <w:t xml:space="preserve"> 5</w:t>
            </w:r>
            <w:r>
              <w:rPr>
                <w:rFonts w:hint="eastAsia" w:ascii="宋体" w:hAnsi="宋体"/>
                <w:color w:val="auto"/>
                <w:szCs w:val="21"/>
              </w:rPr>
              <w:t>人， 其中招标人代表</w:t>
            </w:r>
            <w:r>
              <w:rPr>
                <w:rFonts w:hint="eastAsia" w:ascii="宋体" w:hAnsi="宋体"/>
                <w:color w:val="auto"/>
                <w:szCs w:val="21"/>
                <w:u w:val="single"/>
              </w:rPr>
              <w:t>1</w:t>
            </w:r>
            <w:r>
              <w:rPr>
                <w:rFonts w:hint="eastAsia" w:ascii="宋体" w:hAnsi="宋体"/>
                <w:color w:val="auto"/>
                <w:szCs w:val="21"/>
              </w:rPr>
              <w:t>人，专家</w:t>
            </w:r>
            <w:r>
              <w:rPr>
                <w:rFonts w:hint="eastAsia" w:ascii="宋体" w:hAnsi="宋体"/>
                <w:color w:val="auto"/>
                <w:szCs w:val="21"/>
                <w:u w:val="single"/>
              </w:rPr>
              <w:t>4</w:t>
            </w:r>
            <w:r>
              <w:rPr>
                <w:rFonts w:hint="eastAsia" w:ascii="宋体" w:hAnsi="宋体"/>
                <w:color w:val="auto"/>
                <w:szCs w:val="21"/>
              </w:rPr>
              <w:t>人；</w:t>
            </w:r>
          </w:p>
          <w:p>
            <w:pPr>
              <w:spacing w:line="400" w:lineRule="exact"/>
              <w:rPr>
                <w:rFonts w:ascii="宋体" w:hAnsi="宋体"/>
                <w:color w:val="auto"/>
                <w:szCs w:val="21"/>
              </w:rPr>
            </w:pPr>
            <w:r>
              <w:rPr>
                <w:rFonts w:hint="eastAsia" w:ascii="宋体" w:hAnsi="宋体"/>
                <w:color w:val="auto"/>
                <w:szCs w:val="21"/>
              </w:rPr>
              <w:t>评标专家确定方式：</w:t>
            </w:r>
            <w:r>
              <w:rPr>
                <w:rFonts w:hint="eastAsia" w:ascii="宋体" w:hAnsi="宋体"/>
                <w:color w:val="auto"/>
                <w:szCs w:val="21"/>
                <w:u w:val="single"/>
              </w:rPr>
              <w:t>从永州市物业评标专家库中随机抽取</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7.1</w:t>
            </w:r>
          </w:p>
        </w:tc>
        <w:tc>
          <w:tcPr>
            <w:tcW w:w="1972" w:type="dxa"/>
            <w:vAlign w:val="center"/>
          </w:tcPr>
          <w:p>
            <w:pPr>
              <w:spacing w:line="400" w:lineRule="exact"/>
              <w:jc w:val="center"/>
              <w:rPr>
                <w:rFonts w:ascii="宋体" w:hAnsi="宋体"/>
                <w:color w:val="auto"/>
              </w:rPr>
            </w:pPr>
            <w:r>
              <w:rPr>
                <w:rFonts w:hint="eastAsia" w:ascii="宋体" w:hAnsi="宋体"/>
                <w:color w:val="auto"/>
              </w:rPr>
              <w:t>是否授权评标委员会确定中标人</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 xml:space="preserve">■否，推荐的中标候选人数: </w:t>
            </w:r>
            <w:r>
              <w:rPr>
                <w:rFonts w:hint="eastAsia" w:ascii="宋体" w:hAnsi="宋体"/>
                <w:color w:val="auto"/>
                <w:szCs w:val="21"/>
                <w:u w:val="single"/>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7.3.1</w:t>
            </w:r>
          </w:p>
        </w:tc>
        <w:tc>
          <w:tcPr>
            <w:tcW w:w="1972" w:type="dxa"/>
            <w:vAlign w:val="center"/>
          </w:tcPr>
          <w:p>
            <w:pPr>
              <w:spacing w:line="400" w:lineRule="exact"/>
              <w:jc w:val="center"/>
              <w:rPr>
                <w:rFonts w:ascii="宋体" w:hAnsi="宋体"/>
                <w:color w:val="auto"/>
              </w:rPr>
            </w:pPr>
            <w:r>
              <w:rPr>
                <w:rFonts w:hint="eastAsia" w:ascii="宋体" w:hAnsi="宋体"/>
                <w:color w:val="auto"/>
              </w:rPr>
              <w:t>履约保证金</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人民币壹拾万元整（100000.00元）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785" w:type="dxa"/>
            <w:gridSpan w:val="3"/>
            <w:vAlign w:val="center"/>
          </w:tcPr>
          <w:p>
            <w:pPr>
              <w:numPr>
                <w:ilvl w:val="0"/>
                <w:numId w:val="3"/>
              </w:numPr>
              <w:spacing w:line="400" w:lineRule="exact"/>
              <w:rPr>
                <w:rFonts w:ascii="宋体" w:hAnsi="宋体"/>
                <w:b/>
                <w:bCs/>
                <w:color w:val="auto"/>
                <w:szCs w:val="21"/>
              </w:rPr>
            </w:pPr>
            <w:r>
              <w:rPr>
                <w:rFonts w:hint="eastAsia" w:ascii="宋体" w:hAnsi="宋体"/>
                <w:b/>
                <w:bCs/>
                <w:color w:val="auto"/>
                <w:szCs w:val="21"/>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10.2</w:t>
            </w:r>
          </w:p>
        </w:tc>
        <w:tc>
          <w:tcPr>
            <w:tcW w:w="1972" w:type="dxa"/>
            <w:vAlign w:val="center"/>
          </w:tcPr>
          <w:p>
            <w:pPr>
              <w:spacing w:line="400" w:lineRule="exact"/>
              <w:rPr>
                <w:rFonts w:hint="eastAsia"/>
                <w:color w:val="auto"/>
              </w:rPr>
            </w:pPr>
            <w:r>
              <w:rPr>
                <w:rFonts w:hint="eastAsia"/>
                <w:color w:val="auto"/>
              </w:rPr>
              <w:t>最高投标限价</w:t>
            </w:r>
          </w:p>
        </w:tc>
        <w:tc>
          <w:tcPr>
            <w:tcW w:w="6875" w:type="dxa"/>
            <w:vAlign w:val="center"/>
          </w:tcPr>
          <w:p>
            <w:pPr>
              <w:spacing w:line="400" w:lineRule="exact"/>
              <w:rPr>
                <w:rFonts w:hint="eastAsia"/>
                <w:color w:val="auto"/>
              </w:rPr>
            </w:pPr>
            <w:r>
              <w:rPr>
                <w:rFonts w:hint="eastAsia"/>
                <w:color w:val="auto"/>
                <w:lang w:val="en-US" w:eastAsia="zh-CN"/>
              </w:rPr>
              <w:t>物业管理费总报价上限值</w:t>
            </w:r>
            <w:r>
              <w:rPr>
                <w:rFonts w:hint="eastAsia"/>
                <w:color w:val="auto"/>
              </w:rPr>
              <w:t>¥：</w:t>
            </w:r>
            <w:r>
              <w:rPr>
                <w:rFonts w:hint="eastAsia"/>
                <w:color w:val="auto"/>
                <w:lang w:val="en-US" w:eastAsia="zh-CN"/>
              </w:rPr>
              <w:t>970536.6</w:t>
            </w:r>
            <w:r>
              <w:rPr>
                <w:rFonts w:hint="eastAsia"/>
                <w:color w:val="auto"/>
              </w:rPr>
              <w:t>元，大写人民币</w:t>
            </w:r>
            <w:r>
              <w:rPr>
                <w:rFonts w:hint="eastAsia"/>
                <w:b/>
                <w:bCs/>
                <w:color w:val="auto"/>
                <w:u w:val="single"/>
                <w:lang w:val="en-US" w:eastAsia="zh-CN"/>
              </w:rPr>
              <w:t>玖</w:t>
            </w:r>
            <w:r>
              <w:rPr>
                <w:rFonts w:hint="eastAsia"/>
                <w:b/>
                <w:bCs/>
                <w:color w:val="auto"/>
                <w:u w:val="single"/>
              </w:rPr>
              <w:t>拾</w:t>
            </w:r>
            <w:r>
              <w:rPr>
                <w:rFonts w:hint="eastAsia"/>
                <w:b/>
                <w:bCs/>
                <w:color w:val="auto"/>
                <w:u w:val="single"/>
                <w:lang w:val="en-US" w:eastAsia="zh-CN"/>
              </w:rPr>
              <w:t>柒</w:t>
            </w:r>
            <w:r>
              <w:rPr>
                <w:rFonts w:hint="eastAsia"/>
                <w:b/>
                <w:bCs/>
                <w:color w:val="auto"/>
                <w:u w:val="single"/>
              </w:rPr>
              <w:t>万</w:t>
            </w:r>
            <w:r>
              <w:rPr>
                <w:rFonts w:hint="eastAsia"/>
                <w:b/>
                <w:bCs/>
                <w:color w:val="auto"/>
                <w:u w:val="single"/>
                <w:lang w:val="en-US" w:eastAsia="zh-CN"/>
              </w:rPr>
              <w:t>伍</w:t>
            </w:r>
            <w:r>
              <w:rPr>
                <w:rFonts w:hint="eastAsia"/>
                <w:b/>
                <w:bCs/>
                <w:color w:val="auto"/>
                <w:u w:val="single"/>
              </w:rPr>
              <w:t>佰</w:t>
            </w:r>
            <w:r>
              <w:rPr>
                <w:rFonts w:hint="eastAsia"/>
                <w:b/>
                <w:bCs/>
                <w:color w:val="auto"/>
                <w:u w:val="single"/>
                <w:lang w:val="en-US" w:eastAsia="zh-CN"/>
              </w:rPr>
              <w:t>叁拾陆</w:t>
            </w:r>
            <w:r>
              <w:rPr>
                <w:rFonts w:hint="eastAsia"/>
                <w:b/>
                <w:bCs/>
                <w:color w:val="auto"/>
                <w:u w:val="single"/>
              </w:rPr>
              <w:t>元</w:t>
            </w:r>
            <w:r>
              <w:rPr>
                <w:rFonts w:hint="eastAsia"/>
                <w:b/>
                <w:bCs/>
                <w:color w:val="auto"/>
                <w:u w:val="single"/>
                <w:lang w:val="en-US" w:eastAsia="zh-CN"/>
              </w:rPr>
              <w:t>陆角</w:t>
            </w:r>
            <w:r>
              <w:rPr>
                <w:rFonts w:hint="eastAsia"/>
                <w:color w:val="auto"/>
              </w:rPr>
              <w:t>整；</w:t>
            </w:r>
          </w:p>
          <w:p>
            <w:pPr>
              <w:spacing w:line="400" w:lineRule="exact"/>
              <w:rPr>
                <w:rFonts w:hint="eastAsia"/>
                <w:color w:val="auto"/>
              </w:rPr>
            </w:pPr>
            <w:r>
              <w:rPr>
                <w:rFonts w:hint="eastAsia"/>
                <w:color w:val="auto"/>
              </w:rPr>
              <w:t>物业管理服务费单价：</w:t>
            </w:r>
          </w:p>
          <w:p>
            <w:pPr>
              <w:spacing w:line="400" w:lineRule="exact"/>
              <w:rPr>
                <w:rFonts w:hint="eastAsia"/>
                <w:color w:val="auto"/>
              </w:rPr>
            </w:pPr>
            <w:r>
              <w:rPr>
                <w:rFonts w:hint="eastAsia"/>
                <w:color w:val="auto"/>
                <w:lang w:val="en-US" w:eastAsia="zh-CN"/>
              </w:rPr>
              <w:t>标段一：1.5</w:t>
            </w:r>
            <w:r>
              <w:rPr>
                <w:rFonts w:hint="eastAsia"/>
                <w:color w:val="auto"/>
              </w:rPr>
              <w:t>元/平米/月</w:t>
            </w:r>
          </w:p>
          <w:p>
            <w:pPr>
              <w:spacing w:line="400" w:lineRule="exact"/>
              <w:rPr>
                <w:rFonts w:hint="default"/>
                <w:color w:val="auto"/>
                <w:lang w:val="en-US" w:eastAsia="zh-CN"/>
              </w:rPr>
            </w:pPr>
            <w:r>
              <w:rPr>
                <w:rFonts w:hint="eastAsia"/>
                <w:color w:val="auto"/>
                <w:lang w:val="en-US" w:eastAsia="zh-CN"/>
              </w:rPr>
              <w:t>标段二：2.5</w:t>
            </w:r>
            <w:r>
              <w:rPr>
                <w:rFonts w:hint="eastAsia"/>
                <w:color w:val="auto"/>
              </w:rPr>
              <w:t>元/平米/月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10.3</w:t>
            </w:r>
          </w:p>
        </w:tc>
        <w:tc>
          <w:tcPr>
            <w:tcW w:w="1972" w:type="dxa"/>
            <w:vAlign w:val="center"/>
          </w:tcPr>
          <w:p>
            <w:pPr>
              <w:spacing w:line="400" w:lineRule="exact"/>
              <w:jc w:val="center"/>
              <w:rPr>
                <w:rFonts w:ascii="宋体" w:hAnsi="宋体"/>
                <w:color w:val="auto"/>
              </w:rPr>
            </w:pPr>
            <w:r>
              <w:rPr>
                <w:rFonts w:hint="eastAsia" w:ascii="宋体" w:hAnsi="宋体"/>
                <w:color w:val="auto"/>
              </w:rPr>
              <w:t>技术标部分是否</w:t>
            </w:r>
          </w:p>
          <w:p>
            <w:pPr>
              <w:spacing w:line="400" w:lineRule="exact"/>
              <w:jc w:val="center"/>
              <w:rPr>
                <w:rFonts w:ascii="宋体" w:hAnsi="宋体"/>
                <w:color w:val="auto"/>
              </w:rPr>
            </w:pPr>
            <w:r>
              <w:rPr>
                <w:rFonts w:hint="eastAsia" w:ascii="宋体" w:hAnsi="宋体"/>
                <w:color w:val="auto"/>
              </w:rPr>
              <w:t>采用“暗标”评审</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10.4</w:t>
            </w:r>
          </w:p>
        </w:tc>
        <w:tc>
          <w:tcPr>
            <w:tcW w:w="1972" w:type="dxa"/>
            <w:vAlign w:val="center"/>
          </w:tcPr>
          <w:p>
            <w:pPr>
              <w:spacing w:line="400" w:lineRule="exact"/>
              <w:jc w:val="center"/>
              <w:rPr>
                <w:rFonts w:ascii="宋体" w:hAnsi="宋体"/>
                <w:color w:val="auto"/>
              </w:rPr>
            </w:pPr>
            <w:r>
              <w:rPr>
                <w:rFonts w:hint="eastAsia" w:ascii="宋体" w:hAnsi="宋体"/>
                <w:color w:val="auto"/>
              </w:rPr>
              <w:t>是否要求投标人在递交投标文件时，同时递交投标文件电子版</w:t>
            </w:r>
          </w:p>
        </w:tc>
        <w:tc>
          <w:tcPr>
            <w:tcW w:w="6875" w:type="dxa"/>
            <w:vAlign w:val="center"/>
          </w:tcPr>
          <w:p>
            <w:pPr>
              <w:spacing w:line="400" w:lineRule="exact"/>
              <w:rPr>
                <w:rFonts w:hint="default" w:ascii="宋体" w:hAnsi="宋体" w:eastAsiaTheme="minorEastAsia"/>
                <w:color w:val="auto"/>
                <w:szCs w:val="21"/>
                <w:lang w:val="en-US" w:eastAsia="zh-CN"/>
              </w:rPr>
            </w:pPr>
            <w:r>
              <w:rPr>
                <w:rFonts w:hint="eastAsia" w:ascii="宋体" w:hAnsi="宋体"/>
                <w:color w:val="auto"/>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10.5</w:t>
            </w:r>
          </w:p>
        </w:tc>
        <w:tc>
          <w:tcPr>
            <w:tcW w:w="1972" w:type="dxa"/>
            <w:vAlign w:val="center"/>
          </w:tcPr>
          <w:p>
            <w:pPr>
              <w:spacing w:line="400" w:lineRule="exact"/>
              <w:jc w:val="center"/>
              <w:rPr>
                <w:rFonts w:ascii="宋体" w:hAnsi="宋体"/>
                <w:color w:val="auto"/>
              </w:rPr>
            </w:pPr>
            <w:r>
              <w:rPr>
                <w:rFonts w:hint="eastAsia" w:ascii="宋体" w:hAnsi="宋体"/>
                <w:color w:val="auto"/>
              </w:rPr>
              <w:t>是否实行计算机辅助评标</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10.6</w:t>
            </w:r>
          </w:p>
        </w:tc>
        <w:tc>
          <w:tcPr>
            <w:tcW w:w="1972" w:type="dxa"/>
            <w:vAlign w:val="center"/>
          </w:tcPr>
          <w:p>
            <w:pPr>
              <w:spacing w:line="400" w:lineRule="exact"/>
              <w:jc w:val="center"/>
              <w:rPr>
                <w:rFonts w:ascii="宋体" w:hAnsi="宋体"/>
                <w:color w:val="auto"/>
              </w:rPr>
            </w:pPr>
            <w:r>
              <w:rPr>
                <w:rFonts w:hint="eastAsia" w:ascii="宋体" w:hAnsi="宋体"/>
                <w:color w:val="auto"/>
              </w:rPr>
              <w:t>身份验证</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投标人必须派法定代表人，或由法定代表人委托的代理人参加投标，提交的身份证必须为二代身份证，否则视为缺身份证作废标处理。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10.7</w:t>
            </w:r>
          </w:p>
        </w:tc>
        <w:tc>
          <w:tcPr>
            <w:tcW w:w="1972" w:type="dxa"/>
            <w:vAlign w:val="center"/>
          </w:tcPr>
          <w:p>
            <w:pPr>
              <w:spacing w:line="400" w:lineRule="exact"/>
              <w:jc w:val="center"/>
              <w:rPr>
                <w:rFonts w:ascii="宋体" w:hAnsi="宋体"/>
                <w:color w:val="auto"/>
              </w:rPr>
            </w:pPr>
            <w:r>
              <w:rPr>
                <w:rFonts w:hint="eastAsia" w:ascii="宋体" w:hAnsi="宋体"/>
                <w:color w:val="auto"/>
              </w:rPr>
              <w:t>中标公示</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在发布招标公告的同一媒体公示3天。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10.8</w:t>
            </w:r>
          </w:p>
        </w:tc>
        <w:tc>
          <w:tcPr>
            <w:tcW w:w="1972" w:type="dxa"/>
            <w:vAlign w:val="center"/>
          </w:tcPr>
          <w:p>
            <w:pPr>
              <w:spacing w:line="400" w:lineRule="exact"/>
              <w:jc w:val="center"/>
              <w:rPr>
                <w:rFonts w:ascii="宋体" w:hAnsi="宋体"/>
                <w:color w:val="auto"/>
              </w:rPr>
            </w:pPr>
            <w:r>
              <w:rPr>
                <w:rFonts w:hint="eastAsia" w:ascii="宋体" w:hAnsi="宋体"/>
                <w:color w:val="auto"/>
              </w:rPr>
              <w:t>知识产权</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10.9</w:t>
            </w:r>
          </w:p>
        </w:tc>
        <w:tc>
          <w:tcPr>
            <w:tcW w:w="1972" w:type="dxa"/>
            <w:vAlign w:val="center"/>
          </w:tcPr>
          <w:p>
            <w:pPr>
              <w:spacing w:line="400" w:lineRule="exact"/>
              <w:jc w:val="center"/>
              <w:rPr>
                <w:rFonts w:ascii="宋体" w:hAnsi="宋体"/>
                <w:color w:val="auto"/>
              </w:rPr>
            </w:pPr>
            <w:r>
              <w:rPr>
                <w:rFonts w:hint="eastAsia" w:ascii="宋体" w:hAnsi="宋体"/>
                <w:color w:val="auto"/>
              </w:rPr>
              <w:t>重新招标的其他</w:t>
            </w:r>
          </w:p>
          <w:p>
            <w:pPr>
              <w:spacing w:line="400" w:lineRule="exact"/>
              <w:jc w:val="center"/>
              <w:rPr>
                <w:rFonts w:ascii="宋体" w:hAnsi="宋体"/>
                <w:color w:val="auto"/>
              </w:rPr>
            </w:pPr>
            <w:r>
              <w:rPr>
                <w:rFonts w:hint="eastAsia" w:ascii="宋体" w:hAnsi="宋体"/>
                <w:color w:val="auto"/>
              </w:rPr>
              <w:t>情形</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除投标人须知正文第8条规定的情形外，除非已经产生中标候选人，在投标有效用内同意延长投标有效期的投标人少于三个的，招标人应当依法重新招标。</w:t>
            </w:r>
          </w:p>
          <w:p>
            <w:pPr>
              <w:spacing w:line="400" w:lineRule="exact"/>
              <w:rPr>
                <w:rFonts w:ascii="宋体" w:hAnsi="宋体"/>
                <w:color w:val="auto"/>
                <w:szCs w:val="21"/>
              </w:rPr>
            </w:pPr>
            <w:r>
              <w:rPr>
                <w:rFonts w:hint="eastAsia" w:ascii="宋体" w:hAnsi="宋体"/>
                <w:color w:val="auto"/>
                <w:szCs w:val="21"/>
              </w:rPr>
              <w:t>重新招标后投标人仍少于3个或者所有投标被否决的，经原审批或核准部门批准后不再进行招标。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10.11</w:t>
            </w:r>
          </w:p>
        </w:tc>
        <w:tc>
          <w:tcPr>
            <w:tcW w:w="1972" w:type="dxa"/>
            <w:vAlign w:val="center"/>
          </w:tcPr>
          <w:p>
            <w:pPr>
              <w:spacing w:line="400" w:lineRule="exact"/>
              <w:jc w:val="center"/>
              <w:rPr>
                <w:rFonts w:ascii="宋体" w:hAnsi="宋体"/>
                <w:color w:val="auto"/>
              </w:rPr>
            </w:pPr>
            <w:r>
              <w:rPr>
                <w:rFonts w:hint="eastAsia" w:ascii="宋体" w:hAnsi="宋体"/>
                <w:color w:val="auto"/>
              </w:rPr>
              <w:t>监督</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本项目的招标投标活动及其相关当事人应当接受有管辖权的物业管理招标投标行政监督部门依法实施的监督。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10.12</w:t>
            </w:r>
          </w:p>
        </w:tc>
        <w:tc>
          <w:tcPr>
            <w:tcW w:w="1972" w:type="dxa"/>
            <w:vAlign w:val="center"/>
          </w:tcPr>
          <w:p>
            <w:pPr>
              <w:spacing w:line="400" w:lineRule="exact"/>
              <w:jc w:val="center"/>
              <w:rPr>
                <w:rFonts w:ascii="宋体" w:hAnsi="宋体"/>
                <w:color w:val="auto"/>
              </w:rPr>
            </w:pPr>
            <w:r>
              <w:rPr>
                <w:rFonts w:hint="eastAsia" w:ascii="宋体" w:hAnsi="宋体"/>
                <w:color w:val="auto"/>
              </w:rPr>
              <w:t>解释权</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构成本招标文件的各个组成文件应互为解释，互为说明；如有不明确或不一致，构成合同文件组成内容的，以合同文件约定内容为准；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 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10.13</w:t>
            </w:r>
          </w:p>
        </w:tc>
        <w:tc>
          <w:tcPr>
            <w:tcW w:w="1972" w:type="dxa"/>
            <w:vAlign w:val="center"/>
          </w:tcPr>
          <w:p>
            <w:pPr>
              <w:spacing w:line="400" w:lineRule="exact"/>
              <w:jc w:val="center"/>
              <w:rPr>
                <w:rFonts w:ascii="宋体" w:hAnsi="宋体"/>
                <w:color w:val="auto"/>
              </w:rPr>
            </w:pPr>
            <w:r>
              <w:rPr>
                <w:rFonts w:hint="eastAsia" w:ascii="宋体" w:hAnsi="宋体"/>
                <w:color w:val="auto"/>
              </w:rPr>
              <w:t>招标代理服务费</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招标代理服务费按招标人和招标代理机构所签订的代理合同由招标代理机构收取，由招标人支付，招标代理服务费按原国家计委计价格[2002] 1980号和国家发改委的发改价格[2011]534号文规定的标准收取。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8" w:type="dxa"/>
            <w:vAlign w:val="center"/>
          </w:tcPr>
          <w:p>
            <w:pPr>
              <w:spacing w:line="400" w:lineRule="exact"/>
              <w:jc w:val="center"/>
              <w:rPr>
                <w:rFonts w:ascii="宋体" w:hAnsi="宋体"/>
                <w:color w:val="auto"/>
              </w:rPr>
            </w:pPr>
            <w:r>
              <w:rPr>
                <w:rFonts w:hint="eastAsia" w:ascii="宋体" w:hAnsi="宋体"/>
                <w:color w:val="auto"/>
              </w:rPr>
              <w:t>10.14</w:t>
            </w:r>
          </w:p>
        </w:tc>
        <w:tc>
          <w:tcPr>
            <w:tcW w:w="1972" w:type="dxa"/>
            <w:vAlign w:val="center"/>
          </w:tcPr>
          <w:p>
            <w:pPr>
              <w:spacing w:line="400" w:lineRule="exact"/>
              <w:jc w:val="center"/>
              <w:rPr>
                <w:rFonts w:ascii="宋体" w:hAnsi="宋体"/>
                <w:color w:val="auto"/>
              </w:rPr>
            </w:pPr>
            <w:r>
              <w:rPr>
                <w:rFonts w:hint="eastAsia" w:ascii="宋体" w:hAnsi="宋体"/>
                <w:color w:val="auto"/>
              </w:rPr>
              <w:t>其他要求</w:t>
            </w:r>
          </w:p>
        </w:tc>
        <w:tc>
          <w:tcPr>
            <w:tcW w:w="6875" w:type="dxa"/>
            <w:vAlign w:val="center"/>
          </w:tcPr>
          <w:p>
            <w:pPr>
              <w:spacing w:line="400" w:lineRule="exact"/>
              <w:rPr>
                <w:rFonts w:ascii="宋体" w:hAnsi="宋体"/>
                <w:color w:val="auto"/>
                <w:szCs w:val="21"/>
              </w:rPr>
            </w:pPr>
            <w:r>
              <w:rPr>
                <w:rFonts w:hint="eastAsia" w:ascii="宋体" w:hAnsi="宋体"/>
                <w:color w:val="auto"/>
                <w:szCs w:val="21"/>
              </w:rPr>
              <w:t xml:space="preserve"> (1)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依据有关法律法规规章的规定处理；</w:t>
            </w:r>
          </w:p>
          <w:p>
            <w:pPr>
              <w:spacing w:line="400" w:lineRule="exact"/>
              <w:rPr>
                <w:rFonts w:ascii="宋体" w:hAnsi="宋体"/>
                <w:color w:val="auto"/>
                <w:szCs w:val="21"/>
              </w:rPr>
            </w:pPr>
            <w:r>
              <w:rPr>
                <w:rFonts w:hint="eastAsia" w:ascii="宋体" w:hAnsi="宋体"/>
                <w:color w:val="auto"/>
                <w:szCs w:val="21"/>
              </w:rPr>
              <w:t xml:space="preserve"> (2)招标文件中所设置的内容、条款及未尽事立，均以国家、省、市或行政主管部门颁发的招投标有关规定为准。</w:t>
            </w:r>
          </w:p>
        </w:tc>
      </w:tr>
    </w:tbl>
    <w:p>
      <w:pPr>
        <w:pStyle w:val="2"/>
        <w:ind w:left="0" w:leftChars="0" w:firstLine="0" w:firstLineChars="0"/>
        <w:rPr>
          <w:color w:val="auto"/>
        </w:rPr>
      </w:pPr>
    </w:p>
    <w:p>
      <w:pPr>
        <w:jc w:val="center"/>
        <w:rPr>
          <w:b/>
          <w:color w:val="auto"/>
          <w:sz w:val="28"/>
          <w:szCs w:val="28"/>
        </w:rPr>
      </w:pPr>
      <w:r>
        <w:rPr>
          <w:rFonts w:hint="eastAsia"/>
          <w:b/>
          <w:color w:val="auto"/>
          <w:sz w:val="28"/>
          <w:szCs w:val="28"/>
        </w:rPr>
        <w:t>投标人须知正文部分</w:t>
      </w:r>
    </w:p>
    <w:p>
      <w:pPr>
        <w:numPr>
          <w:ilvl w:val="0"/>
          <w:numId w:val="4"/>
        </w:numPr>
        <w:tabs>
          <w:tab w:val="clear" w:pos="312"/>
        </w:tabs>
        <w:jc w:val="left"/>
        <w:rPr>
          <w:b/>
          <w:color w:val="auto"/>
          <w:sz w:val="28"/>
          <w:szCs w:val="28"/>
        </w:rPr>
      </w:pPr>
      <w:r>
        <w:rPr>
          <w:rFonts w:hint="eastAsia"/>
          <w:b/>
          <w:color w:val="auto"/>
          <w:sz w:val="28"/>
          <w:szCs w:val="28"/>
        </w:rPr>
        <w:t>总则</w:t>
      </w:r>
    </w:p>
    <w:p>
      <w:pPr>
        <w:jc w:val="left"/>
        <w:rPr>
          <w:bCs/>
          <w:color w:val="auto"/>
          <w:sz w:val="28"/>
          <w:szCs w:val="28"/>
        </w:rPr>
      </w:pPr>
      <w:r>
        <w:rPr>
          <w:rFonts w:hint="eastAsia"/>
          <w:b/>
          <w:color w:val="auto"/>
          <w:sz w:val="24"/>
        </w:rPr>
        <w:t>1.1项目概况</w:t>
      </w:r>
    </w:p>
    <w:p>
      <w:pPr>
        <w:spacing w:line="400" w:lineRule="exact"/>
        <w:rPr>
          <w:rFonts w:ascii="宋体" w:hAnsi="宋体"/>
          <w:color w:val="auto"/>
          <w:szCs w:val="21"/>
        </w:rPr>
      </w:pPr>
      <w:r>
        <w:rPr>
          <w:rFonts w:hint="eastAsia"/>
          <w:bCs/>
          <w:color w:val="auto"/>
          <w:sz w:val="28"/>
          <w:szCs w:val="28"/>
        </w:rPr>
        <w:t xml:space="preserve">     </w:t>
      </w:r>
      <w:r>
        <w:rPr>
          <w:rFonts w:hint="eastAsia" w:ascii="宋体" w:hAnsi="宋体"/>
          <w:color w:val="auto"/>
          <w:szCs w:val="21"/>
        </w:rPr>
        <w:t>1.1.1根据《中华人民共和国招标投标法》《前期物业管理招投标管理暂行办法》《永州市前期物业管理招标投标暂行办法》等有关法律、法规和规章的规定，本招标项目己具备招标条件，现对本项目前期物业服务进行招标。</w:t>
      </w:r>
    </w:p>
    <w:p>
      <w:pPr>
        <w:spacing w:line="400" w:lineRule="exact"/>
        <w:ind w:firstLine="630" w:firstLineChars="300"/>
        <w:rPr>
          <w:rFonts w:ascii="宋体" w:hAnsi="宋体"/>
          <w:color w:val="auto"/>
          <w:szCs w:val="21"/>
        </w:rPr>
      </w:pPr>
      <w:r>
        <w:rPr>
          <w:rFonts w:hint="eastAsia" w:ascii="宋体" w:hAnsi="宋体"/>
          <w:color w:val="auto"/>
          <w:szCs w:val="21"/>
        </w:rPr>
        <w:t>1.1.2本招标项目招标人: 见投标人须知前附表。</w:t>
      </w:r>
    </w:p>
    <w:p>
      <w:pPr>
        <w:spacing w:line="400" w:lineRule="exact"/>
        <w:ind w:firstLine="630" w:firstLineChars="300"/>
        <w:rPr>
          <w:rFonts w:ascii="宋体" w:hAnsi="宋体"/>
          <w:color w:val="auto"/>
          <w:szCs w:val="21"/>
        </w:rPr>
      </w:pPr>
      <w:r>
        <w:rPr>
          <w:rFonts w:hint="eastAsia" w:ascii="宋体" w:hAnsi="宋体"/>
          <w:color w:val="auto"/>
          <w:szCs w:val="21"/>
        </w:rPr>
        <w:t>1.1.3本标段招标代理机构:见投标人须如前附表。</w:t>
      </w:r>
    </w:p>
    <w:p>
      <w:pPr>
        <w:spacing w:line="400" w:lineRule="exact"/>
        <w:ind w:firstLine="630" w:firstLineChars="300"/>
        <w:rPr>
          <w:rFonts w:ascii="宋体" w:hAnsi="宋体"/>
          <w:color w:val="auto"/>
          <w:szCs w:val="21"/>
        </w:rPr>
      </w:pPr>
      <w:r>
        <w:rPr>
          <w:rFonts w:hint="eastAsia" w:ascii="宋体" w:hAnsi="宋体"/>
          <w:color w:val="auto"/>
          <w:szCs w:val="21"/>
        </w:rPr>
        <w:t>1.1.4本招标项目名称:见投标人须知前附表。</w:t>
      </w:r>
    </w:p>
    <w:p>
      <w:pPr>
        <w:spacing w:line="400" w:lineRule="exact"/>
        <w:ind w:firstLine="630" w:firstLineChars="300"/>
        <w:rPr>
          <w:rFonts w:ascii="宋体" w:hAnsi="宋体"/>
          <w:color w:val="auto"/>
          <w:szCs w:val="21"/>
        </w:rPr>
      </w:pPr>
      <w:r>
        <w:rPr>
          <w:rFonts w:hint="eastAsia" w:ascii="宋体" w:hAnsi="宋体"/>
          <w:color w:val="auto"/>
          <w:szCs w:val="21"/>
        </w:rPr>
        <w:t>1.1.5 本招标项目地点:见投标人须知前附表。</w:t>
      </w:r>
    </w:p>
    <w:p>
      <w:pPr>
        <w:jc w:val="left"/>
        <w:rPr>
          <w:b/>
          <w:color w:val="auto"/>
          <w:sz w:val="24"/>
        </w:rPr>
      </w:pPr>
      <w:r>
        <w:rPr>
          <w:rFonts w:hint="eastAsia"/>
          <w:b/>
          <w:color w:val="auto"/>
          <w:sz w:val="24"/>
        </w:rPr>
        <w:t>1.2物业服务资金来源</w:t>
      </w:r>
    </w:p>
    <w:p>
      <w:pPr>
        <w:spacing w:line="360" w:lineRule="auto"/>
        <w:ind w:firstLine="560"/>
        <w:jc w:val="left"/>
        <w:rPr>
          <w:bCs/>
          <w:color w:val="auto"/>
          <w:sz w:val="28"/>
          <w:szCs w:val="28"/>
        </w:rPr>
      </w:pPr>
      <w:r>
        <w:rPr>
          <w:rFonts w:hint="eastAsia" w:ascii="宋体" w:hAnsi="宋体"/>
          <w:color w:val="auto"/>
          <w:szCs w:val="21"/>
        </w:rPr>
        <w:t>见投标人须知前附表。</w:t>
      </w:r>
    </w:p>
    <w:p>
      <w:pPr>
        <w:jc w:val="left"/>
        <w:rPr>
          <w:b/>
          <w:color w:val="auto"/>
          <w:sz w:val="24"/>
        </w:rPr>
      </w:pPr>
      <w:r>
        <w:rPr>
          <w:rFonts w:hint="eastAsia"/>
          <w:b/>
          <w:color w:val="auto"/>
          <w:sz w:val="24"/>
        </w:rPr>
        <w:t>1.3招标范围、服务期限和服务标准</w:t>
      </w:r>
    </w:p>
    <w:p>
      <w:pPr>
        <w:spacing w:line="360" w:lineRule="auto"/>
        <w:ind w:firstLine="560"/>
        <w:jc w:val="left"/>
        <w:rPr>
          <w:rFonts w:ascii="宋体" w:hAnsi="宋体"/>
          <w:color w:val="auto"/>
          <w:szCs w:val="21"/>
        </w:rPr>
      </w:pPr>
      <w:r>
        <w:rPr>
          <w:rFonts w:hint="eastAsia" w:ascii="宋体" w:hAnsi="宋体"/>
          <w:color w:val="auto"/>
          <w:szCs w:val="21"/>
        </w:rPr>
        <w:t>1.3.1招标范围:见投标人须知前附表。</w:t>
      </w:r>
    </w:p>
    <w:p>
      <w:pPr>
        <w:spacing w:line="360" w:lineRule="auto"/>
        <w:ind w:firstLine="560"/>
        <w:jc w:val="left"/>
        <w:rPr>
          <w:rFonts w:ascii="宋体" w:hAnsi="宋体"/>
          <w:color w:val="auto"/>
          <w:szCs w:val="21"/>
        </w:rPr>
      </w:pPr>
      <w:r>
        <w:rPr>
          <w:rFonts w:hint="eastAsia" w:ascii="宋体" w:hAnsi="宋体"/>
          <w:color w:val="auto"/>
          <w:szCs w:val="21"/>
        </w:rPr>
        <w:t>1.3.2物业服务期限:见投标人须知前附表。</w:t>
      </w:r>
    </w:p>
    <w:p>
      <w:pPr>
        <w:spacing w:line="360" w:lineRule="auto"/>
        <w:ind w:firstLine="560"/>
        <w:jc w:val="left"/>
        <w:rPr>
          <w:rFonts w:ascii="宋体" w:hAnsi="宋体"/>
          <w:color w:val="auto"/>
          <w:szCs w:val="21"/>
        </w:rPr>
      </w:pPr>
      <w:r>
        <w:rPr>
          <w:rFonts w:hint="eastAsia" w:ascii="宋体" w:hAnsi="宋体"/>
          <w:color w:val="auto"/>
          <w:szCs w:val="21"/>
        </w:rPr>
        <w:t>1.3.3物业服务质量标准:见投标人须知前附表。</w:t>
      </w:r>
    </w:p>
    <w:p>
      <w:pPr>
        <w:jc w:val="left"/>
        <w:rPr>
          <w:b/>
          <w:color w:val="auto"/>
          <w:sz w:val="24"/>
        </w:rPr>
      </w:pPr>
      <w:r>
        <w:rPr>
          <w:rFonts w:hint="eastAsia"/>
          <w:b/>
          <w:color w:val="auto"/>
          <w:sz w:val="24"/>
        </w:rPr>
        <w:t>1.4投标人资格要求</w:t>
      </w:r>
    </w:p>
    <w:p>
      <w:pPr>
        <w:spacing w:line="360" w:lineRule="auto"/>
        <w:ind w:firstLine="560"/>
        <w:jc w:val="left"/>
        <w:rPr>
          <w:rFonts w:ascii="宋体" w:hAnsi="宋体"/>
          <w:color w:val="auto"/>
          <w:szCs w:val="21"/>
        </w:rPr>
      </w:pPr>
      <w:r>
        <w:rPr>
          <w:rFonts w:hint="eastAsia" w:ascii="宋体" w:hAnsi="宋体"/>
          <w:color w:val="auto"/>
          <w:szCs w:val="21"/>
        </w:rPr>
        <w:t>1.4.1 投标人应具备的承担本项目物业管理服务的资质条件。</w:t>
      </w:r>
    </w:p>
    <w:p>
      <w:pPr>
        <w:spacing w:line="360" w:lineRule="auto"/>
        <w:ind w:firstLine="560"/>
        <w:jc w:val="left"/>
        <w:rPr>
          <w:rFonts w:ascii="宋体" w:hAnsi="宋体"/>
          <w:color w:val="auto"/>
          <w:szCs w:val="21"/>
        </w:rPr>
      </w:pPr>
      <w:r>
        <w:rPr>
          <w:rFonts w:hint="eastAsia" w:ascii="宋体" w:hAnsi="宋体"/>
          <w:color w:val="auto"/>
          <w:szCs w:val="21"/>
        </w:rPr>
        <w:t>（1）资质条件：见投标人须知前附表；</w:t>
      </w:r>
    </w:p>
    <w:p>
      <w:pPr>
        <w:spacing w:line="360" w:lineRule="auto"/>
        <w:ind w:firstLine="560"/>
        <w:jc w:val="left"/>
        <w:rPr>
          <w:rFonts w:ascii="宋体" w:hAnsi="宋体"/>
          <w:color w:val="auto"/>
          <w:szCs w:val="21"/>
        </w:rPr>
      </w:pPr>
      <w:r>
        <w:rPr>
          <w:rFonts w:hint="eastAsia" w:ascii="宋体" w:hAnsi="宋体"/>
          <w:color w:val="auto"/>
          <w:szCs w:val="21"/>
        </w:rPr>
        <w:t>（2）项目负责人资格：见投标人须知前附表。</w:t>
      </w:r>
    </w:p>
    <w:p>
      <w:pPr>
        <w:spacing w:line="360" w:lineRule="auto"/>
        <w:ind w:firstLine="560"/>
        <w:jc w:val="left"/>
        <w:rPr>
          <w:rFonts w:ascii="宋体" w:hAnsi="宋体"/>
          <w:color w:val="auto"/>
          <w:szCs w:val="21"/>
        </w:rPr>
      </w:pPr>
      <w:r>
        <w:rPr>
          <w:rFonts w:hint="eastAsia" w:ascii="宋体" w:hAnsi="宋体"/>
          <w:color w:val="auto"/>
          <w:szCs w:val="21"/>
        </w:rPr>
        <w:t>1.4.2本项目不接受联合体投标申请。</w:t>
      </w:r>
    </w:p>
    <w:p>
      <w:pPr>
        <w:spacing w:line="360" w:lineRule="auto"/>
        <w:ind w:firstLine="560"/>
        <w:jc w:val="left"/>
        <w:rPr>
          <w:rFonts w:ascii="宋体" w:hAnsi="宋体"/>
          <w:color w:val="auto"/>
          <w:szCs w:val="21"/>
        </w:rPr>
      </w:pPr>
      <w:r>
        <w:rPr>
          <w:rFonts w:hint="eastAsia" w:ascii="宋体" w:hAnsi="宋体"/>
          <w:color w:val="auto"/>
          <w:szCs w:val="21"/>
        </w:rPr>
        <w:t>1.4.3投标人不得存在下列情形之一：</w:t>
      </w:r>
    </w:p>
    <w:p>
      <w:pPr>
        <w:spacing w:line="360" w:lineRule="auto"/>
        <w:ind w:firstLine="560"/>
        <w:jc w:val="left"/>
        <w:rPr>
          <w:rFonts w:ascii="宋体" w:hAnsi="宋体"/>
          <w:color w:val="auto"/>
          <w:szCs w:val="21"/>
        </w:rPr>
      </w:pPr>
      <w:r>
        <w:rPr>
          <w:rFonts w:hint="eastAsia" w:ascii="宋体" w:hAnsi="宋体"/>
          <w:color w:val="auto"/>
          <w:szCs w:val="21"/>
        </w:rPr>
        <w:t>(1)为招标人不具有独立法人资格的附属机构(单位) ；</w:t>
      </w:r>
    </w:p>
    <w:p>
      <w:pPr>
        <w:spacing w:line="360" w:lineRule="auto"/>
        <w:ind w:firstLine="560"/>
        <w:jc w:val="left"/>
        <w:rPr>
          <w:rFonts w:ascii="宋体" w:hAnsi="宋体"/>
          <w:color w:val="auto"/>
          <w:szCs w:val="21"/>
        </w:rPr>
      </w:pPr>
      <w:r>
        <w:rPr>
          <w:rFonts w:hint="eastAsia" w:ascii="宋体" w:hAnsi="宋体"/>
          <w:color w:val="auto"/>
          <w:szCs w:val="21"/>
        </w:rPr>
        <w:t>(2)为本项目物业服务评估监理机构的；</w:t>
      </w:r>
    </w:p>
    <w:p>
      <w:pPr>
        <w:spacing w:line="360" w:lineRule="auto"/>
        <w:ind w:firstLine="560"/>
        <w:jc w:val="left"/>
        <w:rPr>
          <w:rFonts w:ascii="宋体" w:hAnsi="宋体"/>
          <w:color w:val="auto"/>
          <w:szCs w:val="21"/>
        </w:rPr>
      </w:pPr>
      <w:r>
        <w:rPr>
          <w:rFonts w:hint="eastAsia" w:ascii="宋体" w:hAnsi="宋体"/>
          <w:color w:val="auto"/>
          <w:szCs w:val="21"/>
        </w:rPr>
        <w:t>(3)为本项目提供招标代理服务的；</w:t>
      </w:r>
    </w:p>
    <w:p>
      <w:pPr>
        <w:spacing w:line="360" w:lineRule="auto"/>
        <w:ind w:firstLine="560"/>
        <w:jc w:val="left"/>
        <w:rPr>
          <w:rFonts w:ascii="宋体" w:hAnsi="宋体"/>
          <w:color w:val="auto"/>
          <w:szCs w:val="21"/>
        </w:rPr>
      </w:pPr>
      <w:r>
        <w:rPr>
          <w:rFonts w:hint="eastAsia" w:ascii="宋体" w:hAnsi="宋体"/>
          <w:color w:val="auto"/>
          <w:szCs w:val="21"/>
        </w:rPr>
        <w:t>(4)与本项目物业服务评估监理人或用标代理机构同为一个法定代表人的；，</w:t>
      </w:r>
    </w:p>
    <w:p>
      <w:pPr>
        <w:spacing w:line="360" w:lineRule="auto"/>
        <w:ind w:firstLine="560"/>
        <w:jc w:val="left"/>
        <w:rPr>
          <w:rFonts w:ascii="宋体" w:hAnsi="宋体"/>
          <w:color w:val="auto"/>
          <w:szCs w:val="21"/>
        </w:rPr>
      </w:pPr>
      <w:r>
        <w:rPr>
          <w:rFonts w:hint="eastAsia" w:ascii="宋体" w:hAnsi="宋体"/>
          <w:color w:val="auto"/>
          <w:szCs w:val="21"/>
        </w:rPr>
        <w:t>(5)与本项目物业服务评估监理人或招标代理机构相互控股或参数的；</w:t>
      </w:r>
    </w:p>
    <w:p>
      <w:pPr>
        <w:spacing w:line="360" w:lineRule="auto"/>
        <w:ind w:firstLine="560"/>
        <w:jc w:val="left"/>
        <w:rPr>
          <w:rFonts w:ascii="宋体" w:hAnsi="宋体"/>
          <w:color w:val="auto"/>
          <w:szCs w:val="21"/>
        </w:rPr>
      </w:pPr>
      <w:r>
        <w:rPr>
          <w:rFonts w:hint="eastAsia" w:ascii="宋体" w:hAnsi="宋体"/>
          <w:color w:val="auto"/>
          <w:szCs w:val="21"/>
        </w:rPr>
        <w:t>(6)与本项目物业服务评估监理人或招标代理机构相互任职或工作的；</w:t>
      </w:r>
    </w:p>
    <w:p>
      <w:pPr>
        <w:spacing w:line="360" w:lineRule="auto"/>
        <w:ind w:firstLine="560"/>
        <w:jc w:val="left"/>
        <w:rPr>
          <w:rFonts w:ascii="宋体" w:hAnsi="宋体"/>
          <w:color w:val="auto"/>
          <w:szCs w:val="21"/>
        </w:rPr>
      </w:pPr>
      <w:r>
        <w:rPr>
          <w:rFonts w:hint="eastAsia" w:ascii="宋体" w:hAnsi="宋体"/>
          <w:color w:val="auto"/>
          <w:szCs w:val="21"/>
        </w:rPr>
        <w:t>(7)被责令停业的；</w:t>
      </w:r>
    </w:p>
    <w:p>
      <w:pPr>
        <w:spacing w:line="360" w:lineRule="auto"/>
        <w:ind w:firstLine="560"/>
        <w:jc w:val="left"/>
        <w:rPr>
          <w:rFonts w:ascii="宋体" w:hAnsi="宋体"/>
          <w:color w:val="auto"/>
          <w:szCs w:val="21"/>
        </w:rPr>
      </w:pPr>
      <w:r>
        <w:rPr>
          <w:rFonts w:hint="eastAsia" w:ascii="宋体" w:hAnsi="宋体"/>
          <w:color w:val="auto"/>
          <w:szCs w:val="21"/>
        </w:rPr>
        <w:t>(8)被暂停或取消投标资格的；</w:t>
      </w:r>
    </w:p>
    <w:p>
      <w:pPr>
        <w:spacing w:line="360" w:lineRule="auto"/>
        <w:ind w:firstLine="560"/>
        <w:jc w:val="left"/>
        <w:rPr>
          <w:rFonts w:ascii="宋体" w:hAnsi="宋体"/>
          <w:color w:val="auto"/>
          <w:szCs w:val="21"/>
        </w:rPr>
      </w:pPr>
      <w:r>
        <w:rPr>
          <w:rFonts w:hint="eastAsia" w:ascii="宋体" w:hAnsi="宋体"/>
          <w:color w:val="auto"/>
          <w:szCs w:val="21"/>
        </w:rPr>
        <w:t>(9)财产被接管或冻结的；</w:t>
      </w:r>
    </w:p>
    <w:p>
      <w:pPr>
        <w:spacing w:line="360" w:lineRule="auto"/>
        <w:ind w:firstLine="560"/>
        <w:jc w:val="left"/>
        <w:rPr>
          <w:bCs/>
          <w:color w:val="auto"/>
          <w:sz w:val="24"/>
        </w:rPr>
      </w:pPr>
      <w:r>
        <w:rPr>
          <w:rFonts w:hint="eastAsia" w:ascii="宋体" w:hAnsi="宋体"/>
          <w:color w:val="auto"/>
          <w:szCs w:val="21"/>
        </w:rPr>
        <w:t>(10)在最近三年内有骗取中标或严重违约的。</w:t>
      </w:r>
    </w:p>
    <w:p>
      <w:pPr>
        <w:spacing w:line="360" w:lineRule="auto"/>
        <w:ind w:left="482" w:hanging="482" w:hangingChars="200"/>
        <w:jc w:val="left"/>
        <w:rPr>
          <w:bCs/>
          <w:color w:val="auto"/>
          <w:sz w:val="24"/>
        </w:rPr>
      </w:pPr>
      <w:r>
        <w:rPr>
          <w:rFonts w:hint="eastAsia"/>
          <w:b/>
          <w:color w:val="auto"/>
          <w:sz w:val="24"/>
        </w:rPr>
        <w:t>1. 5费用承担</w:t>
      </w:r>
      <w:r>
        <w:rPr>
          <w:rFonts w:hint="eastAsia"/>
          <w:bCs/>
          <w:color w:val="auto"/>
          <w:sz w:val="24"/>
        </w:rPr>
        <w:br w:type="textWrapping"/>
      </w:r>
      <w:r>
        <w:rPr>
          <w:rFonts w:hint="eastAsia" w:ascii="宋体" w:hAnsi="宋体"/>
          <w:color w:val="auto"/>
          <w:szCs w:val="21"/>
        </w:rPr>
        <w:t>投标人准备和参加投标活动发生的费用自理。</w:t>
      </w:r>
    </w:p>
    <w:p>
      <w:pPr>
        <w:spacing w:line="360" w:lineRule="auto"/>
        <w:ind w:left="482" w:hanging="482" w:hangingChars="200"/>
        <w:jc w:val="left"/>
        <w:rPr>
          <w:rFonts w:ascii="宋体" w:hAnsi="宋体"/>
          <w:color w:val="auto"/>
          <w:szCs w:val="21"/>
        </w:rPr>
      </w:pPr>
      <w:r>
        <w:rPr>
          <w:rFonts w:hint="eastAsia"/>
          <w:b/>
          <w:color w:val="auto"/>
          <w:sz w:val="24"/>
        </w:rPr>
        <w:t>1.6保密</w:t>
      </w:r>
      <w:r>
        <w:rPr>
          <w:rFonts w:hint="eastAsia"/>
          <w:b/>
          <w:color w:val="auto"/>
          <w:sz w:val="28"/>
          <w:szCs w:val="28"/>
        </w:rPr>
        <w:br w:type="textWrapping"/>
      </w:r>
      <w:r>
        <w:rPr>
          <w:rFonts w:hint="eastAsia" w:ascii="宋体" w:hAnsi="宋体"/>
          <w:color w:val="auto"/>
          <w:szCs w:val="21"/>
        </w:rPr>
        <w:t>参与招标投标活动的各方应对招标文件和投标文件中的商业和技术等秘密保密，违者应对由此造成的后果承担法律责任。</w:t>
      </w:r>
    </w:p>
    <w:p>
      <w:pPr>
        <w:spacing w:line="360" w:lineRule="auto"/>
        <w:ind w:left="482" w:hanging="482" w:hangingChars="200"/>
        <w:jc w:val="left"/>
        <w:rPr>
          <w:rFonts w:ascii="宋体" w:hAnsi="宋体"/>
          <w:color w:val="auto"/>
          <w:szCs w:val="21"/>
        </w:rPr>
      </w:pPr>
      <w:r>
        <w:rPr>
          <w:rFonts w:hint="eastAsia"/>
          <w:b/>
          <w:color w:val="auto"/>
          <w:sz w:val="24"/>
        </w:rPr>
        <w:t>1.7语言文字</w:t>
      </w:r>
      <w:r>
        <w:rPr>
          <w:rFonts w:hint="eastAsia"/>
          <w:b/>
          <w:color w:val="auto"/>
          <w:sz w:val="28"/>
          <w:szCs w:val="28"/>
        </w:rPr>
        <w:br w:type="textWrapping"/>
      </w:r>
      <w:r>
        <w:rPr>
          <w:rFonts w:hint="eastAsia" w:ascii="宋体" w:hAnsi="宋体"/>
          <w:color w:val="auto"/>
          <w:szCs w:val="21"/>
        </w:rPr>
        <w:t>除专用术语外，与招标投标有关的语言均使用中文。必要时专用术语应附有中文注释。</w:t>
      </w:r>
    </w:p>
    <w:p>
      <w:pPr>
        <w:spacing w:line="360" w:lineRule="auto"/>
        <w:ind w:left="482" w:hanging="482" w:hangingChars="200"/>
        <w:jc w:val="left"/>
        <w:rPr>
          <w:bCs/>
          <w:color w:val="auto"/>
          <w:sz w:val="24"/>
        </w:rPr>
      </w:pPr>
      <w:r>
        <w:rPr>
          <w:rFonts w:hint="eastAsia"/>
          <w:b/>
          <w:color w:val="auto"/>
          <w:sz w:val="24"/>
        </w:rPr>
        <w:t>1.8计量单位</w:t>
      </w:r>
      <w:r>
        <w:rPr>
          <w:rFonts w:hint="eastAsia"/>
          <w:bCs/>
          <w:color w:val="auto"/>
          <w:sz w:val="24"/>
        </w:rPr>
        <w:br w:type="textWrapping"/>
      </w:r>
      <w:r>
        <w:rPr>
          <w:rFonts w:hint="eastAsia" w:ascii="宋体" w:hAnsi="宋体"/>
          <w:color w:val="auto"/>
          <w:szCs w:val="21"/>
        </w:rPr>
        <w:t>所有计量均采用中华人民共和国法定计量单位。</w:t>
      </w:r>
    </w:p>
    <w:p>
      <w:pPr>
        <w:spacing w:line="360" w:lineRule="auto"/>
        <w:ind w:left="723" w:hanging="723" w:hangingChars="300"/>
        <w:jc w:val="left"/>
        <w:rPr>
          <w:b/>
          <w:color w:val="auto"/>
          <w:sz w:val="28"/>
          <w:szCs w:val="28"/>
        </w:rPr>
      </w:pPr>
      <w:r>
        <w:rPr>
          <w:rFonts w:hint="eastAsia"/>
          <w:b/>
          <w:color w:val="auto"/>
          <w:sz w:val="24"/>
        </w:rPr>
        <w:t>1.9踏勘现场</w:t>
      </w:r>
    </w:p>
    <w:p>
      <w:pPr>
        <w:spacing w:line="360" w:lineRule="auto"/>
        <w:ind w:firstLine="420" w:firstLineChars="200"/>
        <w:jc w:val="left"/>
        <w:rPr>
          <w:rFonts w:ascii="宋体" w:hAnsi="宋体"/>
          <w:color w:val="auto"/>
          <w:szCs w:val="21"/>
        </w:rPr>
      </w:pPr>
      <w:r>
        <w:rPr>
          <w:rFonts w:hint="eastAsia" w:ascii="宋体" w:hAnsi="宋体"/>
          <w:color w:val="auto"/>
          <w:szCs w:val="21"/>
        </w:rPr>
        <w:t>1.9.1本项目招标人不统一组织现场踏勘，由投标人自行踏勘现场。</w:t>
      </w:r>
    </w:p>
    <w:p>
      <w:pPr>
        <w:spacing w:line="360" w:lineRule="auto"/>
        <w:ind w:left="420" w:leftChars="200"/>
        <w:jc w:val="left"/>
        <w:rPr>
          <w:bCs/>
          <w:color w:val="auto"/>
          <w:sz w:val="24"/>
        </w:rPr>
      </w:pPr>
      <w:r>
        <w:rPr>
          <w:rFonts w:hint="eastAsia" w:ascii="宋体" w:hAnsi="宋体"/>
          <w:color w:val="auto"/>
          <w:szCs w:val="21"/>
        </w:rPr>
        <w:t>1.9.2投标人踏勘现场发生的费用自理，</w:t>
      </w:r>
      <w:r>
        <w:rPr>
          <w:rFonts w:hint="eastAsia" w:ascii="宋体" w:hAnsi="宋体"/>
          <w:color w:val="auto"/>
          <w:szCs w:val="21"/>
        </w:rPr>
        <w:br w:type="textWrapping"/>
      </w:r>
      <w:r>
        <w:rPr>
          <w:rFonts w:hint="eastAsia" w:ascii="宋体" w:hAnsi="宋体"/>
          <w:color w:val="auto"/>
          <w:szCs w:val="21"/>
        </w:rPr>
        <w:t>1.9.3除招标人的原因外，投标人自行负责在踏助现场中所发生的人员伤亡和财产损失。</w:t>
      </w:r>
    </w:p>
    <w:p>
      <w:pPr>
        <w:spacing w:line="360" w:lineRule="auto"/>
        <w:ind w:left="723" w:hanging="723" w:hangingChars="300"/>
        <w:jc w:val="left"/>
        <w:rPr>
          <w:b/>
          <w:color w:val="auto"/>
          <w:sz w:val="24"/>
        </w:rPr>
      </w:pPr>
      <w:r>
        <w:rPr>
          <w:rFonts w:hint="eastAsia"/>
          <w:b/>
          <w:color w:val="auto"/>
          <w:sz w:val="24"/>
        </w:rPr>
        <w:t>1.10投标预备会</w:t>
      </w:r>
    </w:p>
    <w:p>
      <w:pPr>
        <w:spacing w:line="360" w:lineRule="auto"/>
        <w:ind w:firstLine="420" w:firstLineChars="200"/>
        <w:jc w:val="left"/>
        <w:rPr>
          <w:rFonts w:ascii="宋体" w:hAnsi="宋体"/>
          <w:color w:val="auto"/>
          <w:szCs w:val="21"/>
        </w:rPr>
      </w:pPr>
      <w:r>
        <w:rPr>
          <w:rFonts w:hint="eastAsia" w:ascii="宋体" w:hAnsi="宋体"/>
          <w:color w:val="auto"/>
          <w:szCs w:val="21"/>
        </w:rPr>
        <w:t>1.10.1本项目不召开投标预备会。</w:t>
      </w:r>
    </w:p>
    <w:p>
      <w:pPr>
        <w:spacing w:line="360" w:lineRule="auto"/>
        <w:ind w:firstLine="420" w:firstLineChars="200"/>
        <w:jc w:val="left"/>
        <w:rPr>
          <w:rFonts w:ascii="宋体" w:hAnsi="宋体"/>
          <w:color w:val="auto"/>
          <w:szCs w:val="21"/>
        </w:rPr>
      </w:pPr>
      <w:r>
        <w:rPr>
          <w:rFonts w:hint="eastAsia" w:ascii="宋体" w:hAnsi="宋体"/>
          <w:color w:val="auto"/>
          <w:szCs w:val="21"/>
        </w:rPr>
        <w:t>1.10.2投标人提出问题的截止时间和提问方式见投标人须知前附表。</w:t>
      </w:r>
    </w:p>
    <w:p>
      <w:pPr>
        <w:spacing w:line="360" w:lineRule="auto"/>
        <w:ind w:firstLine="420" w:firstLineChars="200"/>
        <w:jc w:val="left"/>
        <w:rPr>
          <w:bCs/>
          <w:color w:val="auto"/>
          <w:sz w:val="24"/>
        </w:rPr>
      </w:pPr>
      <w:r>
        <w:rPr>
          <w:rFonts w:hint="eastAsia" w:ascii="宋体" w:hAnsi="宋体"/>
          <w:color w:val="auto"/>
          <w:szCs w:val="21"/>
        </w:rPr>
        <w:t>1.10.3招标人书面澄清的时间和发布方式见投标须知前附表。</w:t>
      </w:r>
    </w:p>
    <w:p>
      <w:pPr>
        <w:spacing w:line="360" w:lineRule="auto"/>
        <w:ind w:left="482" w:hanging="482" w:hangingChars="200"/>
        <w:jc w:val="left"/>
        <w:rPr>
          <w:rFonts w:ascii="宋体" w:hAnsi="宋体"/>
          <w:color w:val="auto"/>
          <w:szCs w:val="21"/>
        </w:rPr>
      </w:pPr>
      <w:r>
        <w:rPr>
          <w:rFonts w:hint="eastAsia"/>
          <w:b/>
          <w:color w:val="auto"/>
          <w:sz w:val="24"/>
        </w:rPr>
        <w:t>1.11分包</w:t>
      </w:r>
      <w:r>
        <w:rPr>
          <w:rFonts w:hint="eastAsia"/>
          <w:bCs/>
          <w:color w:val="auto"/>
          <w:sz w:val="24"/>
        </w:rPr>
        <w:br w:type="textWrapping"/>
      </w:r>
      <w:r>
        <w:rPr>
          <w:rFonts w:hint="eastAsia" w:ascii="宋体" w:hAnsi="宋体"/>
          <w:color w:val="auto"/>
          <w:szCs w:val="21"/>
        </w:rPr>
        <w:t>本项目物业服务的各专项服务经招标人同意后允许分包。</w:t>
      </w:r>
    </w:p>
    <w:p>
      <w:pPr>
        <w:spacing w:line="360" w:lineRule="auto"/>
        <w:ind w:left="482" w:hanging="482" w:hangingChars="200"/>
        <w:jc w:val="left"/>
        <w:rPr>
          <w:rFonts w:ascii="宋体" w:hAnsi="宋体"/>
          <w:color w:val="auto"/>
          <w:szCs w:val="21"/>
        </w:rPr>
      </w:pPr>
      <w:r>
        <w:rPr>
          <w:rFonts w:hint="eastAsia"/>
          <w:b/>
          <w:color w:val="auto"/>
          <w:sz w:val="24"/>
        </w:rPr>
        <w:t>1.12偏离</w:t>
      </w:r>
      <w:r>
        <w:rPr>
          <w:rFonts w:hint="eastAsia"/>
          <w:b/>
          <w:color w:val="auto"/>
          <w:sz w:val="28"/>
          <w:szCs w:val="28"/>
        </w:rPr>
        <w:br w:type="textWrapping"/>
      </w:r>
      <w:r>
        <w:rPr>
          <w:rFonts w:hint="eastAsia" w:ascii="宋体" w:hAnsi="宋体"/>
          <w:color w:val="auto"/>
          <w:szCs w:val="21"/>
        </w:rPr>
        <w:t>投标人须知前附表如允许投标文件偏离招标文件某些要求的，偏离应符合招标文件规定的偏离范围和幅度。</w:t>
      </w:r>
    </w:p>
    <w:p>
      <w:pPr>
        <w:spacing w:line="360" w:lineRule="auto"/>
        <w:ind w:left="420" w:hanging="420" w:hangingChars="200"/>
        <w:jc w:val="left"/>
        <w:rPr>
          <w:rFonts w:ascii="宋体" w:hAnsi="宋体"/>
          <w:color w:val="auto"/>
          <w:szCs w:val="21"/>
        </w:rPr>
      </w:pPr>
    </w:p>
    <w:p>
      <w:pPr>
        <w:jc w:val="left"/>
        <w:rPr>
          <w:bCs/>
          <w:color w:val="auto"/>
          <w:sz w:val="24"/>
        </w:rPr>
      </w:pPr>
      <w:r>
        <w:rPr>
          <w:rFonts w:hint="eastAsia"/>
          <w:b/>
          <w:color w:val="auto"/>
          <w:sz w:val="28"/>
          <w:szCs w:val="28"/>
        </w:rPr>
        <w:t>2.招标文件</w:t>
      </w:r>
    </w:p>
    <w:p>
      <w:pPr>
        <w:spacing w:line="360" w:lineRule="auto"/>
        <w:ind w:left="482" w:hanging="482" w:hangingChars="200"/>
        <w:jc w:val="left"/>
        <w:rPr>
          <w:b/>
          <w:color w:val="auto"/>
          <w:sz w:val="24"/>
        </w:rPr>
      </w:pPr>
      <w:r>
        <w:rPr>
          <w:rFonts w:hint="eastAsia"/>
          <w:b/>
          <w:color w:val="auto"/>
          <w:sz w:val="24"/>
        </w:rPr>
        <w:t>2.1招标文件的组成</w:t>
      </w:r>
    </w:p>
    <w:p>
      <w:pPr>
        <w:spacing w:line="360" w:lineRule="auto"/>
        <w:ind w:left="420" w:hanging="420" w:hangingChars="200"/>
        <w:jc w:val="left"/>
        <w:rPr>
          <w:rFonts w:ascii="宋体" w:hAnsi="宋体"/>
          <w:color w:val="auto"/>
          <w:szCs w:val="21"/>
        </w:rPr>
      </w:pPr>
      <w:r>
        <w:rPr>
          <w:rFonts w:hint="eastAsia" w:ascii="宋体" w:hAnsi="宋体"/>
          <w:color w:val="auto"/>
          <w:szCs w:val="21"/>
        </w:rPr>
        <w:t>本招标文件包括</w:t>
      </w:r>
    </w:p>
    <w:p>
      <w:pPr>
        <w:spacing w:line="360" w:lineRule="auto"/>
        <w:ind w:left="420" w:hanging="420" w:hangingChars="200"/>
        <w:jc w:val="left"/>
        <w:rPr>
          <w:rFonts w:ascii="宋体" w:hAnsi="宋体"/>
          <w:color w:val="auto"/>
          <w:szCs w:val="21"/>
        </w:rPr>
      </w:pPr>
      <w:r>
        <w:rPr>
          <w:rFonts w:hint="eastAsia" w:ascii="宋体" w:hAnsi="宋体"/>
          <w:color w:val="auto"/>
          <w:szCs w:val="21"/>
        </w:rPr>
        <w:t>(1)招标公告；</w:t>
      </w:r>
    </w:p>
    <w:p>
      <w:pPr>
        <w:spacing w:line="360" w:lineRule="auto"/>
        <w:ind w:left="420" w:hanging="420" w:hangingChars="200"/>
        <w:jc w:val="left"/>
        <w:rPr>
          <w:rFonts w:ascii="宋体" w:hAnsi="宋体"/>
          <w:color w:val="auto"/>
          <w:szCs w:val="21"/>
        </w:rPr>
      </w:pPr>
      <w:r>
        <w:rPr>
          <w:rFonts w:hint="eastAsia" w:ascii="宋体" w:hAnsi="宋体"/>
          <w:color w:val="auto"/>
          <w:szCs w:val="21"/>
        </w:rPr>
        <w:t xml:space="preserve">(2)投标人须知； </w:t>
      </w:r>
    </w:p>
    <w:p>
      <w:pPr>
        <w:spacing w:line="360" w:lineRule="auto"/>
        <w:ind w:left="420" w:hanging="420" w:hangingChars="200"/>
        <w:jc w:val="left"/>
        <w:rPr>
          <w:rFonts w:ascii="宋体" w:hAnsi="宋体"/>
          <w:color w:val="auto"/>
          <w:szCs w:val="21"/>
        </w:rPr>
      </w:pPr>
      <w:r>
        <w:rPr>
          <w:rFonts w:hint="eastAsia" w:ascii="宋体" w:hAnsi="宋体"/>
          <w:color w:val="auto"/>
          <w:szCs w:val="21"/>
        </w:rPr>
        <w:t>(3)评标办法和标准；</w:t>
      </w:r>
    </w:p>
    <w:p>
      <w:pPr>
        <w:spacing w:line="360" w:lineRule="auto"/>
        <w:ind w:left="420" w:hanging="420" w:hangingChars="200"/>
        <w:jc w:val="left"/>
        <w:rPr>
          <w:rFonts w:ascii="宋体" w:hAnsi="宋体"/>
          <w:color w:val="auto"/>
          <w:szCs w:val="21"/>
        </w:rPr>
      </w:pPr>
      <w:r>
        <w:rPr>
          <w:rFonts w:hint="eastAsia" w:ascii="宋体" w:hAnsi="宋体"/>
          <w:color w:val="auto"/>
          <w:szCs w:val="21"/>
        </w:rPr>
        <w:t>(4)合同条款及格式；</w:t>
      </w:r>
    </w:p>
    <w:p>
      <w:pPr>
        <w:spacing w:line="360" w:lineRule="auto"/>
        <w:ind w:left="420" w:hanging="420" w:hangingChars="200"/>
        <w:jc w:val="left"/>
        <w:rPr>
          <w:rFonts w:ascii="宋体" w:hAnsi="宋体"/>
          <w:color w:val="auto"/>
          <w:szCs w:val="21"/>
        </w:rPr>
      </w:pPr>
      <w:r>
        <w:rPr>
          <w:rFonts w:hint="eastAsia" w:ascii="宋体" w:hAnsi="宋体"/>
          <w:color w:val="auto"/>
          <w:szCs w:val="21"/>
        </w:rPr>
        <w:t>(5)相关图纸；</w:t>
      </w:r>
    </w:p>
    <w:p>
      <w:pPr>
        <w:spacing w:line="360" w:lineRule="auto"/>
        <w:ind w:left="420" w:hanging="420" w:hangingChars="200"/>
        <w:jc w:val="left"/>
        <w:rPr>
          <w:rFonts w:ascii="宋体" w:hAnsi="宋体"/>
          <w:color w:val="auto"/>
          <w:szCs w:val="21"/>
        </w:rPr>
      </w:pPr>
      <w:r>
        <w:rPr>
          <w:rFonts w:hint="eastAsia" w:ascii="宋体" w:hAnsi="宋体"/>
          <w:color w:val="auto"/>
          <w:szCs w:val="21"/>
        </w:rPr>
        <w:t>(6)物业管理服务需求书；</w:t>
      </w:r>
    </w:p>
    <w:p>
      <w:pPr>
        <w:spacing w:line="360" w:lineRule="auto"/>
        <w:ind w:left="420" w:hanging="420" w:hangingChars="200"/>
        <w:jc w:val="left"/>
        <w:rPr>
          <w:rFonts w:ascii="宋体" w:hAnsi="宋体"/>
          <w:color w:val="auto"/>
          <w:szCs w:val="21"/>
        </w:rPr>
      </w:pPr>
      <w:r>
        <w:rPr>
          <w:rFonts w:hint="eastAsia" w:ascii="宋体" w:hAnsi="宋体"/>
          <w:color w:val="auto"/>
          <w:szCs w:val="21"/>
        </w:rPr>
        <w:t>(7)投标文件格式；</w:t>
      </w:r>
    </w:p>
    <w:p>
      <w:pPr>
        <w:spacing w:line="360" w:lineRule="auto"/>
        <w:ind w:left="420" w:hanging="420" w:hangingChars="200"/>
        <w:jc w:val="left"/>
        <w:rPr>
          <w:rFonts w:ascii="宋体" w:hAnsi="宋体"/>
          <w:color w:val="auto"/>
          <w:szCs w:val="21"/>
        </w:rPr>
      </w:pPr>
      <w:r>
        <w:rPr>
          <w:rFonts w:hint="eastAsia" w:ascii="宋体" w:hAnsi="宋体"/>
          <w:color w:val="auto"/>
          <w:szCs w:val="21"/>
        </w:rPr>
        <w:t>(8)投标人须知前附表规定的其他材料。</w:t>
      </w:r>
    </w:p>
    <w:p>
      <w:pPr>
        <w:spacing w:line="360" w:lineRule="auto"/>
        <w:ind w:left="420" w:hanging="420" w:hangingChars="200"/>
        <w:jc w:val="left"/>
        <w:rPr>
          <w:rFonts w:ascii="宋体" w:hAnsi="宋体"/>
          <w:color w:val="auto"/>
          <w:szCs w:val="21"/>
        </w:rPr>
      </w:pPr>
      <w:r>
        <w:rPr>
          <w:rFonts w:hint="eastAsia" w:ascii="宋体" w:hAnsi="宋体"/>
          <w:color w:val="auto"/>
          <w:szCs w:val="21"/>
        </w:rPr>
        <w:t>根据本章第2.2款和第2.3款对招标文件所作的澄清、修改，构成招标文件的组成部分。</w:t>
      </w:r>
    </w:p>
    <w:p>
      <w:pPr>
        <w:spacing w:line="360" w:lineRule="auto"/>
        <w:ind w:left="482" w:hanging="482" w:hangingChars="200"/>
        <w:jc w:val="left"/>
        <w:rPr>
          <w:b/>
          <w:color w:val="auto"/>
          <w:sz w:val="24"/>
        </w:rPr>
      </w:pPr>
      <w:r>
        <w:rPr>
          <w:rFonts w:hint="eastAsia"/>
          <w:b/>
          <w:color w:val="auto"/>
          <w:sz w:val="24"/>
        </w:rPr>
        <w:t>2.2招标文件的澄清</w:t>
      </w:r>
    </w:p>
    <w:p>
      <w:pPr>
        <w:spacing w:line="360" w:lineRule="auto"/>
        <w:ind w:firstLine="420" w:firstLineChars="200"/>
        <w:jc w:val="left"/>
        <w:rPr>
          <w:rFonts w:ascii="宋体" w:hAnsi="宋体"/>
          <w:color w:val="auto"/>
          <w:szCs w:val="21"/>
        </w:rPr>
      </w:pPr>
      <w:r>
        <w:rPr>
          <w:rFonts w:hint="eastAsia" w:ascii="宋体" w:hAnsi="宋体"/>
          <w:color w:val="auto"/>
          <w:szCs w:val="21"/>
        </w:rPr>
        <w:t>2.2.1投标人应仔细阅读和检查招标文件的全部内容。如发现缺页或附件不全，应及时向招标人提出，以便补齐，如有疑问，应在投标截止时间15日前按投标人须知前附表规定的方式，要求招标人对招标文件予以澄清。</w:t>
      </w:r>
    </w:p>
    <w:p>
      <w:pPr>
        <w:spacing w:line="360" w:lineRule="auto"/>
        <w:ind w:firstLine="420" w:firstLineChars="200"/>
        <w:jc w:val="left"/>
        <w:rPr>
          <w:rFonts w:ascii="宋体" w:hAnsi="宋体"/>
          <w:color w:val="auto"/>
          <w:szCs w:val="21"/>
        </w:rPr>
      </w:pPr>
      <w:r>
        <w:rPr>
          <w:rFonts w:hint="eastAsia" w:ascii="宋体" w:hAnsi="宋体"/>
          <w:color w:val="auto"/>
          <w:szCs w:val="21"/>
        </w:rPr>
        <w:t>2.2.2招标文件的澄清或修改将在投标截止时间15日前按投标人须知前附表规定的方式通知。如果澄清发出的时间距投标截止时间不足15日的，相应推迟投标截止时间。</w:t>
      </w:r>
    </w:p>
    <w:p>
      <w:pPr>
        <w:spacing w:line="360" w:lineRule="auto"/>
        <w:ind w:firstLine="420" w:firstLineChars="200"/>
        <w:jc w:val="left"/>
        <w:rPr>
          <w:rFonts w:ascii="宋体" w:hAnsi="宋体"/>
          <w:color w:val="auto"/>
          <w:szCs w:val="21"/>
        </w:rPr>
      </w:pPr>
      <w:r>
        <w:rPr>
          <w:rFonts w:hint="eastAsia" w:ascii="宋体" w:hAnsi="宋体"/>
          <w:color w:val="auto"/>
          <w:szCs w:val="21"/>
        </w:rPr>
        <w:t>2.2.3投标人对招标文件有异议的，应当在投标截止时间10日前提出。招标人应当自收到异议之日起3日内作出答复；作出答复前，应当暂停招标投标活动。</w:t>
      </w:r>
    </w:p>
    <w:p>
      <w:pPr>
        <w:spacing w:line="360" w:lineRule="auto"/>
        <w:ind w:firstLine="420" w:firstLineChars="200"/>
        <w:jc w:val="left"/>
        <w:rPr>
          <w:rFonts w:ascii="宋体" w:hAnsi="宋体"/>
          <w:color w:val="auto"/>
          <w:szCs w:val="21"/>
        </w:rPr>
      </w:pPr>
      <w:r>
        <w:rPr>
          <w:rFonts w:hint="eastAsia" w:ascii="宋体" w:hAnsi="宋体"/>
          <w:color w:val="auto"/>
          <w:szCs w:val="21"/>
        </w:rPr>
        <w:t>2.2.4投标截止时间：见投标人须知前附表。</w:t>
      </w:r>
    </w:p>
    <w:p>
      <w:pPr>
        <w:spacing w:line="360" w:lineRule="auto"/>
        <w:rPr>
          <w:bCs/>
          <w:color w:val="auto"/>
          <w:sz w:val="24"/>
        </w:rPr>
      </w:pPr>
      <w:r>
        <w:rPr>
          <w:rFonts w:hint="eastAsia"/>
          <w:b/>
          <w:color w:val="auto"/>
          <w:sz w:val="24"/>
        </w:rPr>
        <w:t>2.3招标文件的修改</w:t>
      </w:r>
    </w:p>
    <w:p>
      <w:pPr>
        <w:spacing w:line="360" w:lineRule="auto"/>
        <w:ind w:firstLine="420" w:firstLineChars="200"/>
        <w:jc w:val="left"/>
        <w:rPr>
          <w:rFonts w:ascii="宋体" w:hAnsi="宋体"/>
          <w:color w:val="auto"/>
          <w:szCs w:val="21"/>
        </w:rPr>
      </w:pPr>
      <w:r>
        <w:rPr>
          <w:rFonts w:hint="eastAsia" w:ascii="宋体" w:hAnsi="宋体"/>
          <w:color w:val="auto"/>
          <w:szCs w:val="21"/>
        </w:rPr>
        <w:t>在投标截止时间15日前，招标人可以修改招标文件，所有招标修改均按投标人须知前附表规定的方式通知。如果修改招标文件的时间距投标截止时间不足15日，相应推迟投标截止时间。</w:t>
      </w:r>
    </w:p>
    <w:p>
      <w:pPr>
        <w:spacing w:line="360" w:lineRule="auto"/>
        <w:ind w:firstLine="420" w:firstLineChars="200"/>
        <w:jc w:val="left"/>
        <w:rPr>
          <w:rFonts w:ascii="宋体" w:hAnsi="宋体"/>
          <w:color w:val="auto"/>
          <w:szCs w:val="21"/>
        </w:rPr>
      </w:pPr>
    </w:p>
    <w:p>
      <w:pPr>
        <w:jc w:val="left"/>
        <w:rPr>
          <w:b/>
          <w:color w:val="auto"/>
          <w:sz w:val="28"/>
          <w:szCs w:val="28"/>
        </w:rPr>
      </w:pPr>
      <w:r>
        <w:rPr>
          <w:rFonts w:hint="eastAsia"/>
          <w:b/>
          <w:color w:val="auto"/>
          <w:sz w:val="28"/>
          <w:szCs w:val="28"/>
        </w:rPr>
        <w:t>3.投标文件</w:t>
      </w:r>
    </w:p>
    <w:p>
      <w:pPr>
        <w:spacing w:line="360" w:lineRule="auto"/>
        <w:rPr>
          <w:bCs/>
          <w:color w:val="auto"/>
          <w:sz w:val="24"/>
        </w:rPr>
      </w:pPr>
      <w:r>
        <w:rPr>
          <w:rFonts w:hint="eastAsia"/>
          <w:b/>
          <w:color w:val="auto"/>
          <w:sz w:val="24"/>
        </w:rPr>
        <w:t>3.1投标文件的组成</w:t>
      </w:r>
    </w:p>
    <w:p>
      <w:pPr>
        <w:spacing w:line="360" w:lineRule="auto"/>
        <w:ind w:firstLine="420" w:firstLineChars="200"/>
        <w:jc w:val="left"/>
        <w:rPr>
          <w:rFonts w:ascii="宋体" w:hAnsi="宋体"/>
          <w:color w:val="auto"/>
          <w:szCs w:val="21"/>
        </w:rPr>
      </w:pPr>
      <w:r>
        <w:rPr>
          <w:rFonts w:hint="eastAsia" w:ascii="宋体" w:hAnsi="宋体"/>
          <w:color w:val="auto"/>
          <w:szCs w:val="21"/>
        </w:rPr>
        <w:t>3.1.1投标文件由投标函部分、商务部分、技术部分三部分内容组成，应包括下列内容：</w:t>
      </w:r>
    </w:p>
    <w:p>
      <w:pPr>
        <w:spacing w:line="360" w:lineRule="auto"/>
        <w:ind w:firstLine="422" w:firstLineChars="200"/>
        <w:jc w:val="left"/>
        <w:rPr>
          <w:rFonts w:ascii="宋体" w:hAnsi="宋体"/>
          <w:b/>
          <w:bCs/>
          <w:color w:val="auto"/>
          <w:szCs w:val="21"/>
        </w:rPr>
      </w:pPr>
      <w:r>
        <w:rPr>
          <w:rFonts w:hint="eastAsia" w:ascii="宋体" w:hAnsi="宋体"/>
          <w:b/>
          <w:bCs/>
          <w:color w:val="auto"/>
          <w:szCs w:val="21"/>
        </w:rPr>
        <w:t>(一)投标函部分：</w:t>
      </w:r>
    </w:p>
    <w:p>
      <w:pPr>
        <w:spacing w:line="360" w:lineRule="auto"/>
        <w:ind w:left="420" w:leftChars="200"/>
        <w:jc w:val="left"/>
        <w:rPr>
          <w:rFonts w:ascii="宋体" w:hAnsi="宋体"/>
          <w:color w:val="auto"/>
          <w:szCs w:val="21"/>
        </w:rPr>
      </w:pPr>
      <w:r>
        <w:rPr>
          <w:rFonts w:hint="eastAsia" w:ascii="宋体" w:hAnsi="宋体"/>
          <w:color w:val="auto"/>
          <w:szCs w:val="21"/>
        </w:rPr>
        <w:t>(1)投标函；</w:t>
      </w:r>
      <w:r>
        <w:rPr>
          <w:rFonts w:hint="eastAsia" w:ascii="宋体" w:hAnsi="宋体"/>
          <w:color w:val="auto"/>
          <w:szCs w:val="21"/>
        </w:rPr>
        <w:br w:type="textWrapping"/>
      </w:r>
      <w:r>
        <w:rPr>
          <w:rFonts w:hint="eastAsia" w:ascii="宋体" w:hAnsi="宋体"/>
          <w:color w:val="auto"/>
          <w:szCs w:val="21"/>
        </w:rPr>
        <w:t>(2)法定代表人证明；</w:t>
      </w:r>
      <w:r>
        <w:rPr>
          <w:rFonts w:hint="eastAsia" w:ascii="宋体" w:hAnsi="宋体"/>
          <w:color w:val="auto"/>
          <w:szCs w:val="21"/>
        </w:rPr>
        <w:br w:type="textWrapping"/>
      </w:r>
      <w:r>
        <w:rPr>
          <w:rFonts w:hint="eastAsia" w:ascii="宋体" w:hAnsi="宋体"/>
          <w:color w:val="auto"/>
          <w:szCs w:val="21"/>
        </w:rPr>
        <w:t>(3)法定代表人授权委托书；</w:t>
      </w:r>
    </w:p>
    <w:p>
      <w:pPr>
        <w:spacing w:line="360" w:lineRule="auto"/>
        <w:ind w:firstLine="420" w:firstLineChars="200"/>
        <w:jc w:val="left"/>
        <w:rPr>
          <w:rFonts w:ascii="宋体" w:hAnsi="宋体"/>
          <w:color w:val="auto"/>
          <w:szCs w:val="21"/>
        </w:rPr>
      </w:pPr>
      <w:r>
        <w:rPr>
          <w:rFonts w:hint="eastAsia" w:ascii="宋体" w:hAnsi="宋体"/>
          <w:color w:val="auto"/>
          <w:szCs w:val="21"/>
        </w:rPr>
        <w:t>(4)投标保证金；</w:t>
      </w:r>
    </w:p>
    <w:p>
      <w:pPr>
        <w:spacing w:line="360" w:lineRule="auto"/>
        <w:ind w:left="420" w:leftChars="200"/>
        <w:jc w:val="left"/>
        <w:rPr>
          <w:rFonts w:ascii="宋体" w:hAnsi="宋体"/>
          <w:color w:val="auto"/>
          <w:szCs w:val="21"/>
        </w:rPr>
      </w:pPr>
      <w:r>
        <w:rPr>
          <w:rFonts w:hint="eastAsia" w:ascii="宋体" w:hAnsi="宋体"/>
          <w:color w:val="auto"/>
          <w:szCs w:val="21"/>
        </w:rPr>
        <w:t>(5)承诺书；</w:t>
      </w:r>
      <w:r>
        <w:rPr>
          <w:rFonts w:hint="eastAsia" w:ascii="宋体" w:hAnsi="宋体"/>
          <w:color w:val="auto"/>
          <w:szCs w:val="21"/>
        </w:rPr>
        <w:br w:type="textWrapping"/>
      </w:r>
      <w:r>
        <w:rPr>
          <w:rFonts w:hint="eastAsia" w:ascii="宋体" w:hAnsi="宋体"/>
          <w:color w:val="auto"/>
          <w:szCs w:val="21"/>
        </w:rPr>
        <w:t>(6)拟分包项目情况表；</w:t>
      </w:r>
    </w:p>
    <w:p>
      <w:pPr>
        <w:spacing w:line="360" w:lineRule="auto"/>
        <w:ind w:left="420" w:leftChars="200"/>
        <w:jc w:val="left"/>
        <w:rPr>
          <w:rFonts w:ascii="宋体" w:hAnsi="宋体"/>
          <w:color w:val="auto"/>
          <w:szCs w:val="21"/>
        </w:rPr>
      </w:pPr>
      <w:r>
        <w:rPr>
          <w:rFonts w:hint="eastAsia" w:ascii="宋体" w:hAnsi="宋体"/>
          <w:color w:val="auto"/>
          <w:szCs w:val="21"/>
        </w:rPr>
        <w:t>(7)资格审查资料； </w:t>
      </w:r>
      <w:r>
        <w:rPr>
          <w:rFonts w:hint="eastAsia" w:ascii="宋体" w:hAnsi="宋体"/>
          <w:color w:val="auto"/>
          <w:szCs w:val="21"/>
        </w:rPr>
        <w:br w:type="textWrapping"/>
      </w:r>
      <w:r>
        <w:rPr>
          <w:rFonts w:hint="eastAsia" w:ascii="宋体" w:hAnsi="宋体"/>
          <w:color w:val="auto"/>
          <w:szCs w:val="21"/>
        </w:rPr>
        <w:t>具体内容详见招标文件第七章投标文件的格式。</w:t>
      </w:r>
    </w:p>
    <w:p>
      <w:pPr>
        <w:spacing w:line="360" w:lineRule="auto"/>
        <w:ind w:left="631" w:leftChars="200" w:hanging="211" w:hangingChars="100"/>
        <w:jc w:val="left"/>
        <w:rPr>
          <w:rFonts w:ascii="宋体" w:hAnsi="宋体"/>
          <w:b/>
          <w:bCs/>
          <w:color w:val="auto"/>
          <w:szCs w:val="21"/>
        </w:rPr>
      </w:pPr>
      <w:r>
        <w:rPr>
          <w:rFonts w:hint="eastAsia" w:ascii="宋体" w:hAnsi="宋体"/>
          <w:b/>
          <w:bCs/>
          <w:color w:val="auto"/>
          <w:szCs w:val="21"/>
        </w:rPr>
        <w:t>(二)商务部分：</w:t>
      </w:r>
    </w:p>
    <w:p>
      <w:pPr>
        <w:spacing w:line="360" w:lineRule="auto"/>
        <w:ind w:left="420" w:leftChars="200"/>
        <w:jc w:val="left"/>
        <w:rPr>
          <w:rFonts w:ascii="宋体" w:hAnsi="宋体"/>
          <w:color w:val="auto"/>
          <w:szCs w:val="21"/>
        </w:rPr>
      </w:pPr>
      <w:r>
        <w:rPr>
          <w:rFonts w:hint="eastAsia" w:ascii="宋体" w:hAnsi="宋体"/>
          <w:color w:val="auto"/>
          <w:szCs w:val="21"/>
        </w:rPr>
        <w:t>其内容为投标报价书，具体内容详见招标文件第七章投标文件的格式。</w:t>
      </w:r>
    </w:p>
    <w:p>
      <w:pPr>
        <w:spacing w:line="360" w:lineRule="auto"/>
        <w:ind w:left="631" w:leftChars="200" w:hanging="211" w:hangingChars="100"/>
        <w:jc w:val="left"/>
        <w:rPr>
          <w:rFonts w:ascii="宋体" w:hAnsi="宋体"/>
          <w:b/>
          <w:bCs/>
          <w:color w:val="auto"/>
          <w:szCs w:val="21"/>
        </w:rPr>
      </w:pPr>
      <w:r>
        <w:rPr>
          <w:rFonts w:hint="eastAsia" w:ascii="宋体" w:hAnsi="宋体"/>
          <w:b/>
          <w:bCs/>
          <w:color w:val="auto"/>
          <w:szCs w:val="21"/>
        </w:rPr>
        <w:t>(三)技术部分：</w:t>
      </w:r>
    </w:p>
    <w:p>
      <w:pPr>
        <w:spacing w:line="360" w:lineRule="auto"/>
        <w:ind w:left="210" w:leftChars="100" w:firstLine="210" w:firstLineChars="100"/>
        <w:jc w:val="left"/>
        <w:rPr>
          <w:rFonts w:ascii="宋体" w:hAnsi="宋体"/>
          <w:color w:val="auto"/>
          <w:szCs w:val="21"/>
        </w:rPr>
      </w:pPr>
      <w:r>
        <w:rPr>
          <w:rFonts w:hint="eastAsia" w:ascii="宋体" w:hAnsi="宋体"/>
          <w:color w:val="auto"/>
          <w:szCs w:val="21"/>
        </w:rPr>
        <w:t>技术部分为物业管理方案，应按照第六章物业管理服务需求书的要求和第七章投标文件格式编写。</w:t>
      </w:r>
      <w:r>
        <w:rPr>
          <w:rFonts w:hint="eastAsia" w:ascii="宋体" w:hAnsi="宋体"/>
          <w:color w:val="auto"/>
          <w:szCs w:val="21"/>
        </w:rPr>
        <w:br w:type="textWrapping"/>
      </w:r>
      <w:r>
        <w:rPr>
          <w:rFonts w:hint="eastAsia"/>
          <w:b/>
          <w:color w:val="auto"/>
          <w:sz w:val="24"/>
        </w:rPr>
        <w:t>3.3投标有效期</w:t>
      </w:r>
      <w:r>
        <w:rPr>
          <w:rFonts w:hint="eastAsia" w:ascii="宋体" w:hAnsi="宋体"/>
          <w:color w:val="auto"/>
          <w:szCs w:val="21"/>
        </w:rPr>
        <w:br w:type="textWrapping"/>
      </w:r>
      <w:r>
        <w:rPr>
          <w:rFonts w:hint="eastAsia" w:ascii="宋体" w:hAnsi="宋体"/>
          <w:color w:val="auto"/>
          <w:szCs w:val="21"/>
        </w:rPr>
        <w:t xml:space="preserve">   3.3.1在投标人须知前附表规定的投标有效期内，投标人不得要求撤销或修改其投标文件。</w:t>
      </w:r>
    </w:p>
    <w:p>
      <w:pPr>
        <w:spacing w:line="360" w:lineRule="auto"/>
        <w:ind w:left="210" w:leftChars="100" w:firstLine="210" w:firstLineChars="100"/>
        <w:jc w:val="left"/>
        <w:rPr>
          <w:rFonts w:ascii="宋体" w:hAnsi="宋体"/>
          <w:color w:val="auto"/>
          <w:szCs w:val="21"/>
        </w:rPr>
      </w:pPr>
      <w:r>
        <w:rPr>
          <w:rFonts w:hint="eastAsia" w:ascii="宋体" w:hAnsi="宋体"/>
          <w:color w:val="auto"/>
          <w:szCs w:val="21"/>
        </w:rPr>
        <w:t>3.3.2出现特殊情况需要延长投标有效期的，投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51" w:leftChars="100" w:hanging="241" w:hangingChars="100"/>
        <w:jc w:val="left"/>
        <w:rPr>
          <w:rFonts w:ascii="宋体" w:hAnsi="宋体"/>
          <w:color w:val="auto"/>
          <w:szCs w:val="21"/>
        </w:rPr>
      </w:pPr>
      <w:r>
        <w:rPr>
          <w:rFonts w:hint="eastAsia"/>
          <w:b/>
          <w:color w:val="auto"/>
          <w:sz w:val="24"/>
        </w:rPr>
        <w:t>3.4投标保证金</w:t>
      </w:r>
      <w:r>
        <w:rPr>
          <w:rFonts w:hint="eastAsia" w:ascii="宋体" w:hAnsi="宋体"/>
          <w:color w:val="auto"/>
          <w:szCs w:val="21"/>
        </w:rPr>
        <w:br w:type="textWrapping"/>
      </w:r>
      <w:r>
        <w:rPr>
          <w:rFonts w:hint="eastAsia" w:ascii="宋体" w:hAnsi="宋体"/>
          <w:color w:val="auto"/>
          <w:szCs w:val="21"/>
        </w:rPr>
        <w:t>3.4.1投标人在递交投标文件的同时，应按投标人须知前附表规定的金额、担保形式和第七章“投标文件格式”规定的要求递交投标保证金，并作为其投标文件的组成部分。</w:t>
      </w:r>
      <w:r>
        <w:rPr>
          <w:rFonts w:hint="eastAsia" w:ascii="宋体" w:hAnsi="宋体"/>
          <w:color w:val="auto"/>
          <w:szCs w:val="21"/>
        </w:rPr>
        <w:br w:type="textWrapping"/>
      </w:r>
      <w:r>
        <w:rPr>
          <w:rFonts w:hint="eastAsia" w:ascii="宋体" w:hAnsi="宋体"/>
          <w:color w:val="auto"/>
          <w:szCs w:val="21"/>
        </w:rPr>
        <w:t>3.4.2投标人不按本章第3.4.1项要求提交投标保证金，其投标文件作废标处理。</w:t>
      </w:r>
      <w:r>
        <w:rPr>
          <w:rFonts w:hint="eastAsia" w:ascii="宋体" w:hAnsi="宋体"/>
          <w:color w:val="auto"/>
          <w:szCs w:val="21"/>
        </w:rPr>
        <w:br w:type="textWrapping"/>
      </w:r>
      <w:r>
        <w:rPr>
          <w:rFonts w:hint="eastAsia" w:ascii="宋体" w:hAnsi="宋体"/>
          <w:color w:val="auto"/>
          <w:szCs w:val="21"/>
        </w:rPr>
        <w:t>3.4.3未中标投标人的投标保证金于中标通知书发出之日起5个工作日内退还(无息)。3.4.3中标投标人的投标保证金转为履约保证金，结余部分签订合同后退还。</w:t>
      </w:r>
    </w:p>
    <w:p>
      <w:pPr>
        <w:spacing w:line="360" w:lineRule="auto"/>
        <w:ind w:left="420" w:leftChars="200"/>
        <w:jc w:val="left"/>
        <w:rPr>
          <w:rFonts w:ascii="宋体" w:hAnsi="宋体"/>
          <w:color w:val="auto"/>
          <w:szCs w:val="21"/>
        </w:rPr>
      </w:pPr>
      <w:r>
        <w:rPr>
          <w:rFonts w:hint="eastAsia" w:ascii="宋体" w:hAnsi="宋体"/>
          <w:color w:val="auto"/>
          <w:szCs w:val="21"/>
        </w:rPr>
        <w:t>3.4.4有下列情形之的，投标保证金将不予退还：</w:t>
      </w:r>
      <w:r>
        <w:rPr>
          <w:rFonts w:hint="eastAsia" w:ascii="宋体" w:hAnsi="宋体"/>
          <w:color w:val="auto"/>
          <w:szCs w:val="21"/>
        </w:rPr>
        <w:br w:type="textWrapping"/>
      </w:r>
      <w:r>
        <w:rPr>
          <w:rFonts w:hint="eastAsia" w:ascii="宋体" w:hAnsi="宋体"/>
          <w:color w:val="auto"/>
          <w:szCs w:val="21"/>
        </w:rPr>
        <w:t>(1)投标人在规定的投标有效期内撒销或修改其投标文件；</w:t>
      </w:r>
      <w:r>
        <w:rPr>
          <w:rFonts w:hint="eastAsia" w:ascii="宋体" w:hAnsi="宋体"/>
          <w:color w:val="auto"/>
          <w:szCs w:val="21"/>
        </w:rPr>
        <w:br w:type="textWrapping"/>
      </w:r>
      <w:r>
        <w:rPr>
          <w:rFonts w:hint="eastAsia" w:ascii="宋体" w:hAnsi="宋体"/>
          <w:color w:val="auto"/>
          <w:szCs w:val="21"/>
        </w:rPr>
        <w:t>(2)中标人在收到中标通知书后，无正当理由拒签合同协议书或未按招标文件规定提交履约担保。</w:t>
      </w:r>
    </w:p>
    <w:p>
      <w:pPr>
        <w:spacing w:line="360" w:lineRule="auto"/>
        <w:ind w:firstLine="241" w:firstLineChars="100"/>
        <w:jc w:val="left"/>
        <w:rPr>
          <w:b/>
          <w:color w:val="auto"/>
          <w:sz w:val="24"/>
        </w:rPr>
      </w:pPr>
      <w:r>
        <w:rPr>
          <w:rFonts w:hint="eastAsia"/>
          <w:b/>
          <w:color w:val="auto"/>
          <w:sz w:val="24"/>
        </w:rPr>
        <w:t>3.5资格审查资料</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3.5.1“投标人基本情况表”应附投标人营业执照副本及其年检合格的证明材料、资质证书副本、项目负责人职业资格证书等材料的复印件。</w:t>
      </w:r>
    </w:p>
    <w:p>
      <w:pPr>
        <w:spacing w:line="360" w:lineRule="auto"/>
        <w:ind w:left="210" w:leftChars="100"/>
        <w:jc w:val="left"/>
        <w:rPr>
          <w:rFonts w:ascii="宋体" w:hAnsi="宋体"/>
          <w:color w:val="auto"/>
          <w:szCs w:val="21"/>
        </w:rPr>
      </w:pPr>
    </w:p>
    <w:p>
      <w:pPr>
        <w:spacing w:line="360" w:lineRule="auto"/>
        <w:ind w:left="210" w:leftChars="100"/>
        <w:jc w:val="left"/>
        <w:rPr>
          <w:rFonts w:ascii="宋体" w:hAnsi="宋体"/>
          <w:color w:val="auto"/>
          <w:szCs w:val="21"/>
        </w:rPr>
      </w:pPr>
      <w:r>
        <w:rPr>
          <w:rFonts w:hint="eastAsia" w:ascii="宋体" w:hAnsi="宋体"/>
          <w:color w:val="auto"/>
          <w:szCs w:val="21"/>
        </w:rPr>
        <w:t xml:space="preserve">    3.5.2 “在管项目情况表”应附中标通知书或合同协议书复印件。</w:t>
      </w:r>
    </w:p>
    <w:p>
      <w:pPr>
        <w:spacing w:line="360" w:lineRule="auto"/>
        <w:ind w:firstLine="241" w:firstLineChars="100"/>
        <w:jc w:val="left"/>
        <w:rPr>
          <w:b/>
          <w:color w:val="auto"/>
          <w:sz w:val="24"/>
        </w:rPr>
      </w:pPr>
      <w:r>
        <w:rPr>
          <w:rFonts w:hint="eastAsia"/>
          <w:b/>
          <w:color w:val="auto"/>
          <w:sz w:val="24"/>
        </w:rPr>
        <w:t>3.6投标文件的编制</w:t>
      </w:r>
    </w:p>
    <w:p>
      <w:pPr>
        <w:spacing w:line="360" w:lineRule="auto"/>
        <w:ind w:left="210" w:leftChars="100"/>
        <w:jc w:val="left"/>
        <w:rPr>
          <w:rFonts w:ascii="宋体" w:hAnsi="宋体"/>
          <w:color w:val="auto"/>
          <w:szCs w:val="21"/>
        </w:rPr>
      </w:pPr>
      <w:r>
        <w:rPr>
          <w:rFonts w:hint="eastAsia" w:ascii="宋体" w:hAnsi="宋体"/>
          <w:color w:val="auto"/>
          <w:szCs w:val="21"/>
        </w:rPr>
        <w:t xml:space="preserve">    3.6.1投标文件应按第七章“投标文件格式”进行编写，如有必要，可以增加附页，作为投标文件的组成部分。。</w:t>
      </w:r>
    </w:p>
    <w:p>
      <w:pPr>
        <w:spacing w:line="360" w:lineRule="auto"/>
        <w:ind w:left="210" w:leftChars="100"/>
        <w:jc w:val="left"/>
        <w:rPr>
          <w:rFonts w:ascii="宋体" w:hAnsi="宋体"/>
          <w:color w:val="auto"/>
          <w:szCs w:val="21"/>
        </w:rPr>
      </w:pPr>
      <w:r>
        <w:rPr>
          <w:rFonts w:hint="eastAsia" w:ascii="宋体" w:hAnsi="宋体"/>
          <w:color w:val="auto"/>
          <w:szCs w:val="21"/>
        </w:rPr>
        <w:t xml:space="preserve">    3.6.2投标文件应当对招标文件有关物业服务内容、物业服务标准、服务期限等内容作出实质性响应。</w:t>
      </w:r>
    </w:p>
    <w:p>
      <w:pPr>
        <w:spacing w:line="360" w:lineRule="auto"/>
        <w:ind w:left="210" w:leftChars="100"/>
        <w:jc w:val="left"/>
        <w:rPr>
          <w:rFonts w:ascii="宋体" w:hAnsi="宋体"/>
          <w:color w:val="auto"/>
          <w:szCs w:val="21"/>
        </w:rPr>
      </w:pPr>
      <w:r>
        <w:rPr>
          <w:rFonts w:hint="eastAsia" w:ascii="宋体" w:hAnsi="宋体"/>
          <w:color w:val="auto"/>
          <w:szCs w:val="21"/>
        </w:rPr>
        <w:t xml:space="preserve">    3.6.3投标文件应用不褪色的材料书写或打印，投标文件应尽量避免涂改、行间插字或删除。如果出现上述情况，改动之处应加盖单位章并由投标人的法定代表人或授权委托人签字确认。签字或盖章的具体要求见投标人须知前附表。</w:t>
      </w:r>
    </w:p>
    <w:p>
      <w:pPr>
        <w:spacing w:line="360" w:lineRule="auto"/>
        <w:ind w:left="210" w:leftChars="100"/>
        <w:jc w:val="left"/>
        <w:rPr>
          <w:rFonts w:ascii="宋体" w:hAnsi="宋体"/>
          <w:color w:val="auto"/>
          <w:szCs w:val="21"/>
        </w:rPr>
      </w:pPr>
      <w:r>
        <w:rPr>
          <w:rFonts w:hint="eastAsia" w:ascii="宋体" w:hAnsi="宋体"/>
          <w:color w:val="auto"/>
          <w:szCs w:val="21"/>
        </w:rPr>
        <w:t xml:space="preserve">    3.6.4投标文件正本一份，副本份数见投标人须知的附表。正本和副本的封面上应清楚地标记“正本”或“副本”的字样。当副本和正本不一致时，以正本为准。</w:t>
      </w:r>
    </w:p>
    <w:p>
      <w:pPr>
        <w:spacing w:line="360" w:lineRule="auto"/>
        <w:ind w:left="210" w:leftChars="100"/>
        <w:jc w:val="left"/>
        <w:rPr>
          <w:rFonts w:ascii="宋体" w:hAnsi="宋体"/>
          <w:color w:val="auto"/>
          <w:szCs w:val="21"/>
        </w:rPr>
      </w:pPr>
      <w:r>
        <w:rPr>
          <w:rFonts w:hint="eastAsia" w:ascii="宋体" w:hAnsi="宋体"/>
          <w:color w:val="auto"/>
          <w:szCs w:val="21"/>
        </w:rPr>
        <w:t xml:space="preserve">    3.6.5投标文件的正本与副本应分别装订成册，并编制目录，具体装订要求见投标人须知前附表规定。</w:t>
      </w:r>
    </w:p>
    <w:p>
      <w:pPr>
        <w:spacing w:line="360" w:lineRule="auto"/>
        <w:ind w:left="210" w:leftChars="100"/>
        <w:jc w:val="left"/>
        <w:rPr>
          <w:rFonts w:ascii="宋体" w:hAnsi="宋体"/>
          <w:color w:val="auto"/>
          <w:szCs w:val="21"/>
        </w:rPr>
      </w:pPr>
      <w:r>
        <w:rPr>
          <w:rFonts w:hint="eastAsia" w:ascii="宋体" w:hAnsi="宋体"/>
          <w:color w:val="auto"/>
          <w:szCs w:val="21"/>
        </w:rPr>
        <w:t xml:space="preserve"> </w:t>
      </w:r>
      <w:r>
        <w:rPr>
          <w:rFonts w:hint="eastAsia"/>
          <w:b/>
          <w:color w:val="auto"/>
          <w:sz w:val="28"/>
          <w:szCs w:val="28"/>
        </w:rPr>
        <w:t>4.投标</w:t>
      </w:r>
    </w:p>
    <w:p>
      <w:pPr>
        <w:spacing w:line="360" w:lineRule="auto"/>
        <w:ind w:left="210" w:leftChars="100"/>
        <w:jc w:val="left"/>
        <w:rPr>
          <w:rFonts w:ascii="宋体" w:hAnsi="宋体"/>
          <w:color w:val="auto"/>
          <w:szCs w:val="21"/>
        </w:rPr>
      </w:pPr>
      <w:r>
        <w:rPr>
          <w:rFonts w:hint="eastAsia" w:ascii="宋体" w:hAnsi="宋体"/>
          <w:color w:val="auto"/>
          <w:szCs w:val="21"/>
        </w:rPr>
        <w:t xml:space="preserve"> </w:t>
      </w:r>
      <w:r>
        <w:rPr>
          <w:rFonts w:hint="eastAsia"/>
          <w:b/>
          <w:color w:val="auto"/>
          <w:sz w:val="24"/>
        </w:rPr>
        <w:t>4.1投标文件的密封和标记</w:t>
      </w:r>
    </w:p>
    <w:p>
      <w:pPr>
        <w:spacing w:line="360" w:lineRule="auto"/>
        <w:ind w:left="210" w:leftChars="100"/>
        <w:jc w:val="left"/>
        <w:rPr>
          <w:rFonts w:ascii="宋体" w:hAnsi="宋体"/>
          <w:color w:val="auto"/>
          <w:szCs w:val="21"/>
        </w:rPr>
      </w:pPr>
      <w:r>
        <w:rPr>
          <w:rFonts w:hint="eastAsia" w:ascii="宋体" w:hAnsi="宋体"/>
          <w:color w:val="auto"/>
          <w:szCs w:val="21"/>
        </w:rPr>
        <w:t xml:space="preserve">     4.1.1投标文件的正本与副本一起包装，加贴封条，并在封套的封口处加盖投标人单位章。</w:t>
      </w:r>
    </w:p>
    <w:p>
      <w:pPr>
        <w:spacing w:line="360" w:lineRule="auto"/>
        <w:ind w:left="210" w:leftChars="100"/>
        <w:jc w:val="left"/>
        <w:rPr>
          <w:rFonts w:ascii="宋体" w:hAnsi="宋体"/>
          <w:color w:val="auto"/>
          <w:szCs w:val="21"/>
        </w:rPr>
      </w:pPr>
      <w:r>
        <w:rPr>
          <w:rFonts w:hint="eastAsia" w:ascii="宋体" w:hAnsi="宋体"/>
          <w:color w:val="auto"/>
          <w:szCs w:val="21"/>
        </w:rPr>
        <w:t xml:space="preserve">     4.1.1投标文件的封套上应写明的其他内容见投标人须知前附表。</w:t>
      </w:r>
    </w:p>
    <w:p>
      <w:pPr>
        <w:spacing w:line="360" w:lineRule="auto"/>
        <w:ind w:left="210" w:leftChars="100"/>
        <w:jc w:val="left"/>
        <w:rPr>
          <w:rFonts w:ascii="宋体" w:hAnsi="宋体"/>
          <w:color w:val="auto"/>
          <w:szCs w:val="21"/>
        </w:rPr>
      </w:pPr>
      <w:r>
        <w:rPr>
          <w:rFonts w:hint="eastAsia" w:ascii="宋体" w:hAnsi="宋体"/>
          <w:color w:val="auto"/>
          <w:szCs w:val="21"/>
        </w:rPr>
        <w:t xml:space="preserve">     4.1.3 未按本章第4.1.1项或第4.1.2项要求密封和加写标记的投标文件，招标人不予受理。</w:t>
      </w:r>
    </w:p>
    <w:p>
      <w:pPr>
        <w:spacing w:line="360" w:lineRule="auto"/>
        <w:ind w:firstLine="241" w:firstLineChars="100"/>
        <w:jc w:val="left"/>
        <w:rPr>
          <w:rFonts w:ascii="宋体" w:hAnsi="宋体"/>
          <w:color w:val="auto"/>
          <w:szCs w:val="21"/>
        </w:rPr>
      </w:pPr>
      <w:r>
        <w:rPr>
          <w:rFonts w:hint="eastAsia"/>
          <w:b/>
          <w:color w:val="auto"/>
          <w:sz w:val="24"/>
        </w:rPr>
        <w:t>4.2投标文件的递交</w:t>
      </w:r>
    </w:p>
    <w:p>
      <w:pPr>
        <w:spacing w:line="360" w:lineRule="auto"/>
        <w:ind w:left="210" w:leftChars="100"/>
        <w:jc w:val="left"/>
        <w:rPr>
          <w:rFonts w:ascii="宋体" w:hAnsi="宋体"/>
          <w:color w:val="auto"/>
          <w:szCs w:val="21"/>
        </w:rPr>
      </w:pPr>
      <w:r>
        <w:rPr>
          <w:rFonts w:hint="eastAsia" w:ascii="宋体" w:hAnsi="宋体"/>
          <w:color w:val="auto"/>
          <w:szCs w:val="21"/>
        </w:rPr>
        <w:t xml:space="preserve">     4.2.1投标人应在规定的投标截止时间前递交投标文件。</w:t>
      </w:r>
    </w:p>
    <w:p>
      <w:pPr>
        <w:spacing w:line="360" w:lineRule="auto"/>
        <w:ind w:left="210" w:leftChars="100"/>
        <w:jc w:val="left"/>
        <w:rPr>
          <w:rFonts w:ascii="宋体" w:hAnsi="宋体"/>
          <w:color w:val="auto"/>
          <w:szCs w:val="21"/>
        </w:rPr>
      </w:pPr>
      <w:r>
        <w:rPr>
          <w:rFonts w:hint="eastAsia" w:ascii="宋体" w:hAnsi="宋体"/>
          <w:color w:val="auto"/>
          <w:szCs w:val="21"/>
        </w:rPr>
        <w:t xml:space="preserve">     4.2.2投标人递交投标文件的地点:见投标人须如前附表。</w:t>
      </w:r>
    </w:p>
    <w:p>
      <w:pPr>
        <w:spacing w:line="360" w:lineRule="auto"/>
        <w:ind w:left="210" w:leftChars="100"/>
        <w:jc w:val="left"/>
        <w:rPr>
          <w:rFonts w:ascii="宋体" w:hAnsi="宋体"/>
          <w:color w:val="auto"/>
          <w:szCs w:val="21"/>
        </w:rPr>
      </w:pPr>
      <w:r>
        <w:rPr>
          <w:rFonts w:hint="eastAsia" w:ascii="宋体" w:hAnsi="宋体"/>
          <w:color w:val="auto"/>
          <w:szCs w:val="21"/>
        </w:rPr>
        <w:t xml:space="preserve">     4.2.3除投标人须知前附表另有规定外，投标人所递交的投标文件不予退还。</w:t>
      </w:r>
    </w:p>
    <w:p>
      <w:pPr>
        <w:spacing w:line="360" w:lineRule="auto"/>
        <w:ind w:left="210" w:leftChars="100"/>
        <w:jc w:val="left"/>
        <w:rPr>
          <w:rFonts w:ascii="宋体" w:hAnsi="宋体"/>
          <w:color w:val="auto"/>
          <w:szCs w:val="21"/>
        </w:rPr>
      </w:pPr>
      <w:r>
        <w:rPr>
          <w:rFonts w:hint="eastAsia" w:ascii="宋体" w:hAnsi="宋体"/>
          <w:color w:val="auto"/>
          <w:szCs w:val="21"/>
        </w:rPr>
        <w:t xml:space="preserve">     4.2.4逾期送达的或者未送达指定地点的投标文件，招标人不予受理。</w:t>
      </w:r>
    </w:p>
    <w:p>
      <w:pPr>
        <w:spacing w:line="360" w:lineRule="auto"/>
        <w:ind w:left="210" w:leftChars="100"/>
        <w:jc w:val="left"/>
        <w:rPr>
          <w:rFonts w:ascii="宋体" w:hAnsi="宋体"/>
          <w:color w:val="auto"/>
          <w:szCs w:val="21"/>
        </w:rPr>
      </w:pPr>
      <w:r>
        <w:rPr>
          <w:rFonts w:hint="eastAsia" w:ascii="宋体" w:hAnsi="宋体"/>
          <w:color w:val="auto"/>
          <w:szCs w:val="21"/>
        </w:rPr>
        <w:t xml:space="preserve"> </w:t>
      </w:r>
      <w:r>
        <w:rPr>
          <w:rFonts w:hint="eastAsia"/>
          <w:b/>
          <w:color w:val="auto"/>
          <w:sz w:val="24"/>
        </w:rPr>
        <w:t>4.3投标文件的修改与撤回</w:t>
      </w:r>
    </w:p>
    <w:p>
      <w:pPr>
        <w:spacing w:line="360" w:lineRule="auto"/>
        <w:ind w:left="210" w:leftChars="100"/>
        <w:jc w:val="left"/>
        <w:rPr>
          <w:rFonts w:ascii="宋体" w:hAnsi="宋体"/>
          <w:color w:val="auto"/>
          <w:szCs w:val="21"/>
        </w:rPr>
      </w:pPr>
      <w:r>
        <w:rPr>
          <w:rFonts w:hint="eastAsia" w:ascii="宋体" w:hAnsi="宋体"/>
          <w:color w:val="auto"/>
          <w:szCs w:val="21"/>
        </w:rPr>
        <w:t xml:space="preserve">     4.3.1在规定的投标截止时间前，投标人可以修改或撤回已递交的投标文件，但应以书面形式通知招标人。</w:t>
      </w:r>
    </w:p>
    <w:p>
      <w:pPr>
        <w:spacing w:line="360" w:lineRule="auto"/>
        <w:ind w:left="210" w:leftChars="100"/>
        <w:jc w:val="left"/>
        <w:rPr>
          <w:rFonts w:ascii="宋体" w:hAnsi="宋体"/>
          <w:color w:val="auto"/>
          <w:szCs w:val="21"/>
        </w:rPr>
      </w:pPr>
      <w:r>
        <w:rPr>
          <w:rFonts w:hint="eastAsia" w:ascii="宋体" w:hAnsi="宋体"/>
          <w:color w:val="auto"/>
          <w:szCs w:val="21"/>
        </w:rPr>
        <w:t xml:space="preserve">     4.1.2投标人修改或撤回已递交投标文件的书面通知应按照本章第3.6.3 项的要求签字盖章。和标人收到书面通知后，向投标人出具签收凭证。</w:t>
      </w:r>
    </w:p>
    <w:p>
      <w:pPr>
        <w:spacing w:line="360" w:lineRule="auto"/>
        <w:ind w:left="210" w:leftChars="100"/>
        <w:jc w:val="left"/>
        <w:rPr>
          <w:rFonts w:ascii="宋体" w:hAnsi="宋体"/>
          <w:color w:val="auto"/>
          <w:szCs w:val="21"/>
        </w:rPr>
      </w:pPr>
      <w:r>
        <w:rPr>
          <w:rFonts w:hint="eastAsia" w:ascii="宋体" w:hAnsi="宋体"/>
          <w:color w:val="auto"/>
          <w:szCs w:val="21"/>
        </w:rPr>
        <w:t xml:space="preserve">     4.3.3修改的内容为投标文件的组成部分。修改的投标文件应按照本章第3条、第4条规定进行编制、密封、标记和递交，并标明“修改”字样。</w:t>
      </w:r>
    </w:p>
    <w:p>
      <w:pPr>
        <w:spacing w:line="360" w:lineRule="auto"/>
        <w:ind w:left="210" w:leftChars="100"/>
        <w:jc w:val="left"/>
        <w:rPr>
          <w:rFonts w:ascii="宋体" w:hAnsi="宋体"/>
          <w:color w:val="auto"/>
          <w:szCs w:val="21"/>
        </w:rPr>
      </w:pPr>
      <w:r>
        <w:rPr>
          <w:rFonts w:hint="eastAsia"/>
          <w:b/>
          <w:color w:val="auto"/>
          <w:sz w:val="28"/>
          <w:szCs w:val="28"/>
        </w:rPr>
        <w:t>5.开标</w:t>
      </w:r>
    </w:p>
    <w:p>
      <w:pPr>
        <w:spacing w:line="360" w:lineRule="auto"/>
        <w:ind w:left="210" w:leftChars="100"/>
        <w:jc w:val="left"/>
        <w:rPr>
          <w:rFonts w:ascii="宋体" w:hAnsi="宋体"/>
          <w:color w:val="auto"/>
          <w:szCs w:val="21"/>
        </w:rPr>
      </w:pPr>
      <w:r>
        <w:rPr>
          <w:rFonts w:hint="eastAsia"/>
          <w:b/>
          <w:color w:val="auto"/>
          <w:sz w:val="24"/>
        </w:rPr>
        <w:t>5.1开标时间和地点</w:t>
      </w:r>
    </w:p>
    <w:p>
      <w:pPr>
        <w:spacing w:line="360" w:lineRule="auto"/>
        <w:ind w:left="210" w:leftChars="100"/>
        <w:jc w:val="left"/>
        <w:rPr>
          <w:rFonts w:ascii="宋体" w:hAnsi="宋体"/>
          <w:color w:val="auto"/>
          <w:szCs w:val="21"/>
        </w:rPr>
      </w:pPr>
      <w:r>
        <w:rPr>
          <w:rFonts w:hint="eastAsia" w:ascii="宋体" w:hAnsi="宋体"/>
          <w:color w:val="auto"/>
          <w:szCs w:val="21"/>
        </w:rPr>
        <w:t xml:space="preserve">   招标人在本章规定的投标截止时间(开标时间)和投标人须如前附表规定的地点公开开标，并邀请所有投标人的法定代表人或法定代表人的委托人准时参加。</w:t>
      </w:r>
    </w:p>
    <w:p>
      <w:pPr>
        <w:spacing w:line="360" w:lineRule="auto"/>
        <w:ind w:left="210" w:leftChars="100"/>
        <w:jc w:val="left"/>
        <w:rPr>
          <w:rFonts w:ascii="宋体" w:hAnsi="宋体"/>
          <w:color w:val="auto"/>
          <w:szCs w:val="21"/>
        </w:rPr>
      </w:pPr>
      <w:r>
        <w:rPr>
          <w:rFonts w:hint="eastAsia"/>
          <w:b/>
          <w:color w:val="auto"/>
          <w:sz w:val="24"/>
        </w:rPr>
        <w:t>5.2开标程序</w:t>
      </w:r>
    </w:p>
    <w:p>
      <w:pPr>
        <w:spacing w:line="360" w:lineRule="auto"/>
        <w:ind w:left="210" w:leftChars="100"/>
        <w:jc w:val="left"/>
        <w:rPr>
          <w:rFonts w:ascii="宋体" w:hAnsi="宋体"/>
          <w:color w:val="auto"/>
          <w:szCs w:val="21"/>
        </w:rPr>
      </w:pPr>
      <w:r>
        <w:rPr>
          <w:rFonts w:hint="eastAsia" w:ascii="宋体" w:hAnsi="宋体"/>
          <w:color w:val="auto"/>
          <w:szCs w:val="21"/>
        </w:rPr>
        <w:t xml:space="preserve">   主持人按下列程序进行开标：</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(1)宣布开标纪律；</w:t>
      </w:r>
    </w:p>
    <w:p>
      <w:pPr>
        <w:spacing w:line="360" w:lineRule="auto"/>
        <w:ind w:left="210" w:leftChars="100"/>
        <w:jc w:val="left"/>
        <w:rPr>
          <w:rFonts w:ascii="宋体" w:hAnsi="宋体"/>
          <w:color w:val="auto"/>
          <w:szCs w:val="21"/>
        </w:rPr>
      </w:pPr>
      <w:r>
        <w:rPr>
          <w:rFonts w:hint="eastAsia" w:ascii="宋体" w:hAnsi="宋体"/>
          <w:color w:val="auto"/>
          <w:szCs w:val="21"/>
        </w:rPr>
        <w:t xml:space="preserve">    (2)公布在投标截止时间前递交投标文件的投标人名称，并点名确认投标人是否派法定代表人或其委托代理人到场；</w:t>
      </w:r>
    </w:p>
    <w:p>
      <w:pPr>
        <w:spacing w:line="360" w:lineRule="auto"/>
        <w:ind w:left="210" w:leftChars="100" w:firstLine="420"/>
        <w:jc w:val="left"/>
        <w:rPr>
          <w:rFonts w:ascii="宋体" w:hAnsi="宋体"/>
          <w:color w:val="auto"/>
          <w:szCs w:val="21"/>
        </w:rPr>
      </w:pPr>
      <w:r>
        <w:rPr>
          <w:rFonts w:hint="eastAsia" w:ascii="宋体" w:hAnsi="宋体"/>
          <w:color w:val="auto"/>
          <w:szCs w:val="21"/>
        </w:rPr>
        <w:t>(3)宣布开标人、唱标人、记录人、监督人等有关人员姓名；</w:t>
      </w:r>
    </w:p>
    <w:p>
      <w:pPr>
        <w:spacing w:line="360" w:lineRule="auto"/>
        <w:ind w:left="210" w:leftChars="100" w:firstLine="420"/>
        <w:jc w:val="left"/>
        <w:rPr>
          <w:rFonts w:ascii="宋体" w:hAnsi="宋体"/>
          <w:color w:val="auto"/>
          <w:szCs w:val="21"/>
        </w:rPr>
      </w:pPr>
      <w:r>
        <w:rPr>
          <w:rFonts w:hint="eastAsia" w:ascii="宋体" w:hAnsi="宋体"/>
          <w:color w:val="auto"/>
          <w:szCs w:val="21"/>
        </w:rPr>
        <w:t>(4)按照投标人须知前附表规定检查投标文件的密封情况；</w:t>
      </w:r>
    </w:p>
    <w:p>
      <w:pPr>
        <w:spacing w:line="360" w:lineRule="auto"/>
        <w:ind w:left="210" w:leftChars="100" w:firstLine="420"/>
        <w:jc w:val="left"/>
        <w:rPr>
          <w:rFonts w:ascii="宋体" w:hAnsi="宋体"/>
          <w:color w:val="auto"/>
          <w:szCs w:val="21"/>
        </w:rPr>
      </w:pPr>
      <w:r>
        <w:rPr>
          <w:rFonts w:hint="eastAsia" w:ascii="宋体" w:hAnsi="宋体"/>
          <w:color w:val="auto"/>
          <w:szCs w:val="21"/>
        </w:rPr>
        <w:t>(5)由招标人在开标现场随机抽取投标报价基准价计算下浮点数:</w:t>
      </w:r>
    </w:p>
    <w:p>
      <w:pPr>
        <w:spacing w:line="360" w:lineRule="auto"/>
        <w:ind w:left="210" w:leftChars="100" w:firstLine="420"/>
        <w:jc w:val="left"/>
        <w:rPr>
          <w:rFonts w:ascii="宋体" w:hAnsi="宋体"/>
          <w:color w:val="auto"/>
          <w:szCs w:val="21"/>
        </w:rPr>
      </w:pPr>
      <w:r>
        <w:rPr>
          <w:rFonts w:hint="eastAsia" w:ascii="宋体" w:hAnsi="宋体"/>
          <w:color w:val="auto"/>
          <w:szCs w:val="21"/>
        </w:rPr>
        <w:t>(6)按照投标人须知前附表的规定确定并宣布投标文件开标顺序；</w:t>
      </w:r>
    </w:p>
    <w:p>
      <w:pPr>
        <w:spacing w:line="360" w:lineRule="auto"/>
        <w:ind w:left="210" w:leftChars="100"/>
        <w:jc w:val="left"/>
        <w:rPr>
          <w:rFonts w:ascii="宋体" w:hAnsi="宋体"/>
          <w:color w:val="auto"/>
          <w:szCs w:val="21"/>
        </w:rPr>
      </w:pPr>
      <w:r>
        <w:rPr>
          <w:rFonts w:hint="eastAsia" w:ascii="宋体" w:hAnsi="宋体"/>
          <w:color w:val="auto"/>
          <w:szCs w:val="21"/>
        </w:rPr>
        <w:t xml:space="preserve">    (7)按照宣布的开标顺序当众开标，公布投标人名称、投标保证金的递交情况、投标报价、及其他内容，并记录在案；</w:t>
      </w:r>
    </w:p>
    <w:p>
      <w:pPr>
        <w:spacing w:line="360" w:lineRule="auto"/>
        <w:ind w:left="630" w:leftChars="100" w:hanging="420" w:hangingChars="200"/>
        <w:jc w:val="left"/>
        <w:rPr>
          <w:rFonts w:ascii="宋体" w:hAnsi="宋体"/>
          <w:color w:val="auto"/>
          <w:szCs w:val="21"/>
        </w:rPr>
      </w:pPr>
      <w:r>
        <w:rPr>
          <w:rFonts w:hint="eastAsia" w:ascii="宋体" w:hAnsi="宋体"/>
          <w:color w:val="auto"/>
          <w:szCs w:val="21"/>
        </w:rPr>
        <w:t xml:space="preserve">    (8)招标人代表、投标人代表、监督人、记录人等有关人员在开标记录上签字确认；(9)开标结束。</w:t>
      </w:r>
    </w:p>
    <w:p>
      <w:pPr>
        <w:spacing w:line="360" w:lineRule="auto"/>
        <w:ind w:left="630" w:leftChars="100" w:hanging="420" w:hangingChars="200"/>
        <w:jc w:val="left"/>
        <w:rPr>
          <w:rFonts w:ascii="宋体" w:hAnsi="宋体"/>
          <w:color w:val="auto"/>
          <w:szCs w:val="21"/>
        </w:rPr>
      </w:pPr>
    </w:p>
    <w:p>
      <w:pPr>
        <w:spacing w:line="360" w:lineRule="auto"/>
        <w:ind w:left="210" w:leftChars="100"/>
        <w:jc w:val="left"/>
        <w:rPr>
          <w:b/>
          <w:color w:val="auto"/>
          <w:sz w:val="28"/>
          <w:szCs w:val="28"/>
        </w:rPr>
      </w:pPr>
      <w:r>
        <w:rPr>
          <w:rFonts w:hint="eastAsia"/>
          <w:b/>
          <w:color w:val="auto"/>
          <w:sz w:val="28"/>
          <w:szCs w:val="28"/>
        </w:rPr>
        <w:t>6.评标</w:t>
      </w:r>
    </w:p>
    <w:p>
      <w:pPr>
        <w:spacing w:line="360" w:lineRule="auto"/>
        <w:ind w:left="210" w:leftChars="100"/>
        <w:jc w:val="left"/>
        <w:rPr>
          <w:b/>
          <w:color w:val="auto"/>
          <w:sz w:val="24"/>
        </w:rPr>
      </w:pPr>
      <w:r>
        <w:rPr>
          <w:rFonts w:hint="eastAsia"/>
          <w:b/>
          <w:color w:val="auto"/>
          <w:sz w:val="24"/>
        </w:rPr>
        <w:t>6.1评标委员会</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6.1.1评标由招标人依法组建的评标委员会负责。评标委员会由招标人或其委托的招标代理机构熟悉相关业务的代表，以及从专家库中抽取的物业评标专家组成。评标委员会成员人数以及专家的确定方式见投标人须知前附表。</w:t>
      </w:r>
    </w:p>
    <w:p>
      <w:pPr>
        <w:spacing w:line="360" w:lineRule="auto"/>
        <w:ind w:left="630" w:leftChars="300"/>
        <w:jc w:val="left"/>
        <w:rPr>
          <w:rFonts w:ascii="宋体" w:hAnsi="宋体"/>
          <w:color w:val="auto"/>
          <w:szCs w:val="21"/>
        </w:rPr>
      </w:pPr>
      <w:r>
        <w:rPr>
          <w:rFonts w:hint="eastAsia" w:ascii="宋体" w:hAnsi="宋体"/>
          <w:color w:val="auto"/>
          <w:szCs w:val="21"/>
        </w:rPr>
        <w:t>6.1.2评标委员会成员有下列情形之一的，应当回避：</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(1)招标人或投标人的主要负责人的近亲属；从政府评标专家库随机抽取的评标专家属招标人或其上级主管部门或其下属单位的人员；</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(2)项目主管部门或者行政监督部门的人员；在本招标项目投标人编制投标文件过程中有过参与、指导、咨询等行为的人员；</w:t>
      </w:r>
    </w:p>
    <w:p>
      <w:pPr>
        <w:spacing w:line="360" w:lineRule="auto"/>
        <w:ind w:left="630" w:leftChars="300"/>
        <w:jc w:val="left"/>
        <w:rPr>
          <w:rFonts w:ascii="宋体" w:hAnsi="宋体"/>
          <w:color w:val="auto"/>
          <w:szCs w:val="21"/>
        </w:rPr>
      </w:pPr>
      <w:r>
        <w:rPr>
          <w:rFonts w:hint="eastAsia" w:ascii="宋体" w:hAnsi="宋体"/>
          <w:color w:val="auto"/>
          <w:szCs w:val="21"/>
        </w:rPr>
        <w:t>(3)与投标人有经济利益关系，可能影响对投标公正评审的；</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(4)曾因在招标、评标以及其他与招标投标有关活动中从事违法行为而受过行政处罚或刑事处罚的。</w:t>
      </w:r>
    </w:p>
    <w:p>
      <w:pPr>
        <w:spacing w:line="360" w:lineRule="auto"/>
        <w:ind w:left="692" w:leftChars="100" w:hanging="482" w:hangingChars="200"/>
        <w:jc w:val="left"/>
        <w:rPr>
          <w:rFonts w:ascii="宋体" w:hAnsi="宋体"/>
          <w:color w:val="auto"/>
          <w:szCs w:val="21"/>
        </w:rPr>
      </w:pPr>
      <w:r>
        <w:rPr>
          <w:rFonts w:hint="eastAsia"/>
          <w:b/>
          <w:color w:val="auto"/>
          <w:sz w:val="24"/>
        </w:rPr>
        <w:t>6.2评标原则</w:t>
      </w:r>
    </w:p>
    <w:p>
      <w:pPr>
        <w:spacing w:line="360" w:lineRule="auto"/>
        <w:ind w:left="630" w:leftChars="300"/>
        <w:jc w:val="left"/>
        <w:rPr>
          <w:rFonts w:ascii="宋体" w:hAnsi="宋体"/>
          <w:color w:val="auto"/>
          <w:szCs w:val="21"/>
        </w:rPr>
      </w:pPr>
      <w:r>
        <w:rPr>
          <w:rFonts w:hint="eastAsia" w:ascii="宋体" w:hAnsi="宋体"/>
          <w:color w:val="auto"/>
          <w:szCs w:val="21"/>
        </w:rPr>
        <w:t>评标活动遵循公平、公正、科学和择优的原则。</w:t>
      </w:r>
    </w:p>
    <w:p>
      <w:pPr>
        <w:spacing w:line="360" w:lineRule="auto"/>
        <w:ind w:left="692" w:leftChars="100" w:hanging="482" w:hangingChars="200"/>
        <w:jc w:val="left"/>
        <w:rPr>
          <w:b/>
          <w:color w:val="auto"/>
          <w:sz w:val="24"/>
        </w:rPr>
      </w:pPr>
      <w:r>
        <w:rPr>
          <w:rFonts w:hint="eastAsia"/>
          <w:b/>
          <w:color w:val="auto"/>
          <w:sz w:val="24"/>
        </w:rPr>
        <w:t>6.3评标</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评标委员会按照第三章“评标办法”规定的方法、评审因素、标准和程序对投标文件进行评审。第三章“评标办法”没有规定的方法、评审因素和标准，不作为评标依据。</w:t>
      </w:r>
    </w:p>
    <w:p>
      <w:pPr>
        <w:spacing w:line="360" w:lineRule="auto"/>
        <w:ind w:left="630" w:leftChars="100" w:hanging="420" w:hangingChars="200"/>
        <w:jc w:val="left"/>
        <w:rPr>
          <w:rFonts w:ascii="宋体" w:hAnsi="宋体"/>
          <w:color w:val="auto"/>
          <w:szCs w:val="21"/>
        </w:rPr>
      </w:pPr>
    </w:p>
    <w:p>
      <w:pPr>
        <w:spacing w:line="360" w:lineRule="auto"/>
        <w:ind w:left="772" w:leftChars="100" w:hanging="562" w:hangingChars="200"/>
        <w:jc w:val="left"/>
        <w:rPr>
          <w:rFonts w:ascii="宋体" w:hAnsi="宋体"/>
          <w:color w:val="auto"/>
          <w:szCs w:val="21"/>
        </w:rPr>
      </w:pPr>
      <w:r>
        <w:rPr>
          <w:rFonts w:hint="eastAsia"/>
          <w:b/>
          <w:color w:val="auto"/>
          <w:sz w:val="28"/>
          <w:szCs w:val="28"/>
        </w:rPr>
        <w:t>7.合同授予</w:t>
      </w:r>
    </w:p>
    <w:p>
      <w:pPr>
        <w:spacing w:line="360" w:lineRule="auto"/>
        <w:ind w:left="692" w:leftChars="100" w:hanging="482" w:hangingChars="200"/>
        <w:jc w:val="left"/>
        <w:rPr>
          <w:b/>
          <w:color w:val="auto"/>
          <w:sz w:val="24"/>
        </w:rPr>
      </w:pPr>
      <w:r>
        <w:rPr>
          <w:rFonts w:hint="eastAsia"/>
          <w:b/>
          <w:color w:val="auto"/>
          <w:sz w:val="24"/>
        </w:rPr>
        <w:t>7.1定标方式</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招标人依据评标委员会推荐的中标候选人确定中标人，评标委员会推荐中标候选人的人数见投标人须知前附表。</w:t>
      </w:r>
    </w:p>
    <w:p>
      <w:pPr>
        <w:spacing w:line="360" w:lineRule="auto"/>
        <w:ind w:left="692" w:leftChars="100" w:hanging="482" w:hangingChars="200"/>
        <w:jc w:val="left"/>
        <w:rPr>
          <w:rFonts w:ascii="宋体" w:hAnsi="宋体"/>
          <w:color w:val="auto"/>
          <w:szCs w:val="21"/>
        </w:rPr>
      </w:pPr>
      <w:r>
        <w:rPr>
          <w:rFonts w:hint="eastAsia"/>
          <w:b/>
          <w:color w:val="auto"/>
          <w:sz w:val="24"/>
        </w:rPr>
        <w:t>7.2中标通知</w:t>
      </w:r>
    </w:p>
    <w:p>
      <w:pPr>
        <w:spacing w:line="360" w:lineRule="auto"/>
        <w:ind w:left="630" w:leftChars="300"/>
        <w:jc w:val="left"/>
        <w:rPr>
          <w:rFonts w:ascii="宋体" w:hAnsi="宋体"/>
          <w:color w:val="auto"/>
          <w:szCs w:val="21"/>
        </w:rPr>
      </w:pPr>
      <w:r>
        <w:rPr>
          <w:rFonts w:hint="eastAsia" w:ascii="宋体" w:hAnsi="宋体"/>
          <w:color w:val="auto"/>
          <w:szCs w:val="21"/>
        </w:rPr>
        <w:t>在本章规定的投标有效期内，招标人以书面形式向中标人发出中标通知书。</w:t>
      </w:r>
    </w:p>
    <w:p>
      <w:pPr>
        <w:spacing w:line="360" w:lineRule="auto"/>
        <w:ind w:left="692" w:leftChars="100" w:hanging="482" w:hangingChars="200"/>
        <w:jc w:val="left"/>
        <w:rPr>
          <w:b/>
          <w:color w:val="auto"/>
          <w:sz w:val="24"/>
        </w:rPr>
      </w:pPr>
      <w:r>
        <w:rPr>
          <w:rFonts w:hint="eastAsia"/>
          <w:b/>
          <w:color w:val="auto"/>
          <w:sz w:val="24"/>
        </w:rPr>
        <w:t>7.3履约担保</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7.3.1在签订合同前，中标人应按投标人须知前附表规定的金额、担保形式和招标文件第四章“合同条款及格式”规定的履约担保格式向招标人提交履约担保。投标须知前附表允许联合体投标并中标的，其履约担保由牵头人递交，并应符合投标人须知前附表规定的金额、担保形式和招标文件第四章“合同条款及格式”规定的履约担保格式要求。</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7.3.2 中标人不能按本章第7.3.1项要求提交履约担保的，视为放弃中标，其投标保证金不予退还，给招标人造成的损失超过投标保证金数额的，中标人还应对超过部分予以赔偿。</w:t>
      </w:r>
    </w:p>
    <w:p>
      <w:pPr>
        <w:spacing w:line="360" w:lineRule="auto"/>
        <w:ind w:left="692" w:leftChars="100" w:hanging="482" w:hangingChars="200"/>
        <w:jc w:val="left"/>
        <w:rPr>
          <w:b/>
          <w:color w:val="auto"/>
          <w:sz w:val="24"/>
        </w:rPr>
      </w:pPr>
      <w:r>
        <w:rPr>
          <w:rFonts w:hint="eastAsia"/>
          <w:b/>
          <w:color w:val="auto"/>
          <w:sz w:val="24"/>
        </w:rPr>
        <w:t>7.4签订合同</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7.4.1招标人和中标人应当自中标通知书发出之日起7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7.4.2发出中标通知书后，招标人无正当理由拒签合同的，招标人向中标人退还投标保证金，给中标人造成损失的，还应当赔偿损失。</w:t>
      </w:r>
    </w:p>
    <w:p>
      <w:pPr>
        <w:spacing w:line="360" w:lineRule="auto"/>
        <w:ind w:left="630" w:leftChars="300"/>
        <w:jc w:val="left"/>
        <w:rPr>
          <w:rFonts w:ascii="宋体" w:hAnsi="宋体"/>
          <w:color w:val="auto"/>
          <w:szCs w:val="21"/>
        </w:rPr>
      </w:pPr>
    </w:p>
    <w:p>
      <w:pPr>
        <w:spacing w:line="360" w:lineRule="auto"/>
        <w:ind w:firstLine="281" w:firstLineChars="100"/>
        <w:jc w:val="left"/>
        <w:rPr>
          <w:b/>
          <w:color w:val="auto"/>
          <w:sz w:val="28"/>
          <w:szCs w:val="28"/>
        </w:rPr>
      </w:pPr>
      <w:r>
        <w:rPr>
          <w:rFonts w:hint="eastAsia"/>
          <w:b/>
          <w:color w:val="auto"/>
          <w:sz w:val="28"/>
          <w:szCs w:val="28"/>
        </w:rPr>
        <w:t>8.重新招标和不再招标</w:t>
      </w:r>
    </w:p>
    <w:p>
      <w:pPr>
        <w:spacing w:line="360" w:lineRule="auto"/>
        <w:ind w:left="210" w:leftChars="100" w:firstLine="210" w:firstLineChars="87"/>
        <w:jc w:val="left"/>
        <w:rPr>
          <w:b/>
          <w:color w:val="auto"/>
          <w:sz w:val="24"/>
        </w:rPr>
      </w:pPr>
      <w:r>
        <w:rPr>
          <w:rFonts w:hint="eastAsia"/>
          <w:b/>
          <w:color w:val="auto"/>
          <w:sz w:val="24"/>
        </w:rPr>
        <w:t>8.1重新招标</w:t>
      </w:r>
    </w:p>
    <w:p>
      <w:pPr>
        <w:spacing w:line="360" w:lineRule="auto"/>
        <w:ind w:left="630" w:leftChars="300"/>
        <w:jc w:val="left"/>
        <w:rPr>
          <w:rFonts w:ascii="宋体" w:hAnsi="宋体"/>
          <w:color w:val="auto"/>
          <w:szCs w:val="21"/>
        </w:rPr>
      </w:pPr>
      <w:r>
        <w:rPr>
          <w:rFonts w:hint="eastAsia" w:ascii="宋体" w:hAnsi="宋体"/>
          <w:color w:val="auto"/>
          <w:szCs w:val="21"/>
        </w:rPr>
        <w:t>经评标委员会评审后否决所有投标的，招标人将重新招标。</w:t>
      </w:r>
    </w:p>
    <w:p>
      <w:pPr>
        <w:spacing w:line="360" w:lineRule="auto"/>
        <w:ind w:left="210" w:leftChars="100" w:firstLine="210" w:firstLineChars="87"/>
        <w:jc w:val="left"/>
        <w:rPr>
          <w:b/>
          <w:color w:val="auto"/>
          <w:sz w:val="24"/>
        </w:rPr>
      </w:pPr>
      <w:r>
        <w:rPr>
          <w:rFonts w:hint="eastAsia"/>
          <w:b/>
          <w:color w:val="auto"/>
          <w:sz w:val="24"/>
        </w:rPr>
        <w:t>8.1不再招标</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 xml:space="preserve"> 重新招标后投标人仍少于3个或者所有投标被否决的，经物业管理行政主管部门批准后不再进行招标。</w:t>
      </w:r>
    </w:p>
    <w:p>
      <w:pPr>
        <w:spacing w:line="360" w:lineRule="auto"/>
        <w:ind w:left="210" w:leftChars="100" w:firstLine="420" w:firstLineChars="200"/>
        <w:jc w:val="left"/>
        <w:rPr>
          <w:rFonts w:ascii="宋体" w:hAnsi="宋体"/>
          <w:color w:val="auto"/>
          <w:szCs w:val="21"/>
        </w:rPr>
      </w:pPr>
    </w:p>
    <w:p>
      <w:pPr>
        <w:spacing w:line="360" w:lineRule="auto"/>
        <w:ind w:firstLine="281" w:firstLineChars="100"/>
        <w:jc w:val="left"/>
        <w:rPr>
          <w:b/>
          <w:color w:val="auto"/>
          <w:sz w:val="28"/>
          <w:szCs w:val="28"/>
        </w:rPr>
      </w:pPr>
      <w:r>
        <w:rPr>
          <w:rFonts w:hint="eastAsia"/>
          <w:b/>
          <w:color w:val="auto"/>
          <w:sz w:val="28"/>
          <w:szCs w:val="28"/>
        </w:rPr>
        <w:t>9.纪律和监督</w:t>
      </w:r>
    </w:p>
    <w:p>
      <w:pPr>
        <w:spacing w:line="360" w:lineRule="auto"/>
        <w:ind w:firstLine="241" w:firstLineChars="100"/>
        <w:jc w:val="left"/>
        <w:rPr>
          <w:rFonts w:ascii="宋体" w:hAnsi="宋体"/>
          <w:color w:val="auto"/>
          <w:szCs w:val="21"/>
        </w:rPr>
      </w:pPr>
      <w:r>
        <w:rPr>
          <w:rFonts w:hint="eastAsia"/>
          <w:b/>
          <w:color w:val="auto"/>
          <w:sz w:val="24"/>
        </w:rPr>
        <w:t>9.1对招标人的纪律要求</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招标人不得泄漏招标投标活动中应当保密的情况和资料，不得与投标人串通损害国家利益、社会公共利益或者他人合法权益。</w:t>
      </w:r>
    </w:p>
    <w:p>
      <w:pPr>
        <w:spacing w:line="360" w:lineRule="auto"/>
        <w:ind w:firstLine="241" w:firstLineChars="100"/>
        <w:jc w:val="left"/>
        <w:rPr>
          <w:rFonts w:ascii="宋体" w:hAnsi="宋体"/>
          <w:color w:val="auto"/>
          <w:szCs w:val="21"/>
        </w:rPr>
      </w:pPr>
      <w:r>
        <w:rPr>
          <w:rFonts w:hint="eastAsia"/>
          <w:b/>
          <w:color w:val="auto"/>
          <w:sz w:val="24"/>
        </w:rPr>
        <w:t>9.2对投标人的纪律要求</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241" w:firstLineChars="100"/>
        <w:jc w:val="left"/>
        <w:rPr>
          <w:rFonts w:ascii="宋体" w:hAnsi="宋体"/>
          <w:color w:val="auto"/>
          <w:szCs w:val="21"/>
        </w:rPr>
      </w:pPr>
      <w:r>
        <w:rPr>
          <w:rFonts w:hint="eastAsia"/>
          <w:b/>
          <w:color w:val="auto"/>
          <w:sz w:val="24"/>
        </w:rPr>
        <w:t>9.3对评标委员会成员的纪律要求</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241" w:firstLineChars="100"/>
        <w:jc w:val="left"/>
        <w:rPr>
          <w:rFonts w:ascii="宋体" w:hAnsi="宋体"/>
          <w:color w:val="auto"/>
          <w:szCs w:val="21"/>
        </w:rPr>
      </w:pPr>
      <w:r>
        <w:rPr>
          <w:rFonts w:hint="eastAsia"/>
          <w:b/>
          <w:color w:val="auto"/>
          <w:sz w:val="24"/>
        </w:rPr>
        <w:t>9.4对与评标活动有关的工作人员的纪律要求</w:t>
      </w:r>
    </w:p>
    <w:p>
      <w:pPr>
        <w:spacing w:line="360" w:lineRule="auto"/>
        <w:jc w:val="left"/>
        <w:rPr>
          <w:rFonts w:ascii="宋体" w:hAnsi="宋体"/>
          <w:color w:val="auto"/>
          <w:szCs w:val="21"/>
        </w:rPr>
      </w:pPr>
      <w:r>
        <w:rPr>
          <w:rFonts w:hint="eastAsia" w:ascii="宋体" w:hAnsi="宋体"/>
          <w:color w:val="auto"/>
          <w:szCs w:val="21"/>
        </w:rPr>
        <w:t xml:space="preserve">      与评标活动有关的工作人员不得收受他人的财物成者其他好处，不得向他人透露对投标文件的评审和比程中标候选人的推荐情况以及评标有关的其他情况。在评标活动中，与评标活动有关的工作人员不得擅离职守，影响评标程序正常进行。</w:t>
      </w:r>
    </w:p>
    <w:p>
      <w:pPr>
        <w:spacing w:line="360" w:lineRule="auto"/>
        <w:ind w:firstLine="241" w:firstLineChars="100"/>
        <w:jc w:val="left"/>
        <w:rPr>
          <w:rFonts w:ascii="宋体" w:hAnsi="宋体"/>
          <w:color w:val="auto"/>
          <w:szCs w:val="21"/>
        </w:rPr>
      </w:pPr>
      <w:r>
        <w:rPr>
          <w:rFonts w:hint="eastAsia"/>
          <w:b/>
          <w:color w:val="auto"/>
          <w:sz w:val="24"/>
        </w:rPr>
        <w:t>9.5投诉</w:t>
      </w:r>
    </w:p>
    <w:p>
      <w:pPr>
        <w:spacing w:line="360" w:lineRule="auto"/>
        <w:jc w:val="left"/>
        <w:rPr>
          <w:rFonts w:ascii="宋体" w:hAnsi="宋体"/>
          <w:color w:val="auto"/>
          <w:szCs w:val="21"/>
        </w:rPr>
      </w:pPr>
      <w:r>
        <w:rPr>
          <w:rFonts w:hint="eastAsia" w:ascii="宋体" w:hAnsi="宋体"/>
          <w:color w:val="auto"/>
          <w:szCs w:val="21"/>
        </w:rPr>
        <w:t xml:space="preserve">      投标人和其他利害关系人认为本次招标活动违反法律、法规和规章规定的，有权向有关行政监督部门投诉。 </w:t>
      </w:r>
    </w:p>
    <w:p>
      <w:pPr>
        <w:spacing w:line="360" w:lineRule="auto"/>
        <w:ind w:firstLine="281" w:firstLineChars="100"/>
        <w:jc w:val="left"/>
        <w:rPr>
          <w:rFonts w:ascii="宋体" w:hAnsi="宋体"/>
          <w:color w:val="auto"/>
          <w:szCs w:val="21"/>
        </w:rPr>
      </w:pPr>
      <w:r>
        <w:rPr>
          <w:rFonts w:hint="eastAsia"/>
          <w:b/>
          <w:color w:val="auto"/>
          <w:sz w:val="28"/>
          <w:szCs w:val="28"/>
        </w:rPr>
        <w:t>10.需要补充的其他内容</w:t>
      </w:r>
    </w:p>
    <w:p>
      <w:pPr>
        <w:spacing w:line="360" w:lineRule="auto"/>
        <w:jc w:val="left"/>
        <w:rPr>
          <w:rFonts w:ascii="宋体" w:hAnsi="宋体"/>
          <w:color w:val="auto"/>
          <w:szCs w:val="21"/>
        </w:rPr>
      </w:pPr>
      <w:r>
        <w:rPr>
          <w:rFonts w:hint="eastAsia" w:ascii="宋体" w:hAnsi="宋体"/>
          <w:color w:val="auto"/>
          <w:szCs w:val="21"/>
        </w:rPr>
        <w:t xml:space="preserve">      需要补充的其他内容：见投标人须如前附表。</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center"/>
        <w:rPr>
          <w:rFonts w:ascii="宋体" w:hAnsi="宋体"/>
          <w:color w:val="auto"/>
          <w:szCs w:val="21"/>
        </w:rPr>
      </w:pPr>
      <w:r>
        <w:rPr>
          <w:rFonts w:hint="eastAsia"/>
          <w:b/>
          <w:color w:val="auto"/>
          <w:sz w:val="32"/>
          <w:szCs w:val="32"/>
        </w:rPr>
        <w:t>第三章 评标办法（综合评标法）</w:t>
      </w:r>
    </w:p>
    <w:p>
      <w:pPr>
        <w:spacing w:line="360" w:lineRule="auto"/>
        <w:jc w:val="center"/>
        <w:rPr>
          <w:b/>
          <w:color w:val="auto"/>
          <w:sz w:val="32"/>
          <w:szCs w:val="32"/>
        </w:rPr>
      </w:pPr>
      <w:r>
        <w:rPr>
          <w:rFonts w:hint="eastAsia"/>
          <w:b/>
          <w:color w:val="auto"/>
          <w:sz w:val="32"/>
          <w:szCs w:val="32"/>
        </w:rPr>
        <w:t>评标办法前附表</w:t>
      </w: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00"/>
        <w:gridCol w:w="1849"/>
        <w:gridCol w:w="4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2087" w:type="dxa"/>
            <w:gridSpan w:val="2"/>
            <w:vAlign w:val="center"/>
          </w:tcPr>
          <w:p>
            <w:pPr>
              <w:pStyle w:val="5"/>
              <w:ind w:right="210"/>
              <w:jc w:val="center"/>
              <w:rPr>
                <w:rFonts w:hAnsi="宋体"/>
                <w:b/>
                <w:bCs/>
                <w:color w:val="auto"/>
                <w:sz w:val="18"/>
                <w:szCs w:val="18"/>
              </w:rPr>
            </w:pPr>
            <w:r>
              <w:rPr>
                <w:rFonts w:hint="eastAsia" w:hAnsi="宋体"/>
                <w:b/>
                <w:bCs/>
                <w:color w:val="auto"/>
                <w:sz w:val="18"/>
                <w:szCs w:val="18"/>
              </w:rPr>
              <w:t>条款号</w:t>
            </w:r>
          </w:p>
        </w:tc>
        <w:tc>
          <w:tcPr>
            <w:tcW w:w="1849" w:type="dxa"/>
            <w:vAlign w:val="center"/>
          </w:tcPr>
          <w:p>
            <w:pPr>
              <w:pStyle w:val="5"/>
              <w:ind w:right="210"/>
              <w:jc w:val="center"/>
              <w:rPr>
                <w:rFonts w:hAnsi="宋体"/>
                <w:color w:val="auto"/>
                <w:sz w:val="18"/>
                <w:szCs w:val="18"/>
              </w:rPr>
            </w:pPr>
            <w:r>
              <w:rPr>
                <w:rFonts w:hint="eastAsia" w:hAnsi="宋体" w:cs="宋体"/>
                <w:b/>
                <w:bCs/>
                <w:color w:val="auto"/>
                <w:sz w:val="18"/>
                <w:szCs w:val="18"/>
              </w:rPr>
              <w:t>评审因素</w:t>
            </w:r>
          </w:p>
        </w:tc>
        <w:tc>
          <w:tcPr>
            <w:tcW w:w="4883" w:type="dxa"/>
            <w:vAlign w:val="center"/>
          </w:tcPr>
          <w:p>
            <w:pPr>
              <w:pStyle w:val="5"/>
              <w:ind w:right="210"/>
              <w:jc w:val="center"/>
              <w:rPr>
                <w:rFonts w:hAnsi="宋体"/>
                <w:color w:val="auto"/>
                <w:sz w:val="18"/>
                <w:szCs w:val="18"/>
              </w:rPr>
            </w:pPr>
            <w:r>
              <w:rPr>
                <w:rFonts w:hint="eastAsia" w:hAnsi="宋体"/>
                <w:b/>
                <w:bCs/>
                <w:color w:val="auto"/>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restart"/>
            <w:vAlign w:val="center"/>
          </w:tcPr>
          <w:p>
            <w:pPr>
              <w:pStyle w:val="5"/>
              <w:ind w:right="210"/>
              <w:jc w:val="center"/>
              <w:rPr>
                <w:rFonts w:hAnsi="宋体"/>
                <w:color w:val="auto"/>
                <w:sz w:val="18"/>
                <w:szCs w:val="18"/>
              </w:rPr>
            </w:pPr>
            <w:r>
              <w:rPr>
                <w:rFonts w:hint="eastAsia" w:hAnsi="宋体"/>
                <w:color w:val="auto"/>
                <w:sz w:val="18"/>
                <w:szCs w:val="18"/>
              </w:rPr>
              <w:t>2.1.1</w:t>
            </w:r>
          </w:p>
        </w:tc>
        <w:tc>
          <w:tcPr>
            <w:tcW w:w="1200" w:type="dxa"/>
            <w:vMerge w:val="restart"/>
            <w:vAlign w:val="center"/>
          </w:tcPr>
          <w:p>
            <w:pPr>
              <w:autoSpaceDE w:val="0"/>
              <w:autoSpaceDN w:val="0"/>
              <w:adjustRightInd w:val="0"/>
              <w:spacing w:line="280" w:lineRule="exact"/>
              <w:jc w:val="center"/>
              <w:rPr>
                <w:rFonts w:hAnsi="宋体"/>
                <w:color w:val="auto"/>
                <w:sz w:val="18"/>
                <w:szCs w:val="18"/>
              </w:rPr>
            </w:pPr>
            <w:r>
              <w:rPr>
                <w:rFonts w:hint="eastAsia" w:hAnsi="宋体"/>
                <w:color w:val="auto"/>
                <w:sz w:val="18"/>
                <w:szCs w:val="18"/>
              </w:rPr>
              <w:t>形式评审</w:t>
            </w:r>
          </w:p>
          <w:p>
            <w:pPr>
              <w:autoSpaceDE w:val="0"/>
              <w:autoSpaceDN w:val="0"/>
              <w:adjustRightInd w:val="0"/>
              <w:spacing w:line="280" w:lineRule="exact"/>
              <w:jc w:val="center"/>
              <w:rPr>
                <w:rFonts w:ascii="宋体" w:hAnsi="宋体"/>
                <w:color w:val="auto"/>
                <w:kern w:val="0"/>
                <w:sz w:val="18"/>
                <w:szCs w:val="18"/>
                <w:lang w:val="zh-CN"/>
              </w:rPr>
            </w:pPr>
            <w:r>
              <w:rPr>
                <w:rFonts w:hint="eastAsia" w:hAnsi="宋体"/>
                <w:color w:val="auto"/>
                <w:sz w:val="18"/>
                <w:szCs w:val="18"/>
              </w:rPr>
              <w:t>标准</w:t>
            </w:r>
          </w:p>
        </w:tc>
        <w:tc>
          <w:tcPr>
            <w:tcW w:w="1849" w:type="dxa"/>
            <w:vAlign w:val="center"/>
          </w:tcPr>
          <w:p>
            <w:pPr>
              <w:pStyle w:val="5"/>
              <w:jc w:val="left"/>
              <w:rPr>
                <w:rFonts w:hAnsi="宋体"/>
                <w:color w:val="auto"/>
                <w:sz w:val="18"/>
                <w:szCs w:val="18"/>
              </w:rPr>
            </w:pPr>
            <w:r>
              <w:rPr>
                <w:rFonts w:hint="eastAsia" w:hAnsi="宋体"/>
                <w:color w:val="auto"/>
                <w:sz w:val="18"/>
                <w:szCs w:val="18"/>
              </w:rPr>
              <w:t>投标人名称</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与投标报名、营业执照、资质证书一致，否则为不合格投标人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pStyle w:val="5"/>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投标文件签字盖章</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若未按第二章“投标人须如前附表”第3.6.3项规定的，则为不合格投标人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投标文件格式</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符合第七章“投标文件格式”的要求，若投标文件未按规定的格式填写的，内容不全或关键字迹模糊、无法辨认的，则为不合格的投标人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报价唯一</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只能有一个有效报价，否则为不合格投标人</w:t>
            </w:r>
          </w:p>
        </w:tc>
      </w:tr>
    </w:tbl>
    <w:p>
      <w:pPr>
        <w:spacing w:line="360" w:lineRule="auto"/>
        <w:ind w:firstLine="840" w:firstLineChars="400"/>
        <w:jc w:val="left"/>
        <w:rPr>
          <w:rFonts w:ascii="宋体" w:hAnsi="宋体"/>
          <w:color w:val="auto"/>
          <w:szCs w:val="21"/>
        </w:rPr>
      </w:pP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00"/>
        <w:gridCol w:w="1849"/>
        <w:gridCol w:w="4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2087" w:type="dxa"/>
            <w:gridSpan w:val="2"/>
            <w:vAlign w:val="center"/>
          </w:tcPr>
          <w:p>
            <w:pPr>
              <w:pStyle w:val="5"/>
              <w:ind w:right="210"/>
              <w:jc w:val="center"/>
              <w:rPr>
                <w:rFonts w:hAnsi="宋体"/>
                <w:b/>
                <w:bCs/>
                <w:color w:val="auto"/>
                <w:sz w:val="18"/>
                <w:szCs w:val="18"/>
              </w:rPr>
            </w:pPr>
            <w:r>
              <w:rPr>
                <w:rFonts w:hint="eastAsia" w:hAnsi="宋体"/>
                <w:b/>
                <w:bCs/>
                <w:color w:val="auto"/>
                <w:sz w:val="18"/>
                <w:szCs w:val="18"/>
              </w:rPr>
              <w:t>条款号</w:t>
            </w:r>
          </w:p>
        </w:tc>
        <w:tc>
          <w:tcPr>
            <w:tcW w:w="1849" w:type="dxa"/>
            <w:vAlign w:val="center"/>
          </w:tcPr>
          <w:p>
            <w:pPr>
              <w:pStyle w:val="5"/>
              <w:ind w:right="210"/>
              <w:jc w:val="center"/>
              <w:rPr>
                <w:rFonts w:hAnsi="宋体"/>
                <w:color w:val="auto"/>
                <w:sz w:val="18"/>
                <w:szCs w:val="18"/>
              </w:rPr>
            </w:pPr>
            <w:r>
              <w:rPr>
                <w:rFonts w:hint="eastAsia" w:hAnsi="宋体" w:cs="宋体"/>
                <w:b/>
                <w:bCs/>
                <w:color w:val="auto"/>
                <w:sz w:val="18"/>
                <w:szCs w:val="18"/>
              </w:rPr>
              <w:t>评审因素</w:t>
            </w:r>
          </w:p>
        </w:tc>
        <w:tc>
          <w:tcPr>
            <w:tcW w:w="4883" w:type="dxa"/>
            <w:vAlign w:val="center"/>
          </w:tcPr>
          <w:p>
            <w:pPr>
              <w:pStyle w:val="5"/>
              <w:ind w:right="210"/>
              <w:jc w:val="center"/>
              <w:rPr>
                <w:rFonts w:hAnsi="宋体"/>
                <w:color w:val="auto"/>
                <w:sz w:val="18"/>
                <w:szCs w:val="18"/>
              </w:rPr>
            </w:pPr>
            <w:r>
              <w:rPr>
                <w:rFonts w:hint="eastAsia" w:hAnsi="宋体"/>
                <w:b/>
                <w:bCs/>
                <w:color w:val="auto"/>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restart"/>
            <w:vAlign w:val="center"/>
          </w:tcPr>
          <w:p>
            <w:pPr>
              <w:pStyle w:val="5"/>
              <w:ind w:right="210"/>
              <w:jc w:val="center"/>
              <w:rPr>
                <w:rFonts w:hAnsi="宋体"/>
                <w:color w:val="auto"/>
                <w:sz w:val="18"/>
                <w:szCs w:val="18"/>
              </w:rPr>
            </w:pPr>
            <w:r>
              <w:rPr>
                <w:rFonts w:hint="eastAsia" w:hAnsi="宋体"/>
                <w:color w:val="auto"/>
                <w:sz w:val="18"/>
                <w:szCs w:val="18"/>
              </w:rPr>
              <w:t>2.1.2</w:t>
            </w:r>
          </w:p>
        </w:tc>
        <w:tc>
          <w:tcPr>
            <w:tcW w:w="1200" w:type="dxa"/>
            <w:vMerge w:val="restart"/>
            <w:vAlign w:val="center"/>
          </w:tcPr>
          <w:p>
            <w:pPr>
              <w:autoSpaceDE w:val="0"/>
              <w:autoSpaceDN w:val="0"/>
              <w:adjustRightInd w:val="0"/>
              <w:spacing w:line="280" w:lineRule="exact"/>
              <w:jc w:val="center"/>
              <w:rPr>
                <w:rFonts w:hAnsi="宋体"/>
                <w:color w:val="auto"/>
                <w:sz w:val="18"/>
                <w:szCs w:val="18"/>
              </w:rPr>
            </w:pPr>
            <w:r>
              <w:rPr>
                <w:rFonts w:hint="eastAsia" w:hAnsi="宋体"/>
                <w:color w:val="auto"/>
                <w:sz w:val="18"/>
                <w:szCs w:val="18"/>
              </w:rPr>
              <w:t>资格评审</w:t>
            </w:r>
          </w:p>
          <w:p>
            <w:pPr>
              <w:autoSpaceDE w:val="0"/>
              <w:autoSpaceDN w:val="0"/>
              <w:adjustRightInd w:val="0"/>
              <w:spacing w:line="280" w:lineRule="exact"/>
              <w:jc w:val="center"/>
              <w:rPr>
                <w:rFonts w:ascii="宋体" w:hAnsi="宋体"/>
                <w:color w:val="auto"/>
                <w:kern w:val="0"/>
                <w:sz w:val="18"/>
                <w:szCs w:val="18"/>
                <w:lang w:val="zh-CN"/>
              </w:rPr>
            </w:pPr>
            <w:r>
              <w:rPr>
                <w:rFonts w:hint="eastAsia" w:hAnsi="宋体"/>
                <w:color w:val="auto"/>
                <w:sz w:val="18"/>
                <w:szCs w:val="18"/>
              </w:rPr>
              <w:t>标准</w:t>
            </w:r>
          </w:p>
        </w:tc>
        <w:tc>
          <w:tcPr>
            <w:tcW w:w="1849" w:type="dxa"/>
            <w:vAlign w:val="center"/>
          </w:tcPr>
          <w:p>
            <w:pPr>
              <w:pStyle w:val="5"/>
              <w:jc w:val="left"/>
              <w:rPr>
                <w:rFonts w:hAnsi="宋体"/>
                <w:color w:val="auto"/>
                <w:sz w:val="18"/>
                <w:szCs w:val="18"/>
              </w:rPr>
            </w:pPr>
            <w:r>
              <w:rPr>
                <w:rFonts w:hint="eastAsia" w:hAnsi="宋体"/>
                <w:color w:val="auto"/>
                <w:sz w:val="18"/>
                <w:szCs w:val="18"/>
              </w:rPr>
              <w:t>营业执照</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企业资质等级</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pStyle w:val="5"/>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项目负责人资格</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pStyle w:val="5"/>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投标保证金</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符合第二章“投标人须知”第1.4.1项规定</w:t>
            </w:r>
          </w:p>
        </w:tc>
      </w:tr>
    </w:tbl>
    <w:p>
      <w:pPr>
        <w:spacing w:line="360" w:lineRule="auto"/>
        <w:ind w:firstLine="840" w:firstLineChars="400"/>
        <w:jc w:val="left"/>
        <w:rPr>
          <w:rFonts w:ascii="宋体" w:hAnsi="宋体"/>
          <w:color w:val="auto"/>
          <w:szCs w:val="21"/>
        </w:rPr>
      </w:pP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00"/>
        <w:gridCol w:w="1849"/>
        <w:gridCol w:w="4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2087" w:type="dxa"/>
            <w:gridSpan w:val="2"/>
            <w:vAlign w:val="center"/>
          </w:tcPr>
          <w:p>
            <w:pPr>
              <w:pStyle w:val="5"/>
              <w:ind w:right="210"/>
              <w:jc w:val="center"/>
              <w:rPr>
                <w:rFonts w:hAnsi="宋体"/>
                <w:b/>
                <w:bCs/>
                <w:color w:val="auto"/>
                <w:sz w:val="18"/>
                <w:szCs w:val="18"/>
              </w:rPr>
            </w:pPr>
            <w:r>
              <w:rPr>
                <w:rFonts w:hint="eastAsia" w:hAnsi="宋体"/>
                <w:b/>
                <w:bCs/>
                <w:color w:val="auto"/>
                <w:sz w:val="18"/>
                <w:szCs w:val="18"/>
              </w:rPr>
              <w:t>条款号</w:t>
            </w:r>
          </w:p>
        </w:tc>
        <w:tc>
          <w:tcPr>
            <w:tcW w:w="1849" w:type="dxa"/>
            <w:vAlign w:val="center"/>
          </w:tcPr>
          <w:p>
            <w:pPr>
              <w:pStyle w:val="5"/>
              <w:ind w:right="210"/>
              <w:jc w:val="center"/>
              <w:rPr>
                <w:rFonts w:hAnsi="宋体"/>
                <w:color w:val="auto"/>
                <w:sz w:val="18"/>
                <w:szCs w:val="18"/>
              </w:rPr>
            </w:pPr>
            <w:r>
              <w:rPr>
                <w:rFonts w:hint="eastAsia" w:hAnsi="宋体" w:cs="宋体"/>
                <w:b/>
                <w:bCs/>
                <w:color w:val="auto"/>
                <w:sz w:val="18"/>
                <w:szCs w:val="18"/>
              </w:rPr>
              <w:t>评审因素</w:t>
            </w:r>
          </w:p>
        </w:tc>
        <w:tc>
          <w:tcPr>
            <w:tcW w:w="4883" w:type="dxa"/>
            <w:vAlign w:val="center"/>
          </w:tcPr>
          <w:p>
            <w:pPr>
              <w:pStyle w:val="5"/>
              <w:ind w:right="210"/>
              <w:jc w:val="center"/>
              <w:rPr>
                <w:rFonts w:hAnsi="宋体"/>
                <w:color w:val="auto"/>
                <w:sz w:val="18"/>
                <w:szCs w:val="18"/>
              </w:rPr>
            </w:pPr>
            <w:r>
              <w:rPr>
                <w:rFonts w:hint="eastAsia" w:hAnsi="宋体"/>
                <w:b/>
                <w:bCs/>
                <w:color w:val="auto"/>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restart"/>
            <w:vAlign w:val="center"/>
          </w:tcPr>
          <w:p>
            <w:pPr>
              <w:pStyle w:val="5"/>
              <w:ind w:right="210"/>
              <w:jc w:val="center"/>
              <w:rPr>
                <w:rFonts w:hAnsi="宋体"/>
                <w:color w:val="auto"/>
                <w:sz w:val="18"/>
                <w:szCs w:val="18"/>
              </w:rPr>
            </w:pPr>
          </w:p>
          <w:p>
            <w:pPr>
              <w:pStyle w:val="5"/>
              <w:ind w:right="210"/>
              <w:jc w:val="center"/>
              <w:rPr>
                <w:rFonts w:hAnsi="宋体"/>
                <w:color w:val="auto"/>
                <w:sz w:val="18"/>
                <w:szCs w:val="18"/>
              </w:rPr>
            </w:pPr>
          </w:p>
          <w:p>
            <w:pPr>
              <w:pStyle w:val="5"/>
              <w:ind w:right="210"/>
              <w:jc w:val="center"/>
              <w:rPr>
                <w:rFonts w:hAnsi="宋体"/>
                <w:color w:val="auto"/>
                <w:sz w:val="18"/>
                <w:szCs w:val="18"/>
              </w:rPr>
            </w:pPr>
          </w:p>
          <w:p>
            <w:pPr>
              <w:pStyle w:val="5"/>
              <w:ind w:right="210"/>
              <w:jc w:val="center"/>
              <w:rPr>
                <w:rFonts w:hAnsi="宋体"/>
                <w:color w:val="auto"/>
                <w:sz w:val="18"/>
                <w:szCs w:val="18"/>
              </w:rPr>
            </w:pPr>
          </w:p>
          <w:p>
            <w:pPr>
              <w:pStyle w:val="5"/>
              <w:ind w:right="210"/>
              <w:jc w:val="center"/>
              <w:rPr>
                <w:rFonts w:hAnsi="宋体"/>
                <w:color w:val="auto"/>
                <w:sz w:val="18"/>
                <w:szCs w:val="18"/>
              </w:rPr>
            </w:pPr>
            <w:r>
              <w:rPr>
                <w:rFonts w:hint="eastAsia" w:hAnsi="宋体"/>
                <w:color w:val="auto"/>
                <w:sz w:val="18"/>
                <w:szCs w:val="18"/>
              </w:rPr>
              <w:t>2.1.3</w:t>
            </w:r>
          </w:p>
          <w:p>
            <w:pPr>
              <w:pStyle w:val="5"/>
              <w:ind w:right="210"/>
              <w:jc w:val="center"/>
              <w:rPr>
                <w:rFonts w:hAnsi="宋体"/>
                <w:color w:val="auto"/>
                <w:sz w:val="18"/>
                <w:szCs w:val="18"/>
              </w:rPr>
            </w:pPr>
          </w:p>
          <w:p>
            <w:pPr>
              <w:pStyle w:val="5"/>
              <w:ind w:right="210"/>
              <w:jc w:val="center"/>
              <w:rPr>
                <w:rFonts w:hAnsi="宋体"/>
                <w:color w:val="auto"/>
                <w:sz w:val="18"/>
                <w:szCs w:val="18"/>
              </w:rPr>
            </w:pPr>
          </w:p>
          <w:p>
            <w:pPr>
              <w:pStyle w:val="5"/>
              <w:ind w:right="210"/>
              <w:jc w:val="center"/>
              <w:rPr>
                <w:rFonts w:hAnsi="宋体"/>
                <w:color w:val="auto"/>
                <w:sz w:val="18"/>
                <w:szCs w:val="18"/>
              </w:rPr>
            </w:pPr>
          </w:p>
        </w:tc>
        <w:tc>
          <w:tcPr>
            <w:tcW w:w="1200" w:type="dxa"/>
            <w:vMerge w:val="restart"/>
            <w:vAlign w:val="center"/>
          </w:tcPr>
          <w:p>
            <w:pPr>
              <w:autoSpaceDE w:val="0"/>
              <w:autoSpaceDN w:val="0"/>
              <w:adjustRightInd w:val="0"/>
              <w:spacing w:line="280" w:lineRule="exact"/>
              <w:jc w:val="center"/>
              <w:rPr>
                <w:rFonts w:hAnsi="宋体"/>
                <w:color w:val="auto"/>
                <w:sz w:val="18"/>
                <w:szCs w:val="18"/>
              </w:rPr>
            </w:pPr>
            <w:r>
              <w:rPr>
                <w:rFonts w:hint="eastAsia" w:hAnsi="宋体"/>
                <w:color w:val="auto"/>
                <w:sz w:val="18"/>
                <w:szCs w:val="18"/>
              </w:rPr>
              <w:t>响 应 性</w:t>
            </w:r>
          </w:p>
          <w:p>
            <w:pPr>
              <w:autoSpaceDE w:val="0"/>
              <w:autoSpaceDN w:val="0"/>
              <w:adjustRightInd w:val="0"/>
              <w:spacing w:line="280" w:lineRule="exact"/>
              <w:jc w:val="center"/>
              <w:rPr>
                <w:rFonts w:hAnsi="宋体"/>
                <w:color w:val="auto"/>
                <w:sz w:val="18"/>
                <w:szCs w:val="18"/>
              </w:rPr>
            </w:pPr>
            <w:r>
              <w:rPr>
                <w:rFonts w:hint="eastAsia" w:hAnsi="宋体"/>
                <w:color w:val="auto"/>
                <w:sz w:val="18"/>
                <w:szCs w:val="18"/>
              </w:rPr>
              <w:t>评审标准</w:t>
            </w:r>
          </w:p>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jc w:val="left"/>
              <w:rPr>
                <w:rFonts w:hAnsi="宋体"/>
                <w:color w:val="auto"/>
                <w:sz w:val="18"/>
                <w:szCs w:val="18"/>
              </w:rPr>
            </w:pPr>
            <w:r>
              <w:rPr>
                <w:rFonts w:hint="eastAsia" w:hAnsi="宋体"/>
                <w:color w:val="auto"/>
                <w:sz w:val="18"/>
                <w:szCs w:val="18"/>
              </w:rPr>
              <w:t>投标内容</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符合第二章“投标人须知”第1.3.1项规定，若投标文件载明的投标范围小于招标文件规定的招标范围的，则为不合格投标人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pStyle w:val="5"/>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服务期限</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若未按第二章“投标人须知”第1.3.2项规定的，若投标文件载明的服务期限不符，则为不合格投标人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服务标准</w:t>
            </w:r>
          </w:p>
        </w:tc>
        <w:tc>
          <w:tcPr>
            <w:tcW w:w="4883" w:type="dxa"/>
            <w:vAlign w:val="center"/>
          </w:tcPr>
          <w:p>
            <w:pPr>
              <w:rPr>
                <w:rFonts w:ascii="宋体" w:hAnsi="宋体"/>
                <w:color w:val="auto"/>
                <w:sz w:val="18"/>
                <w:szCs w:val="18"/>
              </w:rPr>
            </w:pPr>
            <w:r>
              <w:rPr>
                <w:rFonts w:hint="eastAsia" w:ascii="宋体" w:hAnsi="宋体"/>
                <w:color w:val="auto"/>
                <w:sz w:val="18"/>
                <w:szCs w:val="18"/>
              </w:rPr>
              <w:t>符合第二章“投标人须知”第1.3.3项规定，若投标文件载明的质量标准低于招标文件规定的，则为不合格投标人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物业服务力量配置</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投标文件载明的物业服务力量应不得低于第六章5.1项规定的最低配置标准，否则为不合格投标人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投标有效期</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符合第二章“投标人须知”第3.3.1项规定，若投标有效期短于招标文件规定的，则为不合格投标人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权力义务</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投标函中的相关承诺符合或优于第四章“合同条款”的相关规定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ascii="宋体" w:hAnsi="宋体"/>
                <w:color w:val="auto"/>
                <w:kern w:val="0"/>
                <w:sz w:val="18"/>
                <w:szCs w:val="18"/>
                <w:lang w:val="zh-CN"/>
              </w:rPr>
            </w:pPr>
          </w:p>
        </w:tc>
        <w:tc>
          <w:tcPr>
            <w:tcW w:w="1849" w:type="dxa"/>
            <w:vAlign w:val="center"/>
          </w:tcPr>
          <w:p>
            <w:pPr>
              <w:pStyle w:val="5"/>
              <w:ind w:right="210"/>
              <w:jc w:val="left"/>
              <w:rPr>
                <w:rFonts w:hAnsi="宋体"/>
                <w:color w:val="auto"/>
                <w:sz w:val="18"/>
                <w:szCs w:val="18"/>
              </w:rPr>
            </w:pPr>
            <w:r>
              <w:rPr>
                <w:rFonts w:hint="eastAsia" w:hAnsi="宋体"/>
                <w:color w:val="auto"/>
                <w:sz w:val="18"/>
                <w:szCs w:val="18"/>
              </w:rPr>
              <w:t>投标报价文件</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1、符合投标文件格式中“投标报价书”规定的填报格式要求。</w:t>
            </w:r>
          </w:p>
          <w:p>
            <w:pPr>
              <w:pStyle w:val="5"/>
              <w:ind w:right="210"/>
              <w:jc w:val="left"/>
              <w:rPr>
                <w:rFonts w:hAnsi="宋体"/>
                <w:color w:val="auto"/>
                <w:sz w:val="18"/>
                <w:szCs w:val="18"/>
              </w:rPr>
            </w:pPr>
            <w:r>
              <w:rPr>
                <w:rFonts w:hint="eastAsia" w:hAnsi="宋体"/>
                <w:color w:val="auto"/>
                <w:sz w:val="18"/>
                <w:szCs w:val="18"/>
              </w:rPr>
              <w:t xml:space="preserve">2、低于(含等于)第二章“投标人须知”前附表第10.2款载明的最高投标限价。 </w:t>
            </w:r>
          </w:p>
          <w:p>
            <w:pPr>
              <w:pStyle w:val="5"/>
              <w:ind w:right="210"/>
              <w:jc w:val="left"/>
              <w:rPr>
                <w:rFonts w:hAnsi="宋体"/>
                <w:color w:val="auto"/>
                <w:sz w:val="18"/>
                <w:szCs w:val="18"/>
              </w:rPr>
            </w:pPr>
            <w:r>
              <w:rPr>
                <w:rFonts w:hint="eastAsia" w:hAnsi="宋体"/>
                <w:color w:val="auto"/>
                <w:sz w:val="18"/>
                <w:szCs w:val="18"/>
              </w:rPr>
              <w:t>3、投标报价中最终体现的人工工资单价不低于最低工资标准，并依法核算社保费用。</w:t>
            </w:r>
          </w:p>
          <w:p>
            <w:pPr>
              <w:pStyle w:val="5"/>
              <w:ind w:right="210"/>
              <w:jc w:val="left"/>
              <w:rPr>
                <w:rFonts w:hAnsi="宋体"/>
                <w:color w:val="auto"/>
                <w:sz w:val="18"/>
                <w:szCs w:val="18"/>
              </w:rPr>
            </w:pPr>
            <w:r>
              <w:rPr>
                <w:rFonts w:hint="eastAsia" w:hAnsi="宋体"/>
                <w:color w:val="auto"/>
                <w:sz w:val="18"/>
                <w:szCs w:val="18"/>
              </w:rPr>
              <w:t xml:space="preserve">    上述若有一条不符合，则投标报价无效，按废标处理。</w:t>
            </w:r>
          </w:p>
        </w:tc>
      </w:tr>
    </w:tbl>
    <w:p>
      <w:pPr>
        <w:spacing w:line="360" w:lineRule="auto"/>
        <w:ind w:left="210" w:leftChars="100"/>
        <w:jc w:val="left"/>
        <w:rPr>
          <w:rFonts w:ascii="宋体" w:hAnsi="宋体"/>
          <w:color w:val="auto"/>
          <w:szCs w:val="21"/>
        </w:rPr>
      </w:pP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00"/>
        <w:gridCol w:w="1849"/>
        <w:gridCol w:w="4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2087" w:type="dxa"/>
            <w:gridSpan w:val="2"/>
            <w:vAlign w:val="center"/>
          </w:tcPr>
          <w:p>
            <w:pPr>
              <w:pStyle w:val="5"/>
              <w:ind w:right="210"/>
              <w:jc w:val="center"/>
              <w:rPr>
                <w:rFonts w:hAnsi="宋体"/>
                <w:b/>
                <w:bCs/>
                <w:color w:val="auto"/>
                <w:sz w:val="18"/>
                <w:szCs w:val="18"/>
              </w:rPr>
            </w:pPr>
            <w:r>
              <w:rPr>
                <w:rFonts w:hint="eastAsia" w:hAnsi="宋体"/>
                <w:b/>
                <w:bCs/>
                <w:color w:val="auto"/>
                <w:sz w:val="18"/>
                <w:szCs w:val="18"/>
              </w:rPr>
              <w:t>条款号</w:t>
            </w:r>
          </w:p>
        </w:tc>
        <w:tc>
          <w:tcPr>
            <w:tcW w:w="1849" w:type="dxa"/>
            <w:vAlign w:val="center"/>
          </w:tcPr>
          <w:p>
            <w:pPr>
              <w:pStyle w:val="5"/>
              <w:ind w:right="210"/>
              <w:jc w:val="center"/>
              <w:rPr>
                <w:rFonts w:hAnsi="宋体"/>
                <w:color w:val="auto"/>
                <w:sz w:val="18"/>
                <w:szCs w:val="18"/>
              </w:rPr>
            </w:pPr>
            <w:r>
              <w:rPr>
                <w:rFonts w:hint="eastAsia" w:hAnsi="宋体" w:cs="宋体"/>
                <w:b/>
                <w:bCs/>
                <w:color w:val="auto"/>
                <w:sz w:val="18"/>
                <w:szCs w:val="18"/>
              </w:rPr>
              <w:t>评审因素</w:t>
            </w:r>
          </w:p>
        </w:tc>
        <w:tc>
          <w:tcPr>
            <w:tcW w:w="4883" w:type="dxa"/>
            <w:vAlign w:val="center"/>
          </w:tcPr>
          <w:p>
            <w:pPr>
              <w:pStyle w:val="5"/>
              <w:ind w:right="210"/>
              <w:jc w:val="center"/>
              <w:rPr>
                <w:rFonts w:hAnsi="宋体"/>
                <w:color w:val="auto"/>
                <w:sz w:val="18"/>
                <w:szCs w:val="18"/>
              </w:rPr>
            </w:pPr>
            <w:r>
              <w:rPr>
                <w:rFonts w:hint="eastAsia" w:hAnsi="宋体"/>
                <w:b/>
                <w:bCs/>
                <w:color w:val="auto"/>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887" w:type="dxa"/>
            <w:vAlign w:val="center"/>
          </w:tcPr>
          <w:p>
            <w:pPr>
              <w:pStyle w:val="5"/>
              <w:ind w:right="210"/>
              <w:jc w:val="center"/>
              <w:rPr>
                <w:rFonts w:hAnsi="宋体"/>
                <w:color w:val="auto"/>
                <w:sz w:val="18"/>
                <w:szCs w:val="18"/>
              </w:rPr>
            </w:pPr>
            <w:r>
              <w:rPr>
                <w:rFonts w:hint="eastAsia" w:hAnsi="宋体"/>
                <w:color w:val="auto"/>
                <w:sz w:val="18"/>
                <w:szCs w:val="18"/>
              </w:rPr>
              <w:t>2.2.1</w:t>
            </w:r>
          </w:p>
        </w:tc>
        <w:tc>
          <w:tcPr>
            <w:tcW w:w="3049" w:type="dxa"/>
            <w:gridSpan w:val="2"/>
            <w:vAlign w:val="center"/>
          </w:tcPr>
          <w:p>
            <w:pPr>
              <w:pStyle w:val="5"/>
              <w:jc w:val="left"/>
              <w:rPr>
                <w:rFonts w:hAnsi="宋体"/>
                <w:color w:val="auto"/>
                <w:sz w:val="18"/>
                <w:szCs w:val="18"/>
              </w:rPr>
            </w:pPr>
            <w:r>
              <w:rPr>
                <w:rFonts w:hint="eastAsia" w:hAnsi="宋体"/>
                <w:color w:val="auto"/>
                <w:sz w:val="18"/>
                <w:szCs w:val="18"/>
              </w:rPr>
              <w:t>综合评估分值构成</w:t>
            </w:r>
          </w:p>
          <w:p>
            <w:pPr>
              <w:pStyle w:val="5"/>
              <w:jc w:val="left"/>
              <w:rPr>
                <w:rFonts w:hAnsi="宋体"/>
                <w:color w:val="auto"/>
                <w:sz w:val="18"/>
                <w:szCs w:val="18"/>
              </w:rPr>
            </w:pPr>
            <w:r>
              <w:rPr>
                <w:rFonts w:hint="eastAsia" w:hAnsi="宋体"/>
                <w:color w:val="auto"/>
                <w:sz w:val="18"/>
                <w:szCs w:val="18"/>
              </w:rPr>
              <w:t>(总分100分)</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技术标(物业管理方案) K1：40分</w:t>
            </w:r>
          </w:p>
          <w:p>
            <w:pPr>
              <w:pStyle w:val="5"/>
              <w:ind w:right="210"/>
              <w:jc w:val="left"/>
              <w:rPr>
                <w:rFonts w:hAnsi="宋体"/>
                <w:color w:val="auto"/>
                <w:sz w:val="18"/>
                <w:szCs w:val="18"/>
              </w:rPr>
            </w:pPr>
            <w:r>
              <w:rPr>
                <w:rFonts w:hint="eastAsia" w:hAnsi="宋体"/>
                <w:color w:val="auto"/>
                <w:sz w:val="18"/>
                <w:szCs w:val="18"/>
              </w:rPr>
              <w:t>企业资信情况 K2：        40分</w:t>
            </w:r>
          </w:p>
          <w:p>
            <w:pPr>
              <w:pStyle w:val="5"/>
              <w:ind w:right="210"/>
              <w:jc w:val="left"/>
              <w:rPr>
                <w:rFonts w:hAnsi="宋体"/>
                <w:color w:val="auto"/>
                <w:sz w:val="18"/>
                <w:szCs w:val="18"/>
              </w:rPr>
            </w:pPr>
            <w:r>
              <w:rPr>
                <w:rFonts w:hint="eastAsia" w:hAnsi="宋体"/>
                <w:color w:val="auto"/>
                <w:sz w:val="18"/>
                <w:szCs w:val="18"/>
              </w:rPr>
              <w:t>投标报价     K3：        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887" w:type="dxa"/>
            <w:vAlign w:val="center"/>
          </w:tcPr>
          <w:p>
            <w:pPr>
              <w:pStyle w:val="5"/>
              <w:ind w:right="210"/>
              <w:jc w:val="center"/>
              <w:rPr>
                <w:rFonts w:hAnsi="宋体"/>
                <w:color w:val="auto"/>
                <w:sz w:val="18"/>
                <w:szCs w:val="18"/>
              </w:rPr>
            </w:pPr>
            <w:r>
              <w:rPr>
                <w:rFonts w:hint="eastAsia" w:hAnsi="宋体"/>
                <w:color w:val="auto"/>
                <w:sz w:val="18"/>
                <w:szCs w:val="18"/>
              </w:rPr>
              <w:t>2.2.2</w:t>
            </w:r>
          </w:p>
        </w:tc>
        <w:tc>
          <w:tcPr>
            <w:tcW w:w="3049" w:type="dxa"/>
            <w:gridSpan w:val="2"/>
            <w:vAlign w:val="center"/>
          </w:tcPr>
          <w:p>
            <w:pPr>
              <w:pStyle w:val="5"/>
              <w:jc w:val="left"/>
              <w:rPr>
                <w:rFonts w:hAnsi="宋体"/>
                <w:color w:val="auto"/>
                <w:sz w:val="18"/>
                <w:szCs w:val="18"/>
              </w:rPr>
            </w:pPr>
            <w:r>
              <w:rPr>
                <w:rFonts w:hint="eastAsia" w:hAnsi="宋体"/>
                <w:color w:val="auto"/>
                <w:sz w:val="18"/>
                <w:szCs w:val="18"/>
              </w:rPr>
              <w:t>评标基准价计算方法</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符合最高投标限价≥最终投标价≥0.9×最终投标价的算术平均值的最终投标价进入基准价计算</w:t>
            </w:r>
          </w:p>
          <w:p>
            <w:pPr>
              <w:pStyle w:val="5"/>
              <w:ind w:right="210"/>
              <w:jc w:val="left"/>
              <w:rPr>
                <w:rFonts w:hAnsi="宋体"/>
                <w:color w:val="auto"/>
                <w:sz w:val="18"/>
                <w:szCs w:val="18"/>
                <w:u w:val="single"/>
              </w:rPr>
            </w:pPr>
            <w:r>
              <w:rPr>
                <w:rFonts w:hint="eastAsia" w:hAnsi="宋体"/>
                <w:color w:val="auto"/>
                <w:sz w:val="18"/>
                <w:szCs w:val="18"/>
              </w:rPr>
              <w:t xml:space="preserve">           </w:t>
            </w:r>
            <w:r>
              <w:rPr>
                <w:rFonts w:hint="eastAsia" w:hAnsi="宋体"/>
                <w:color w:val="auto"/>
                <w:sz w:val="18"/>
                <w:szCs w:val="18"/>
                <w:u w:val="single"/>
              </w:rPr>
              <w:t xml:space="preserve">   A1+A2+</w:t>
            </w:r>
            <w:r>
              <w:rPr>
                <w:rFonts w:hAnsi="宋体"/>
                <w:color w:val="auto"/>
                <w:sz w:val="18"/>
                <w:szCs w:val="18"/>
                <w:u w:val="single"/>
              </w:rPr>
              <w:t>……</w:t>
            </w:r>
            <w:r>
              <w:rPr>
                <w:rFonts w:hint="eastAsia" w:hAnsi="宋体"/>
                <w:color w:val="auto"/>
                <w:sz w:val="18"/>
                <w:szCs w:val="18"/>
                <w:u w:val="single"/>
              </w:rPr>
              <w:t>Ai</w:t>
            </w:r>
            <w:r>
              <w:rPr>
                <w:rFonts w:hAnsi="宋体"/>
                <w:color w:val="auto"/>
                <w:sz w:val="18"/>
                <w:szCs w:val="18"/>
                <w:u w:val="single"/>
              </w:rPr>
              <w:t>……</w:t>
            </w:r>
            <w:r>
              <w:rPr>
                <w:rFonts w:hint="eastAsia" w:hAnsi="宋体"/>
                <w:color w:val="auto"/>
                <w:sz w:val="18"/>
                <w:szCs w:val="18"/>
                <w:u w:val="single"/>
              </w:rPr>
              <w:t xml:space="preserve">An  </w:t>
            </w:r>
          </w:p>
          <w:p>
            <w:pPr>
              <w:pStyle w:val="5"/>
              <w:ind w:right="210"/>
              <w:jc w:val="left"/>
              <w:rPr>
                <w:rFonts w:hAnsi="宋体"/>
                <w:color w:val="auto"/>
                <w:sz w:val="18"/>
                <w:szCs w:val="18"/>
              </w:rPr>
            </w:pPr>
            <w:r>
              <w:rPr>
                <w:rFonts w:hint="eastAsia" w:hAnsi="宋体"/>
                <w:color w:val="auto"/>
                <w:sz w:val="18"/>
                <w:szCs w:val="18"/>
              </w:rPr>
              <w:t>基准价＝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887" w:type="dxa"/>
            <w:vAlign w:val="center"/>
          </w:tcPr>
          <w:p>
            <w:pPr>
              <w:pStyle w:val="5"/>
              <w:ind w:right="210"/>
              <w:jc w:val="center"/>
              <w:rPr>
                <w:rFonts w:hAnsi="宋体"/>
                <w:color w:val="auto"/>
                <w:sz w:val="18"/>
                <w:szCs w:val="18"/>
              </w:rPr>
            </w:pPr>
            <w:r>
              <w:rPr>
                <w:rFonts w:hint="eastAsia" w:hAnsi="宋体"/>
                <w:color w:val="auto"/>
                <w:sz w:val="18"/>
                <w:szCs w:val="18"/>
              </w:rPr>
              <w:t>2.2.3</w:t>
            </w:r>
          </w:p>
        </w:tc>
        <w:tc>
          <w:tcPr>
            <w:tcW w:w="3049" w:type="dxa"/>
            <w:gridSpan w:val="2"/>
            <w:vAlign w:val="center"/>
          </w:tcPr>
          <w:p>
            <w:pPr>
              <w:pStyle w:val="5"/>
              <w:jc w:val="left"/>
              <w:rPr>
                <w:rFonts w:hAnsi="宋体"/>
                <w:color w:val="auto"/>
                <w:sz w:val="18"/>
                <w:szCs w:val="18"/>
              </w:rPr>
            </w:pPr>
            <w:r>
              <w:rPr>
                <w:rFonts w:hint="eastAsia" w:hAnsi="宋体"/>
                <w:color w:val="auto"/>
                <w:sz w:val="18"/>
                <w:szCs w:val="18"/>
              </w:rPr>
              <w:t>投标报价的偏差率计算公式</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偏差率=100%×[(最终投标报价一评标基准价) /评标基准价]</w:t>
            </w:r>
          </w:p>
        </w:tc>
      </w:tr>
    </w:tbl>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00"/>
        <w:gridCol w:w="1849"/>
        <w:gridCol w:w="4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2087" w:type="dxa"/>
            <w:gridSpan w:val="2"/>
            <w:vAlign w:val="center"/>
          </w:tcPr>
          <w:p>
            <w:pPr>
              <w:pStyle w:val="5"/>
              <w:ind w:right="210"/>
              <w:jc w:val="center"/>
              <w:rPr>
                <w:rFonts w:hAnsi="宋体"/>
                <w:b/>
                <w:bCs/>
                <w:color w:val="auto"/>
                <w:sz w:val="18"/>
                <w:szCs w:val="18"/>
              </w:rPr>
            </w:pPr>
            <w:r>
              <w:rPr>
                <w:rFonts w:hint="eastAsia" w:hAnsi="宋体"/>
                <w:b/>
                <w:bCs/>
                <w:color w:val="auto"/>
                <w:sz w:val="18"/>
                <w:szCs w:val="18"/>
              </w:rPr>
              <w:t>条款号</w:t>
            </w:r>
          </w:p>
        </w:tc>
        <w:tc>
          <w:tcPr>
            <w:tcW w:w="1849" w:type="dxa"/>
            <w:vAlign w:val="center"/>
          </w:tcPr>
          <w:p>
            <w:pPr>
              <w:pStyle w:val="5"/>
              <w:ind w:right="210"/>
              <w:jc w:val="center"/>
              <w:rPr>
                <w:rFonts w:hAnsi="宋体"/>
                <w:color w:val="auto"/>
                <w:sz w:val="18"/>
                <w:szCs w:val="18"/>
              </w:rPr>
            </w:pPr>
            <w:r>
              <w:rPr>
                <w:rFonts w:hint="eastAsia" w:hAnsi="宋体" w:cs="宋体"/>
                <w:b/>
                <w:bCs/>
                <w:color w:val="auto"/>
                <w:sz w:val="18"/>
                <w:szCs w:val="18"/>
              </w:rPr>
              <w:t>评审因素</w:t>
            </w:r>
          </w:p>
        </w:tc>
        <w:tc>
          <w:tcPr>
            <w:tcW w:w="4883" w:type="dxa"/>
            <w:vAlign w:val="center"/>
          </w:tcPr>
          <w:p>
            <w:pPr>
              <w:pStyle w:val="5"/>
              <w:ind w:right="210"/>
              <w:jc w:val="center"/>
              <w:rPr>
                <w:rFonts w:hAnsi="宋体"/>
                <w:color w:val="auto"/>
                <w:sz w:val="18"/>
                <w:szCs w:val="18"/>
              </w:rPr>
            </w:pPr>
            <w:r>
              <w:rPr>
                <w:rFonts w:hint="eastAsia" w:hAnsi="宋体"/>
                <w:b/>
                <w:bCs/>
                <w:color w:val="auto"/>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restart"/>
            <w:vAlign w:val="center"/>
          </w:tcPr>
          <w:p>
            <w:pPr>
              <w:pStyle w:val="5"/>
              <w:ind w:right="210"/>
              <w:jc w:val="center"/>
              <w:rPr>
                <w:rFonts w:hAnsi="宋体"/>
                <w:color w:val="auto"/>
                <w:sz w:val="18"/>
                <w:szCs w:val="18"/>
              </w:rPr>
            </w:pPr>
            <w:r>
              <w:rPr>
                <w:rFonts w:hint="eastAsia" w:hAnsi="宋体"/>
                <w:color w:val="auto"/>
                <w:sz w:val="18"/>
                <w:szCs w:val="18"/>
              </w:rPr>
              <w:t>2.2.4</w:t>
            </w:r>
          </w:p>
          <w:p>
            <w:pPr>
              <w:pStyle w:val="5"/>
              <w:ind w:right="210"/>
              <w:jc w:val="center"/>
              <w:rPr>
                <w:rFonts w:hAnsi="宋体"/>
                <w:color w:val="auto"/>
                <w:sz w:val="18"/>
                <w:szCs w:val="18"/>
              </w:rPr>
            </w:pPr>
            <w:r>
              <w:rPr>
                <w:rFonts w:hint="eastAsia" w:hAnsi="宋体"/>
                <w:color w:val="auto"/>
                <w:sz w:val="18"/>
                <w:szCs w:val="18"/>
              </w:rPr>
              <w:t>（1）</w:t>
            </w:r>
          </w:p>
        </w:tc>
        <w:tc>
          <w:tcPr>
            <w:tcW w:w="1200" w:type="dxa"/>
            <w:vMerge w:val="restart"/>
            <w:vAlign w:val="center"/>
          </w:tcPr>
          <w:p>
            <w:pPr>
              <w:autoSpaceDE w:val="0"/>
              <w:autoSpaceDN w:val="0"/>
              <w:adjustRightInd w:val="0"/>
              <w:spacing w:line="280" w:lineRule="exact"/>
              <w:jc w:val="center"/>
              <w:rPr>
                <w:rFonts w:hAnsi="宋体"/>
                <w:color w:val="auto"/>
                <w:sz w:val="18"/>
                <w:szCs w:val="18"/>
              </w:rPr>
            </w:pPr>
            <w:r>
              <w:rPr>
                <w:rFonts w:hint="eastAsia" w:hAnsi="宋体"/>
                <w:color w:val="auto"/>
                <w:sz w:val="18"/>
                <w:szCs w:val="18"/>
              </w:rPr>
              <w:t>企业资信</w:t>
            </w:r>
          </w:p>
          <w:p>
            <w:pPr>
              <w:autoSpaceDE w:val="0"/>
              <w:autoSpaceDN w:val="0"/>
              <w:adjustRightInd w:val="0"/>
              <w:spacing w:line="280" w:lineRule="exact"/>
              <w:jc w:val="center"/>
              <w:rPr>
                <w:rFonts w:hAnsi="宋体"/>
                <w:color w:val="auto"/>
                <w:sz w:val="18"/>
                <w:szCs w:val="18"/>
              </w:rPr>
            </w:pPr>
            <w:r>
              <w:rPr>
                <w:rFonts w:hint="eastAsia" w:hAnsi="宋体"/>
                <w:color w:val="auto"/>
                <w:sz w:val="18"/>
                <w:szCs w:val="18"/>
              </w:rPr>
              <w:t>评审标准</w:t>
            </w:r>
          </w:p>
        </w:tc>
        <w:tc>
          <w:tcPr>
            <w:tcW w:w="1849" w:type="dxa"/>
            <w:vAlign w:val="center"/>
          </w:tcPr>
          <w:p>
            <w:pPr>
              <w:pStyle w:val="5"/>
              <w:jc w:val="left"/>
              <w:rPr>
                <w:rFonts w:hAnsi="宋体"/>
                <w:color w:val="auto"/>
                <w:sz w:val="18"/>
                <w:szCs w:val="18"/>
              </w:rPr>
            </w:pPr>
            <w:r>
              <w:rPr>
                <w:rFonts w:hint="eastAsia" w:hAnsi="宋体"/>
                <w:color w:val="auto"/>
                <w:sz w:val="18"/>
                <w:szCs w:val="18"/>
              </w:rPr>
              <w:t>注册资本</w:t>
            </w:r>
          </w:p>
        </w:tc>
        <w:tc>
          <w:tcPr>
            <w:tcW w:w="4883" w:type="dxa"/>
            <w:vMerge w:val="restart"/>
            <w:vAlign w:val="center"/>
          </w:tcPr>
          <w:p>
            <w:pPr>
              <w:pStyle w:val="5"/>
              <w:ind w:right="210"/>
              <w:jc w:val="left"/>
              <w:rPr>
                <w:rFonts w:hAnsi="宋体"/>
                <w:color w:val="auto"/>
                <w:sz w:val="18"/>
                <w:szCs w:val="18"/>
              </w:rPr>
            </w:pPr>
            <w:r>
              <w:rPr>
                <w:rFonts w:hint="eastAsia" w:hAnsi="宋体"/>
                <w:color w:val="auto"/>
                <w:sz w:val="18"/>
                <w:szCs w:val="18"/>
              </w:rPr>
              <w:t>祥见本章附表3－1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autoSpaceDE w:val="0"/>
              <w:autoSpaceDN w:val="0"/>
              <w:adjustRightInd w:val="0"/>
              <w:spacing w:line="280" w:lineRule="exact"/>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企业资质</w:t>
            </w:r>
          </w:p>
        </w:tc>
        <w:tc>
          <w:tcPr>
            <w:tcW w:w="4883" w:type="dxa"/>
            <w:vMerge w:val="continue"/>
            <w:vAlign w:val="center"/>
          </w:tcPr>
          <w:p>
            <w:pPr>
              <w:pStyle w:val="5"/>
              <w:ind w:right="210"/>
              <w:jc w:val="left"/>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87" w:type="dxa"/>
            <w:vMerge w:val="continue"/>
            <w:vAlign w:val="center"/>
          </w:tcPr>
          <w:p>
            <w:pPr>
              <w:pStyle w:val="5"/>
              <w:ind w:right="210"/>
              <w:jc w:val="center"/>
              <w:rPr>
                <w:rFonts w:hAnsi="宋体"/>
                <w:color w:val="auto"/>
                <w:sz w:val="18"/>
                <w:szCs w:val="18"/>
              </w:rPr>
            </w:pPr>
          </w:p>
        </w:tc>
        <w:tc>
          <w:tcPr>
            <w:tcW w:w="1200" w:type="dxa"/>
            <w:vMerge w:val="continue"/>
            <w:vAlign w:val="center"/>
          </w:tcPr>
          <w:p>
            <w:pPr>
              <w:pStyle w:val="5"/>
              <w:jc w:val="center"/>
              <w:rPr>
                <w:rFonts w:hAnsi="宋体"/>
                <w:color w:val="auto"/>
                <w:sz w:val="18"/>
                <w:szCs w:val="18"/>
              </w:rPr>
            </w:pPr>
          </w:p>
        </w:tc>
        <w:tc>
          <w:tcPr>
            <w:tcW w:w="1849" w:type="dxa"/>
            <w:vAlign w:val="center"/>
          </w:tcPr>
          <w:p>
            <w:pPr>
              <w:pStyle w:val="5"/>
              <w:jc w:val="left"/>
              <w:rPr>
                <w:rFonts w:hAnsi="宋体"/>
                <w:color w:val="auto"/>
                <w:sz w:val="18"/>
                <w:szCs w:val="18"/>
              </w:rPr>
            </w:pPr>
            <w:r>
              <w:rPr>
                <w:rFonts w:hint="eastAsia" w:hAnsi="宋体"/>
                <w:color w:val="auto"/>
                <w:sz w:val="18"/>
                <w:szCs w:val="18"/>
              </w:rPr>
              <w:t>业绩和管理经验</w:t>
            </w:r>
          </w:p>
        </w:tc>
        <w:tc>
          <w:tcPr>
            <w:tcW w:w="4883" w:type="dxa"/>
            <w:vMerge w:val="continue"/>
            <w:vAlign w:val="center"/>
          </w:tcPr>
          <w:p>
            <w:pPr>
              <w:pStyle w:val="5"/>
              <w:ind w:right="210"/>
              <w:jc w:val="left"/>
              <w:rPr>
                <w:rFonts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87" w:type="dxa"/>
            <w:vAlign w:val="center"/>
          </w:tcPr>
          <w:p>
            <w:pPr>
              <w:pStyle w:val="5"/>
              <w:ind w:right="210"/>
              <w:jc w:val="center"/>
              <w:rPr>
                <w:rFonts w:hAnsi="宋体"/>
                <w:color w:val="auto"/>
                <w:sz w:val="18"/>
                <w:szCs w:val="18"/>
              </w:rPr>
            </w:pPr>
            <w:r>
              <w:rPr>
                <w:rFonts w:hint="eastAsia" w:hAnsi="宋体"/>
                <w:color w:val="auto"/>
                <w:sz w:val="18"/>
                <w:szCs w:val="18"/>
              </w:rPr>
              <w:t>2.2.4</w:t>
            </w:r>
          </w:p>
          <w:p>
            <w:pPr>
              <w:pStyle w:val="5"/>
              <w:ind w:right="210"/>
              <w:jc w:val="center"/>
              <w:rPr>
                <w:rFonts w:hAnsi="宋体"/>
                <w:color w:val="auto"/>
                <w:sz w:val="18"/>
                <w:szCs w:val="18"/>
              </w:rPr>
            </w:pPr>
            <w:r>
              <w:rPr>
                <w:rFonts w:hint="eastAsia" w:hAnsi="宋体"/>
                <w:color w:val="auto"/>
                <w:sz w:val="18"/>
                <w:szCs w:val="18"/>
              </w:rPr>
              <w:t>（2）</w:t>
            </w:r>
          </w:p>
        </w:tc>
        <w:tc>
          <w:tcPr>
            <w:tcW w:w="3049" w:type="dxa"/>
            <w:gridSpan w:val="2"/>
            <w:vAlign w:val="center"/>
          </w:tcPr>
          <w:p>
            <w:pPr>
              <w:pStyle w:val="5"/>
              <w:jc w:val="left"/>
              <w:rPr>
                <w:rFonts w:hAnsi="宋体"/>
                <w:color w:val="auto"/>
                <w:sz w:val="18"/>
                <w:szCs w:val="18"/>
              </w:rPr>
            </w:pPr>
            <w:r>
              <w:rPr>
                <w:rFonts w:hint="eastAsia" w:hAnsi="宋体"/>
                <w:color w:val="auto"/>
                <w:sz w:val="18"/>
                <w:szCs w:val="18"/>
              </w:rPr>
              <w:t>投标报价评分标准</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祥见本章附表3－2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87" w:type="dxa"/>
            <w:vAlign w:val="center"/>
          </w:tcPr>
          <w:p>
            <w:pPr>
              <w:pStyle w:val="5"/>
              <w:ind w:right="210"/>
              <w:jc w:val="center"/>
              <w:rPr>
                <w:rFonts w:hAnsi="宋体"/>
                <w:color w:val="auto"/>
                <w:sz w:val="18"/>
                <w:szCs w:val="18"/>
              </w:rPr>
            </w:pPr>
            <w:r>
              <w:rPr>
                <w:rFonts w:hint="eastAsia" w:hAnsi="宋体"/>
                <w:color w:val="auto"/>
                <w:sz w:val="18"/>
                <w:szCs w:val="18"/>
              </w:rPr>
              <w:t>2.2.4</w:t>
            </w:r>
          </w:p>
          <w:p>
            <w:pPr>
              <w:pStyle w:val="5"/>
              <w:ind w:right="210"/>
              <w:jc w:val="center"/>
              <w:rPr>
                <w:rFonts w:hAnsi="宋体"/>
                <w:color w:val="auto"/>
                <w:sz w:val="18"/>
                <w:szCs w:val="18"/>
              </w:rPr>
            </w:pPr>
            <w:r>
              <w:rPr>
                <w:rFonts w:hint="eastAsia" w:hAnsi="宋体"/>
                <w:color w:val="auto"/>
                <w:sz w:val="18"/>
                <w:szCs w:val="18"/>
              </w:rPr>
              <w:t>（3）</w:t>
            </w:r>
          </w:p>
        </w:tc>
        <w:tc>
          <w:tcPr>
            <w:tcW w:w="3049" w:type="dxa"/>
            <w:gridSpan w:val="2"/>
            <w:vAlign w:val="center"/>
          </w:tcPr>
          <w:p>
            <w:pPr>
              <w:pStyle w:val="5"/>
              <w:jc w:val="left"/>
              <w:rPr>
                <w:rFonts w:hAnsi="宋体"/>
                <w:color w:val="auto"/>
                <w:sz w:val="18"/>
                <w:szCs w:val="18"/>
              </w:rPr>
            </w:pPr>
            <w:r>
              <w:rPr>
                <w:rFonts w:hint="eastAsia" w:hAnsi="宋体"/>
                <w:color w:val="auto"/>
                <w:sz w:val="18"/>
                <w:szCs w:val="18"/>
              </w:rPr>
              <w:t>技术标评分标准</w:t>
            </w:r>
          </w:p>
        </w:tc>
        <w:tc>
          <w:tcPr>
            <w:tcW w:w="4883" w:type="dxa"/>
            <w:vAlign w:val="center"/>
          </w:tcPr>
          <w:p>
            <w:pPr>
              <w:pStyle w:val="5"/>
              <w:ind w:right="210"/>
              <w:jc w:val="left"/>
              <w:rPr>
                <w:rFonts w:hAnsi="宋体"/>
                <w:color w:val="auto"/>
                <w:sz w:val="18"/>
                <w:szCs w:val="18"/>
              </w:rPr>
            </w:pPr>
            <w:r>
              <w:rPr>
                <w:rFonts w:hint="eastAsia" w:hAnsi="宋体"/>
                <w:color w:val="auto"/>
                <w:sz w:val="18"/>
                <w:szCs w:val="18"/>
              </w:rPr>
              <w:t>祥见本章附表3－3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3936" w:type="dxa"/>
            <w:gridSpan w:val="3"/>
            <w:tcBorders>
              <w:top w:val="single" w:color="auto" w:sz="4" w:space="0"/>
              <w:left w:val="single" w:color="auto" w:sz="4" w:space="0"/>
              <w:bottom w:val="single" w:color="auto" w:sz="4" w:space="0"/>
              <w:right w:val="single" w:color="auto" w:sz="4" w:space="0"/>
            </w:tcBorders>
            <w:vAlign w:val="center"/>
          </w:tcPr>
          <w:p>
            <w:pPr>
              <w:pStyle w:val="5"/>
              <w:jc w:val="center"/>
              <w:rPr>
                <w:rFonts w:hAnsi="宋体"/>
                <w:b/>
                <w:color w:val="auto"/>
                <w:sz w:val="18"/>
                <w:szCs w:val="18"/>
              </w:rPr>
            </w:pPr>
            <w:r>
              <w:rPr>
                <w:rFonts w:hint="eastAsia" w:hAnsi="宋体"/>
                <w:b/>
                <w:color w:val="auto"/>
                <w:sz w:val="18"/>
                <w:szCs w:val="18"/>
              </w:rPr>
              <w:t>条款号</w:t>
            </w:r>
          </w:p>
        </w:tc>
        <w:tc>
          <w:tcPr>
            <w:tcW w:w="4883" w:type="dxa"/>
            <w:tcBorders>
              <w:top w:val="single" w:color="auto" w:sz="4" w:space="0"/>
              <w:left w:val="single" w:color="auto" w:sz="4" w:space="0"/>
              <w:bottom w:val="single" w:color="auto" w:sz="4" w:space="0"/>
              <w:right w:val="single" w:color="auto" w:sz="4" w:space="0"/>
            </w:tcBorders>
            <w:vAlign w:val="center"/>
          </w:tcPr>
          <w:p>
            <w:pPr>
              <w:pStyle w:val="5"/>
              <w:ind w:right="210"/>
              <w:jc w:val="center"/>
              <w:rPr>
                <w:rFonts w:hAnsi="宋体"/>
                <w:b/>
                <w:color w:val="auto"/>
                <w:sz w:val="18"/>
                <w:szCs w:val="18"/>
              </w:rPr>
            </w:pPr>
            <w:r>
              <w:rPr>
                <w:rFonts w:hint="eastAsia" w:hAnsi="宋体"/>
                <w:b/>
                <w:color w:val="auto"/>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87" w:type="dxa"/>
            <w:tcBorders>
              <w:top w:val="single" w:color="auto" w:sz="4" w:space="0"/>
              <w:left w:val="single" w:color="auto" w:sz="4" w:space="0"/>
              <w:bottom w:val="single" w:color="auto" w:sz="4" w:space="0"/>
              <w:right w:val="single" w:color="auto" w:sz="4" w:space="0"/>
            </w:tcBorders>
            <w:vAlign w:val="center"/>
          </w:tcPr>
          <w:p>
            <w:pPr>
              <w:pStyle w:val="5"/>
              <w:ind w:right="210"/>
              <w:jc w:val="center"/>
              <w:rPr>
                <w:rFonts w:hAnsi="宋体"/>
                <w:color w:val="auto"/>
                <w:sz w:val="18"/>
                <w:szCs w:val="18"/>
              </w:rPr>
            </w:pPr>
            <w:r>
              <w:rPr>
                <w:rFonts w:hint="eastAsia" w:hAnsi="宋体"/>
                <w:color w:val="auto"/>
                <w:sz w:val="18"/>
                <w:szCs w:val="18"/>
              </w:rPr>
              <w:t>3</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pStyle w:val="5"/>
              <w:jc w:val="left"/>
              <w:rPr>
                <w:rFonts w:hAnsi="宋体"/>
                <w:color w:val="auto"/>
                <w:sz w:val="18"/>
                <w:szCs w:val="18"/>
              </w:rPr>
            </w:pPr>
            <w:r>
              <w:rPr>
                <w:rFonts w:hint="eastAsia" w:hAnsi="宋体"/>
                <w:color w:val="auto"/>
                <w:sz w:val="18"/>
                <w:szCs w:val="18"/>
              </w:rPr>
              <w:t>评标程序</w:t>
            </w:r>
          </w:p>
        </w:tc>
        <w:tc>
          <w:tcPr>
            <w:tcW w:w="4883" w:type="dxa"/>
            <w:tcBorders>
              <w:top w:val="single" w:color="auto" w:sz="4" w:space="0"/>
              <w:left w:val="single" w:color="auto" w:sz="4" w:space="0"/>
              <w:bottom w:val="single" w:color="auto" w:sz="4" w:space="0"/>
              <w:right w:val="single" w:color="auto" w:sz="4" w:space="0"/>
            </w:tcBorders>
            <w:vAlign w:val="center"/>
          </w:tcPr>
          <w:p>
            <w:pPr>
              <w:pStyle w:val="5"/>
              <w:ind w:right="210"/>
              <w:jc w:val="left"/>
              <w:rPr>
                <w:rFonts w:hAnsi="宋体"/>
                <w:color w:val="auto"/>
                <w:sz w:val="18"/>
                <w:szCs w:val="18"/>
              </w:rPr>
            </w:pPr>
            <w:r>
              <w:rPr>
                <w:rFonts w:hint="eastAsia" w:hAnsi="宋体"/>
                <w:color w:val="auto"/>
                <w:sz w:val="18"/>
                <w:szCs w:val="18"/>
              </w:rPr>
              <w:t>详见本意附件3-A：评标详细程序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87" w:type="dxa"/>
            <w:tcBorders>
              <w:top w:val="single" w:color="auto" w:sz="4" w:space="0"/>
              <w:left w:val="single" w:color="auto" w:sz="4" w:space="0"/>
              <w:bottom w:val="single" w:color="auto" w:sz="4" w:space="0"/>
              <w:right w:val="single" w:color="auto" w:sz="4" w:space="0"/>
            </w:tcBorders>
            <w:vAlign w:val="center"/>
          </w:tcPr>
          <w:p>
            <w:pPr>
              <w:pStyle w:val="5"/>
              <w:ind w:right="210"/>
              <w:jc w:val="center"/>
              <w:rPr>
                <w:rFonts w:hAnsi="宋体"/>
                <w:color w:val="auto"/>
                <w:sz w:val="18"/>
                <w:szCs w:val="18"/>
              </w:rPr>
            </w:pPr>
            <w:r>
              <w:rPr>
                <w:rFonts w:hint="eastAsia" w:hAnsi="宋体"/>
                <w:color w:val="auto"/>
                <w:sz w:val="18"/>
                <w:szCs w:val="18"/>
              </w:rPr>
              <w:t>3.1.2</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pStyle w:val="5"/>
              <w:jc w:val="left"/>
              <w:rPr>
                <w:rFonts w:hAnsi="宋体"/>
                <w:color w:val="auto"/>
                <w:sz w:val="18"/>
                <w:szCs w:val="18"/>
              </w:rPr>
            </w:pPr>
            <w:r>
              <w:rPr>
                <w:rFonts w:hint="eastAsia" w:hAnsi="宋体"/>
                <w:color w:val="auto"/>
                <w:sz w:val="18"/>
                <w:szCs w:val="18"/>
              </w:rPr>
              <w:t>废标条件</w:t>
            </w:r>
          </w:p>
        </w:tc>
        <w:tc>
          <w:tcPr>
            <w:tcW w:w="4883" w:type="dxa"/>
            <w:tcBorders>
              <w:top w:val="single" w:color="auto" w:sz="4" w:space="0"/>
              <w:left w:val="single" w:color="auto" w:sz="4" w:space="0"/>
              <w:bottom w:val="single" w:color="auto" w:sz="4" w:space="0"/>
              <w:right w:val="single" w:color="auto" w:sz="4" w:space="0"/>
            </w:tcBorders>
            <w:vAlign w:val="center"/>
          </w:tcPr>
          <w:p>
            <w:pPr>
              <w:pStyle w:val="5"/>
              <w:ind w:right="210"/>
              <w:jc w:val="left"/>
              <w:rPr>
                <w:rFonts w:hAnsi="宋体"/>
                <w:color w:val="auto"/>
                <w:sz w:val="18"/>
                <w:szCs w:val="18"/>
              </w:rPr>
            </w:pPr>
            <w:r>
              <w:rPr>
                <w:rFonts w:hint="eastAsia" w:hAnsi="宋体"/>
                <w:color w:val="auto"/>
                <w:sz w:val="18"/>
                <w:szCs w:val="18"/>
              </w:rPr>
              <w:t>详见本章附件3-B：废标条件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887" w:type="dxa"/>
            <w:tcBorders>
              <w:top w:val="single" w:color="auto" w:sz="4" w:space="0"/>
              <w:left w:val="single" w:color="auto" w:sz="4" w:space="0"/>
              <w:bottom w:val="single" w:color="auto" w:sz="4" w:space="0"/>
              <w:right w:val="single" w:color="auto" w:sz="4" w:space="0"/>
            </w:tcBorders>
            <w:vAlign w:val="center"/>
          </w:tcPr>
          <w:p>
            <w:pPr>
              <w:pStyle w:val="5"/>
              <w:ind w:right="210"/>
              <w:jc w:val="center"/>
              <w:rPr>
                <w:rFonts w:hAnsi="宋体"/>
                <w:color w:val="auto"/>
                <w:sz w:val="18"/>
                <w:szCs w:val="18"/>
              </w:rPr>
            </w:pPr>
            <w:r>
              <w:rPr>
                <w:rFonts w:hint="eastAsia" w:hAnsi="宋体"/>
                <w:color w:val="auto"/>
                <w:sz w:val="18"/>
                <w:szCs w:val="18"/>
              </w:rPr>
              <w:t>3.2.2</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pStyle w:val="5"/>
              <w:jc w:val="left"/>
              <w:rPr>
                <w:rFonts w:hAnsi="宋体"/>
                <w:color w:val="auto"/>
                <w:sz w:val="18"/>
                <w:szCs w:val="18"/>
              </w:rPr>
            </w:pPr>
            <w:r>
              <w:rPr>
                <w:rFonts w:hint="eastAsia" w:hAnsi="宋体"/>
                <w:color w:val="auto"/>
                <w:sz w:val="18"/>
                <w:szCs w:val="18"/>
              </w:rPr>
              <w:t>判断投标报价是否低于其成本</w:t>
            </w:r>
          </w:p>
        </w:tc>
        <w:tc>
          <w:tcPr>
            <w:tcW w:w="4883" w:type="dxa"/>
            <w:tcBorders>
              <w:top w:val="single" w:color="auto" w:sz="4" w:space="0"/>
              <w:left w:val="single" w:color="auto" w:sz="4" w:space="0"/>
              <w:bottom w:val="single" w:color="auto" w:sz="4" w:space="0"/>
              <w:right w:val="single" w:color="auto" w:sz="4" w:space="0"/>
            </w:tcBorders>
            <w:vAlign w:val="center"/>
          </w:tcPr>
          <w:p>
            <w:pPr>
              <w:pStyle w:val="5"/>
              <w:ind w:right="210"/>
              <w:jc w:val="left"/>
              <w:rPr>
                <w:rFonts w:hAnsi="宋体"/>
                <w:color w:val="auto"/>
                <w:sz w:val="18"/>
                <w:szCs w:val="18"/>
              </w:rPr>
            </w:pPr>
            <w:r>
              <w:rPr>
                <w:rFonts w:hint="eastAsia" w:hAnsi="宋体"/>
                <w:color w:val="auto"/>
                <w:sz w:val="18"/>
                <w:szCs w:val="18"/>
              </w:rPr>
              <w:t>详见本章附件3-C：投标人成本评审办法</w:t>
            </w:r>
          </w:p>
        </w:tc>
      </w:tr>
    </w:tbl>
    <w:p>
      <w:pPr>
        <w:jc w:val="center"/>
        <w:rPr>
          <w:rFonts w:hint="eastAsia"/>
          <w:b/>
          <w:bCs/>
          <w:color w:val="auto"/>
          <w:sz w:val="32"/>
          <w:szCs w:val="32"/>
        </w:rPr>
      </w:pPr>
    </w:p>
    <w:p>
      <w:pPr>
        <w:jc w:val="center"/>
        <w:rPr>
          <w:b/>
          <w:bCs/>
          <w:color w:val="auto"/>
          <w:sz w:val="32"/>
          <w:szCs w:val="32"/>
        </w:rPr>
      </w:pPr>
      <w:r>
        <w:rPr>
          <w:rFonts w:hint="eastAsia"/>
          <w:b/>
          <w:bCs/>
          <w:color w:val="auto"/>
          <w:sz w:val="32"/>
          <w:szCs w:val="32"/>
        </w:rPr>
        <w:t>评标办法(综合评议法)正文部分</w:t>
      </w:r>
    </w:p>
    <w:p>
      <w:pPr>
        <w:jc w:val="left"/>
        <w:rPr>
          <w:b/>
          <w:bCs/>
          <w:color w:val="auto"/>
          <w:sz w:val="28"/>
          <w:szCs w:val="28"/>
        </w:rPr>
      </w:pPr>
      <w:r>
        <w:rPr>
          <w:rFonts w:hint="eastAsia"/>
          <w:b/>
          <w:bCs/>
          <w:color w:val="auto"/>
          <w:sz w:val="28"/>
          <w:szCs w:val="28"/>
        </w:rPr>
        <w:t>1.评标方法</w:t>
      </w:r>
    </w:p>
    <w:p>
      <w:pPr>
        <w:spacing w:line="360" w:lineRule="auto"/>
        <w:ind w:left="210" w:leftChars="100"/>
        <w:jc w:val="left"/>
        <w:rPr>
          <w:rFonts w:ascii="宋体" w:hAnsi="宋体"/>
          <w:color w:val="auto"/>
          <w:szCs w:val="21"/>
        </w:rPr>
      </w:pPr>
      <w:r>
        <w:rPr>
          <w:rFonts w:hint="eastAsia"/>
          <w:b/>
          <w:bCs/>
          <w:color w:val="auto"/>
          <w:sz w:val="32"/>
          <w:szCs w:val="32"/>
        </w:rPr>
        <w:t xml:space="preserve">  </w:t>
      </w:r>
      <w:r>
        <w:rPr>
          <w:rFonts w:hint="eastAsia" w:ascii="宋体" w:hAnsi="宋体"/>
          <w:color w:val="auto"/>
          <w:szCs w:val="21"/>
        </w:rPr>
        <w:t>本次评标按采用综合评估法。评标委员会对满足招标文件实质性要求的投标文件，按照本章第2.2款规定的评分标准进行打分，并按得分由高到低顺序推荐中标侯选人，或根据招标人授权直接确定中标人，但投标报价低于其成本的除外。综合评分相等时，以投标报价低的优先；投标报价也相等的，由招标人自行确定。</w:t>
      </w:r>
    </w:p>
    <w:p>
      <w:pPr>
        <w:jc w:val="left"/>
        <w:rPr>
          <w:b/>
          <w:bCs/>
          <w:color w:val="auto"/>
          <w:sz w:val="28"/>
          <w:szCs w:val="28"/>
        </w:rPr>
      </w:pPr>
      <w:r>
        <w:rPr>
          <w:rFonts w:hint="eastAsia"/>
          <w:b/>
          <w:bCs/>
          <w:color w:val="auto"/>
          <w:sz w:val="28"/>
          <w:szCs w:val="28"/>
        </w:rPr>
        <w:t>2.评审标准</w:t>
      </w:r>
    </w:p>
    <w:p>
      <w:pPr>
        <w:jc w:val="left"/>
        <w:rPr>
          <w:b/>
          <w:bCs/>
          <w:color w:val="auto"/>
          <w:sz w:val="24"/>
        </w:rPr>
      </w:pPr>
      <w:r>
        <w:rPr>
          <w:rFonts w:hint="eastAsia"/>
          <w:b/>
          <w:bCs/>
          <w:color w:val="auto"/>
          <w:sz w:val="24"/>
        </w:rPr>
        <w:t>2. 1初步评审标准</w:t>
      </w:r>
    </w:p>
    <w:p>
      <w:pPr>
        <w:spacing w:line="360" w:lineRule="auto"/>
        <w:ind w:left="210" w:leftChars="100"/>
        <w:jc w:val="left"/>
        <w:rPr>
          <w:bCs/>
          <w:color w:val="auto"/>
          <w:szCs w:val="21"/>
        </w:rPr>
      </w:pPr>
      <w:r>
        <w:rPr>
          <w:rFonts w:hint="eastAsia"/>
          <w:b/>
          <w:bCs/>
          <w:color w:val="auto"/>
          <w:sz w:val="28"/>
          <w:szCs w:val="28"/>
        </w:rPr>
        <w:t xml:space="preserve">   </w:t>
      </w:r>
      <w:r>
        <w:rPr>
          <w:rFonts w:hint="eastAsia"/>
          <w:bCs/>
          <w:color w:val="auto"/>
          <w:szCs w:val="21"/>
        </w:rPr>
        <w:t>2.1.1形式评审标准:见评标办法前附表。</w:t>
      </w:r>
    </w:p>
    <w:p>
      <w:pPr>
        <w:spacing w:line="360" w:lineRule="auto"/>
        <w:ind w:left="210" w:leftChars="100" w:firstLine="405"/>
        <w:jc w:val="left"/>
        <w:rPr>
          <w:bCs/>
          <w:color w:val="auto"/>
          <w:szCs w:val="21"/>
        </w:rPr>
      </w:pPr>
      <w:r>
        <w:rPr>
          <w:rFonts w:hint="eastAsia"/>
          <w:bCs/>
          <w:color w:val="auto"/>
          <w:szCs w:val="21"/>
        </w:rPr>
        <w:t>2.1.2资格评审标准:见评标办法前附表</w:t>
      </w:r>
    </w:p>
    <w:p>
      <w:pPr>
        <w:jc w:val="left"/>
        <w:rPr>
          <w:b/>
          <w:bCs/>
          <w:color w:val="auto"/>
          <w:sz w:val="24"/>
        </w:rPr>
      </w:pPr>
      <w:r>
        <w:rPr>
          <w:rFonts w:hint="eastAsia"/>
          <w:b/>
          <w:bCs/>
          <w:color w:val="auto"/>
          <w:sz w:val="24"/>
        </w:rPr>
        <w:t>2.2分值构成与评分标准</w:t>
      </w:r>
    </w:p>
    <w:p>
      <w:pPr>
        <w:spacing w:line="360" w:lineRule="auto"/>
        <w:ind w:left="210" w:leftChars="100"/>
        <w:jc w:val="left"/>
        <w:rPr>
          <w:bCs/>
          <w:color w:val="auto"/>
          <w:szCs w:val="21"/>
        </w:rPr>
      </w:pPr>
      <w:r>
        <w:rPr>
          <w:rFonts w:hint="eastAsia"/>
          <w:bCs/>
          <w:color w:val="auto"/>
          <w:szCs w:val="21"/>
        </w:rPr>
        <w:t xml:space="preserve">    2.2.1分值构成</w:t>
      </w:r>
    </w:p>
    <w:p>
      <w:pPr>
        <w:spacing w:line="360" w:lineRule="auto"/>
        <w:ind w:left="210" w:leftChars="100"/>
        <w:jc w:val="left"/>
        <w:rPr>
          <w:bCs/>
          <w:color w:val="auto"/>
          <w:szCs w:val="21"/>
        </w:rPr>
      </w:pPr>
      <w:r>
        <w:rPr>
          <w:rFonts w:hint="eastAsia"/>
          <w:bCs/>
          <w:color w:val="auto"/>
          <w:szCs w:val="21"/>
        </w:rPr>
        <w:t xml:space="preserve">     (1)企业资信情况：见评标办法前附表； </w:t>
      </w:r>
    </w:p>
    <w:p>
      <w:pPr>
        <w:spacing w:line="360" w:lineRule="auto"/>
        <w:ind w:left="210" w:leftChars="100" w:firstLine="525" w:firstLineChars="250"/>
        <w:jc w:val="left"/>
        <w:rPr>
          <w:bCs/>
          <w:color w:val="auto"/>
          <w:szCs w:val="21"/>
        </w:rPr>
      </w:pPr>
      <w:r>
        <w:rPr>
          <w:rFonts w:hint="eastAsia"/>
          <w:bCs/>
          <w:color w:val="auto"/>
          <w:szCs w:val="21"/>
        </w:rPr>
        <w:t>(2)投标报价：见评标办法前附表；</w:t>
      </w:r>
    </w:p>
    <w:p>
      <w:pPr>
        <w:spacing w:line="360" w:lineRule="auto"/>
        <w:ind w:left="210" w:leftChars="100" w:firstLine="525" w:firstLineChars="250"/>
        <w:jc w:val="left"/>
        <w:rPr>
          <w:bCs/>
          <w:color w:val="auto"/>
          <w:szCs w:val="21"/>
        </w:rPr>
      </w:pPr>
      <w:r>
        <w:rPr>
          <w:rFonts w:hint="eastAsia"/>
          <w:bCs/>
          <w:color w:val="auto"/>
          <w:szCs w:val="21"/>
        </w:rPr>
        <w:t>(3)技术标：见评标办法前附表。</w:t>
      </w:r>
    </w:p>
    <w:p>
      <w:pPr>
        <w:spacing w:line="360" w:lineRule="auto"/>
        <w:ind w:left="210" w:leftChars="100" w:firstLine="315" w:firstLineChars="150"/>
        <w:jc w:val="left"/>
        <w:rPr>
          <w:bCs/>
          <w:color w:val="auto"/>
          <w:szCs w:val="21"/>
        </w:rPr>
      </w:pPr>
      <w:r>
        <w:rPr>
          <w:rFonts w:hint="eastAsia"/>
          <w:bCs/>
          <w:color w:val="auto"/>
          <w:szCs w:val="21"/>
        </w:rPr>
        <w:t>2.2.2评标基准价计算</w:t>
      </w:r>
    </w:p>
    <w:p>
      <w:pPr>
        <w:spacing w:line="360" w:lineRule="auto"/>
        <w:ind w:left="210" w:leftChars="100"/>
        <w:jc w:val="left"/>
        <w:rPr>
          <w:bCs/>
          <w:color w:val="auto"/>
          <w:szCs w:val="21"/>
        </w:rPr>
      </w:pPr>
      <w:r>
        <w:rPr>
          <w:rFonts w:hint="eastAsia"/>
          <w:bCs/>
          <w:color w:val="auto"/>
          <w:szCs w:val="21"/>
        </w:rPr>
        <w:t xml:space="preserve">      评标基准价计算方法：见评标办法前附表。</w:t>
      </w:r>
    </w:p>
    <w:p>
      <w:pPr>
        <w:spacing w:line="360" w:lineRule="auto"/>
        <w:ind w:left="210" w:leftChars="100" w:firstLine="315" w:firstLineChars="150"/>
        <w:jc w:val="left"/>
        <w:rPr>
          <w:bCs/>
          <w:color w:val="auto"/>
          <w:szCs w:val="21"/>
        </w:rPr>
      </w:pPr>
      <w:r>
        <w:rPr>
          <w:rFonts w:hint="eastAsia"/>
          <w:bCs/>
          <w:color w:val="auto"/>
          <w:szCs w:val="21"/>
        </w:rPr>
        <w:t>2.2.3投标报价的偏差率计算</w:t>
      </w:r>
    </w:p>
    <w:p>
      <w:pPr>
        <w:spacing w:line="360" w:lineRule="auto"/>
        <w:ind w:left="210" w:leftChars="100"/>
        <w:jc w:val="left"/>
        <w:rPr>
          <w:bCs/>
          <w:color w:val="auto"/>
          <w:szCs w:val="21"/>
        </w:rPr>
      </w:pPr>
      <w:r>
        <w:rPr>
          <w:rFonts w:hint="eastAsia"/>
          <w:bCs/>
          <w:color w:val="auto"/>
          <w:szCs w:val="21"/>
        </w:rPr>
        <w:t xml:space="preserve">      投标报价的偏差率计算公式：见评标办法的附表。</w:t>
      </w:r>
    </w:p>
    <w:p>
      <w:pPr>
        <w:spacing w:line="360" w:lineRule="auto"/>
        <w:ind w:left="210" w:leftChars="100" w:firstLine="315" w:firstLineChars="150"/>
        <w:jc w:val="left"/>
        <w:rPr>
          <w:bCs/>
          <w:color w:val="auto"/>
          <w:szCs w:val="21"/>
        </w:rPr>
      </w:pPr>
      <w:r>
        <w:rPr>
          <w:rFonts w:hint="eastAsia"/>
          <w:bCs/>
          <w:color w:val="auto"/>
          <w:szCs w:val="21"/>
        </w:rPr>
        <w:t>2.2.4评分标准</w:t>
      </w:r>
    </w:p>
    <w:p>
      <w:pPr>
        <w:spacing w:line="360" w:lineRule="auto"/>
        <w:ind w:left="210" w:leftChars="100"/>
        <w:jc w:val="left"/>
        <w:rPr>
          <w:bCs/>
          <w:color w:val="auto"/>
          <w:szCs w:val="21"/>
        </w:rPr>
      </w:pPr>
      <w:r>
        <w:rPr>
          <w:rFonts w:hint="eastAsia"/>
          <w:bCs/>
          <w:color w:val="auto"/>
          <w:szCs w:val="21"/>
        </w:rPr>
        <w:t xml:space="preserve">    (1)企业资信情况：见评标办法前附表；</w:t>
      </w:r>
    </w:p>
    <w:p>
      <w:pPr>
        <w:spacing w:line="360" w:lineRule="auto"/>
        <w:ind w:left="210" w:leftChars="100" w:firstLine="420" w:firstLineChars="200"/>
        <w:jc w:val="left"/>
        <w:rPr>
          <w:bCs/>
          <w:color w:val="auto"/>
          <w:szCs w:val="21"/>
        </w:rPr>
      </w:pPr>
      <w:r>
        <w:rPr>
          <w:rFonts w:hint="eastAsia"/>
          <w:bCs/>
          <w:color w:val="auto"/>
          <w:szCs w:val="21"/>
        </w:rPr>
        <w:t>(2)投标报价：见评标办法前附表；</w:t>
      </w:r>
    </w:p>
    <w:p>
      <w:pPr>
        <w:spacing w:line="360" w:lineRule="auto"/>
        <w:ind w:left="210" w:leftChars="100" w:firstLine="420" w:firstLineChars="200"/>
        <w:jc w:val="left"/>
        <w:rPr>
          <w:rFonts w:ascii="宋体" w:hAnsi="宋体"/>
          <w:color w:val="auto"/>
          <w:szCs w:val="21"/>
        </w:rPr>
      </w:pPr>
      <w:r>
        <w:rPr>
          <w:rFonts w:hint="eastAsia"/>
          <w:bCs/>
          <w:color w:val="auto"/>
          <w:szCs w:val="21"/>
        </w:rPr>
        <w:t>(3)技术标：见评标办法前附表</w:t>
      </w:r>
      <w:r>
        <w:rPr>
          <w:rFonts w:hint="eastAsia" w:ascii="宋体" w:hAnsi="宋体"/>
          <w:color w:val="auto"/>
          <w:szCs w:val="21"/>
        </w:rPr>
        <w:t>。</w:t>
      </w:r>
    </w:p>
    <w:p>
      <w:pPr>
        <w:jc w:val="left"/>
        <w:rPr>
          <w:b/>
          <w:bCs/>
          <w:color w:val="auto"/>
          <w:sz w:val="28"/>
          <w:szCs w:val="28"/>
        </w:rPr>
      </w:pPr>
      <w:r>
        <w:rPr>
          <w:rFonts w:hint="eastAsia"/>
          <w:b/>
          <w:bCs/>
          <w:color w:val="auto"/>
          <w:sz w:val="28"/>
          <w:szCs w:val="28"/>
        </w:rPr>
        <w:t>3.评标程序</w:t>
      </w:r>
    </w:p>
    <w:p>
      <w:pPr>
        <w:jc w:val="left"/>
        <w:rPr>
          <w:b/>
          <w:bCs/>
          <w:color w:val="auto"/>
          <w:sz w:val="24"/>
        </w:rPr>
      </w:pPr>
      <w:r>
        <w:rPr>
          <w:rFonts w:hint="eastAsia"/>
          <w:b/>
          <w:bCs/>
          <w:color w:val="auto"/>
          <w:sz w:val="24"/>
        </w:rPr>
        <w:t>3.1初步评审</w:t>
      </w:r>
    </w:p>
    <w:p>
      <w:pPr>
        <w:spacing w:line="360" w:lineRule="auto"/>
        <w:jc w:val="left"/>
        <w:rPr>
          <w:rFonts w:ascii="宋体" w:hAnsi="宋体"/>
          <w:color w:val="auto"/>
          <w:szCs w:val="21"/>
        </w:rPr>
      </w:pPr>
      <w:r>
        <w:rPr>
          <w:rFonts w:hint="eastAsia" w:ascii="宋体" w:hAnsi="宋体"/>
          <w:color w:val="auto"/>
          <w:szCs w:val="21"/>
        </w:rPr>
        <w:t xml:space="preserve">    3.1.1评标委员会对投标人根据本文件第二章投标人须知前附表第3.1.1项规定提交的有关证明和证件的原件，进行审查核验。评标委员会依据本章第2.1款规定的标准对投标文件进行初步评审。有一项不符合评审标准的，作废标处理。</w:t>
      </w:r>
    </w:p>
    <w:p>
      <w:pPr>
        <w:spacing w:line="360" w:lineRule="auto"/>
        <w:ind w:firstLine="424" w:firstLineChars="202"/>
        <w:jc w:val="left"/>
        <w:rPr>
          <w:rFonts w:ascii="宋体" w:hAnsi="宋体"/>
          <w:color w:val="auto"/>
          <w:szCs w:val="21"/>
        </w:rPr>
      </w:pPr>
      <w:r>
        <w:rPr>
          <w:rFonts w:hint="eastAsia" w:ascii="宋体" w:hAnsi="宋体"/>
          <w:color w:val="auto"/>
          <w:szCs w:val="21"/>
        </w:rPr>
        <w:t>3.1.2投标人有以下情形之一的，其投标作废标处理：</w:t>
      </w:r>
    </w:p>
    <w:p>
      <w:pPr>
        <w:spacing w:line="360" w:lineRule="auto"/>
        <w:jc w:val="left"/>
        <w:rPr>
          <w:rFonts w:ascii="宋体" w:hAnsi="宋体"/>
          <w:color w:val="auto"/>
          <w:szCs w:val="21"/>
        </w:rPr>
      </w:pPr>
      <w:r>
        <w:rPr>
          <w:rFonts w:hint="eastAsia" w:ascii="宋体" w:hAnsi="宋体"/>
          <w:color w:val="auto"/>
          <w:szCs w:val="21"/>
        </w:rPr>
        <w:t xml:space="preserve">      (1)第二章“投标人须知”第1.4.3项规定的任何一种情形的；</w:t>
      </w:r>
    </w:p>
    <w:p>
      <w:pPr>
        <w:spacing w:line="360" w:lineRule="auto"/>
        <w:ind w:firstLine="630" w:firstLineChars="300"/>
        <w:jc w:val="left"/>
        <w:rPr>
          <w:rFonts w:ascii="宋体" w:hAnsi="宋体"/>
          <w:color w:val="auto"/>
          <w:szCs w:val="21"/>
        </w:rPr>
      </w:pPr>
      <w:r>
        <w:rPr>
          <w:rFonts w:hint="eastAsia" w:ascii="宋体" w:hAnsi="宋体"/>
          <w:color w:val="auto"/>
          <w:szCs w:val="21"/>
        </w:rPr>
        <w:t>(2)以他人名义投标的；以行贿手段谋取中标的；</w:t>
      </w:r>
    </w:p>
    <w:p>
      <w:pPr>
        <w:spacing w:line="360" w:lineRule="auto"/>
        <w:ind w:firstLine="630" w:firstLineChars="300"/>
        <w:jc w:val="left"/>
        <w:rPr>
          <w:rFonts w:ascii="宋体" w:hAnsi="宋体"/>
          <w:color w:val="auto"/>
          <w:szCs w:val="21"/>
        </w:rPr>
      </w:pPr>
      <w:r>
        <w:rPr>
          <w:rFonts w:hint="eastAsia" w:ascii="宋体" w:hAnsi="宋体"/>
          <w:color w:val="auto"/>
          <w:szCs w:val="21"/>
        </w:rPr>
        <w:t>(3)串通投标或弄虚作假或有其他违法行为的；</w:t>
      </w:r>
    </w:p>
    <w:p>
      <w:pPr>
        <w:spacing w:line="360" w:lineRule="auto"/>
        <w:ind w:firstLine="630" w:firstLineChars="300"/>
        <w:jc w:val="left"/>
        <w:rPr>
          <w:rFonts w:ascii="宋体" w:hAnsi="宋体"/>
          <w:color w:val="auto"/>
          <w:szCs w:val="21"/>
        </w:rPr>
      </w:pPr>
      <w:r>
        <w:rPr>
          <w:rFonts w:hint="eastAsia" w:ascii="宋体" w:hAnsi="宋体"/>
          <w:color w:val="auto"/>
          <w:szCs w:val="21"/>
        </w:rPr>
        <w:t>(4)不按评标委员会要求澄清、说明或补正的。</w:t>
      </w:r>
    </w:p>
    <w:p>
      <w:pPr>
        <w:spacing w:line="360" w:lineRule="auto"/>
        <w:jc w:val="left"/>
        <w:rPr>
          <w:rFonts w:ascii="宋体" w:hAnsi="宋体"/>
          <w:color w:val="auto"/>
          <w:szCs w:val="21"/>
        </w:rPr>
      </w:pPr>
      <w:r>
        <w:rPr>
          <w:rFonts w:hint="eastAsia" w:ascii="宋体" w:hAnsi="宋体"/>
          <w:color w:val="auto"/>
          <w:szCs w:val="21"/>
        </w:rPr>
        <w:t xml:space="preserve">    3.1.3评标委员会检查投标人投标报价是否有算术错误，算术性错误分析和修正按以下原则进行，修正的价格经投标人书面确认后具有约束力。投标人不接受修正价格的，其投标作废标处理。</w:t>
      </w:r>
    </w:p>
    <w:p>
      <w:pPr>
        <w:spacing w:line="360" w:lineRule="auto"/>
        <w:jc w:val="left"/>
        <w:rPr>
          <w:rFonts w:ascii="宋体" w:hAnsi="宋体"/>
          <w:color w:val="auto"/>
          <w:szCs w:val="21"/>
        </w:rPr>
      </w:pPr>
      <w:r>
        <w:rPr>
          <w:rFonts w:hint="eastAsia" w:ascii="宋体" w:hAnsi="宋体"/>
          <w:color w:val="auto"/>
          <w:szCs w:val="21"/>
        </w:rPr>
        <w:t xml:space="preserve">      (1)投标文件中的大写金额与小写金额不一致的，以大写金额为准；</w:t>
      </w:r>
    </w:p>
    <w:p>
      <w:pPr>
        <w:spacing w:line="360" w:lineRule="auto"/>
        <w:jc w:val="left"/>
        <w:rPr>
          <w:rFonts w:ascii="宋体" w:hAnsi="宋体"/>
          <w:color w:val="auto"/>
          <w:szCs w:val="21"/>
        </w:rPr>
      </w:pPr>
      <w:r>
        <w:rPr>
          <w:rFonts w:hint="eastAsia" w:ascii="宋体" w:hAnsi="宋体"/>
          <w:color w:val="auto"/>
          <w:szCs w:val="21"/>
        </w:rPr>
        <w:t xml:space="preserve">      (2)总价金额与依据单价计算出的结果不一致的，以单价金额为准修正总价，但单价金额小数点有明显错误的除外。</w:t>
      </w:r>
    </w:p>
    <w:p>
      <w:pPr>
        <w:jc w:val="left"/>
        <w:rPr>
          <w:b/>
          <w:bCs/>
          <w:color w:val="auto"/>
          <w:sz w:val="24"/>
        </w:rPr>
      </w:pPr>
      <w:r>
        <w:rPr>
          <w:rFonts w:hint="eastAsia"/>
          <w:b/>
          <w:bCs/>
          <w:color w:val="auto"/>
          <w:sz w:val="24"/>
        </w:rPr>
        <w:t>3.2详细评审</w:t>
      </w:r>
    </w:p>
    <w:p>
      <w:pPr>
        <w:spacing w:line="360" w:lineRule="auto"/>
        <w:ind w:firstLine="420"/>
        <w:jc w:val="left"/>
        <w:rPr>
          <w:rFonts w:ascii="宋体" w:hAnsi="宋体"/>
          <w:color w:val="auto"/>
          <w:szCs w:val="21"/>
        </w:rPr>
      </w:pPr>
      <w:r>
        <w:rPr>
          <w:rFonts w:hint="eastAsia" w:ascii="宋体" w:hAnsi="宋体"/>
          <w:color w:val="auto"/>
          <w:szCs w:val="21"/>
        </w:rPr>
        <w:t>3.2.1评标委员会按本章第2.2款规定的量化因素和分值进行打分，并计算出综合评估得分。</w:t>
      </w:r>
    </w:p>
    <w:p>
      <w:pPr>
        <w:spacing w:line="360" w:lineRule="auto"/>
        <w:ind w:firstLine="420"/>
        <w:jc w:val="left"/>
        <w:rPr>
          <w:rFonts w:ascii="宋体" w:hAnsi="宋体"/>
          <w:color w:val="auto"/>
          <w:szCs w:val="21"/>
        </w:rPr>
      </w:pPr>
      <w:r>
        <w:rPr>
          <w:rFonts w:hint="eastAsia" w:ascii="宋体" w:hAnsi="宋体"/>
          <w:color w:val="auto"/>
          <w:szCs w:val="21"/>
        </w:rPr>
        <w:t>(1)按本章第2.2.4 (3)目规定的评审因素和分值对技术标评分；</w:t>
      </w:r>
    </w:p>
    <w:p>
      <w:pPr>
        <w:spacing w:line="360" w:lineRule="auto"/>
        <w:ind w:firstLine="420"/>
        <w:jc w:val="left"/>
        <w:rPr>
          <w:rFonts w:ascii="宋体" w:hAnsi="宋体"/>
          <w:color w:val="auto"/>
          <w:szCs w:val="21"/>
        </w:rPr>
      </w:pPr>
      <w:r>
        <w:rPr>
          <w:rFonts w:hint="eastAsia" w:ascii="宋体" w:hAnsi="宋体"/>
          <w:color w:val="auto"/>
          <w:szCs w:val="21"/>
        </w:rPr>
        <w:t>(2)按本章第2.2.4 (1)目规定的评审因素和分值对企业资信评分；</w:t>
      </w:r>
    </w:p>
    <w:p>
      <w:pPr>
        <w:spacing w:line="360" w:lineRule="auto"/>
        <w:ind w:firstLine="420"/>
        <w:jc w:val="left"/>
        <w:rPr>
          <w:rFonts w:ascii="宋体" w:hAnsi="宋体"/>
          <w:color w:val="auto"/>
          <w:szCs w:val="21"/>
        </w:rPr>
      </w:pPr>
      <w:r>
        <w:rPr>
          <w:rFonts w:hint="eastAsia" w:ascii="宋体" w:hAnsi="宋体"/>
          <w:color w:val="auto"/>
          <w:szCs w:val="21"/>
        </w:rPr>
        <w:t>(3)按本章第2.2.4 (2)目规定的评中因素和分值对投标报价评分；</w:t>
      </w:r>
    </w:p>
    <w:p>
      <w:pPr>
        <w:spacing w:line="360" w:lineRule="auto"/>
        <w:ind w:firstLine="420"/>
        <w:jc w:val="left"/>
        <w:rPr>
          <w:rFonts w:ascii="宋体" w:hAnsi="宋体"/>
          <w:color w:val="auto"/>
          <w:szCs w:val="21"/>
        </w:rPr>
      </w:pPr>
      <w:r>
        <w:rPr>
          <w:rFonts w:hint="eastAsia" w:ascii="宋体" w:hAnsi="宋体"/>
          <w:color w:val="auto"/>
          <w:szCs w:val="21"/>
        </w:rPr>
        <w:t>3.2.2评分分值计算保留小数点后两位，小数点后第三位“四舍五入”。</w:t>
      </w:r>
    </w:p>
    <w:p>
      <w:pPr>
        <w:spacing w:line="360" w:lineRule="auto"/>
        <w:ind w:firstLine="420"/>
        <w:jc w:val="left"/>
        <w:rPr>
          <w:rFonts w:ascii="宋体" w:hAnsi="宋体"/>
          <w:color w:val="auto"/>
          <w:szCs w:val="21"/>
        </w:rPr>
      </w:pPr>
      <w:r>
        <w:rPr>
          <w:rFonts w:hint="eastAsia" w:ascii="宋体" w:hAnsi="宋体"/>
          <w:color w:val="auto"/>
          <w:szCs w:val="21"/>
        </w:rPr>
        <w:t>3.2.3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jc w:val="left"/>
        <w:rPr>
          <w:b/>
          <w:bCs/>
          <w:color w:val="auto"/>
          <w:sz w:val="24"/>
        </w:rPr>
      </w:pPr>
      <w:r>
        <w:rPr>
          <w:rFonts w:hint="eastAsia"/>
          <w:b/>
          <w:bCs/>
          <w:color w:val="auto"/>
          <w:sz w:val="24"/>
        </w:rPr>
        <w:t>3.3投标文件的澄清和补正</w:t>
      </w:r>
    </w:p>
    <w:p>
      <w:pPr>
        <w:spacing w:line="360" w:lineRule="auto"/>
        <w:ind w:firstLine="420"/>
        <w:jc w:val="left"/>
        <w:rPr>
          <w:rFonts w:ascii="宋体" w:hAnsi="宋体"/>
          <w:color w:val="auto"/>
          <w:szCs w:val="21"/>
        </w:rPr>
      </w:pPr>
      <w:r>
        <w:rPr>
          <w:rFonts w:hint="eastAsia" w:ascii="宋体" w:hAnsi="宋体"/>
          <w:color w:val="auto"/>
          <w:szCs w:val="21"/>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jc w:val="left"/>
        <w:rPr>
          <w:rFonts w:ascii="宋体" w:hAnsi="宋体"/>
          <w:color w:val="auto"/>
          <w:szCs w:val="21"/>
        </w:rPr>
      </w:pPr>
      <w:r>
        <w:rPr>
          <w:rFonts w:hint="eastAsia" w:ascii="宋体" w:hAnsi="宋体"/>
          <w:color w:val="auto"/>
          <w:szCs w:val="21"/>
        </w:rPr>
        <w:t>3.3.2澄清、说明和补正不得改变投标文件的实质性内容(算术性错误修正的除外)。投标人的书面澄清、说明和补正属于投标文件的组成部分。</w:t>
      </w:r>
    </w:p>
    <w:p>
      <w:pPr>
        <w:spacing w:line="360" w:lineRule="auto"/>
        <w:ind w:firstLine="420"/>
        <w:jc w:val="left"/>
        <w:rPr>
          <w:rFonts w:ascii="宋体" w:hAnsi="宋体"/>
          <w:color w:val="auto"/>
          <w:szCs w:val="21"/>
        </w:rPr>
      </w:pPr>
      <w:r>
        <w:rPr>
          <w:rFonts w:hint="eastAsia" w:ascii="宋体" w:hAnsi="宋体"/>
          <w:color w:val="auto"/>
          <w:szCs w:val="21"/>
        </w:rPr>
        <w:t>3.3.3评标委员会对投标人提交的澄清、说明或补正有疑问的，可以要求投标人进一步澄清、说明或补正，直至满足评标委员会的要求。</w:t>
      </w:r>
    </w:p>
    <w:p>
      <w:pPr>
        <w:jc w:val="left"/>
        <w:rPr>
          <w:b/>
          <w:bCs/>
          <w:color w:val="auto"/>
          <w:sz w:val="24"/>
        </w:rPr>
      </w:pPr>
      <w:r>
        <w:rPr>
          <w:rFonts w:hint="eastAsia"/>
          <w:b/>
          <w:bCs/>
          <w:color w:val="auto"/>
          <w:sz w:val="24"/>
        </w:rPr>
        <w:t>3.4评标结果</w:t>
      </w:r>
    </w:p>
    <w:p>
      <w:pPr>
        <w:spacing w:line="360" w:lineRule="auto"/>
        <w:ind w:firstLine="420"/>
        <w:jc w:val="left"/>
        <w:rPr>
          <w:rFonts w:ascii="宋体" w:hAnsi="宋体"/>
          <w:color w:val="auto"/>
          <w:szCs w:val="21"/>
        </w:rPr>
      </w:pPr>
      <w:r>
        <w:rPr>
          <w:rFonts w:hint="eastAsia" w:ascii="宋体" w:hAnsi="宋体"/>
          <w:color w:val="auto"/>
          <w:szCs w:val="21"/>
        </w:rPr>
        <w:t>3.4.1除第二章“投标人须知”前附表授权直接确定中标人外，评标委员会按照得分高到低的顺序推荐中标候选人。</w:t>
      </w:r>
    </w:p>
    <w:p>
      <w:pPr>
        <w:spacing w:line="360" w:lineRule="auto"/>
        <w:ind w:firstLine="420"/>
        <w:jc w:val="left"/>
        <w:rPr>
          <w:rFonts w:ascii="宋体" w:hAnsi="宋体"/>
          <w:color w:val="auto"/>
          <w:szCs w:val="21"/>
        </w:rPr>
      </w:pPr>
      <w:r>
        <w:rPr>
          <w:rFonts w:hint="eastAsia" w:ascii="宋体" w:hAnsi="宋体"/>
          <w:color w:val="auto"/>
          <w:szCs w:val="21"/>
        </w:rPr>
        <w:t>3.4.2评标委员会完成评标后，应当向招标人提交书面评标报告。</w:t>
      </w:r>
    </w:p>
    <w:p>
      <w:pPr>
        <w:jc w:val="left"/>
        <w:rPr>
          <w:b/>
          <w:bCs/>
          <w:color w:val="auto"/>
          <w:sz w:val="24"/>
        </w:rPr>
      </w:pPr>
      <w:r>
        <w:rPr>
          <w:rFonts w:hint="eastAsia"/>
          <w:b/>
          <w:bCs/>
          <w:color w:val="auto"/>
          <w:sz w:val="24"/>
        </w:rPr>
        <w:t>3.5评标详细程序</w:t>
      </w:r>
    </w:p>
    <w:p>
      <w:pPr>
        <w:spacing w:line="360" w:lineRule="auto"/>
        <w:ind w:firstLine="420"/>
        <w:jc w:val="left"/>
        <w:rPr>
          <w:rFonts w:ascii="宋体" w:hAnsi="宋体"/>
          <w:color w:val="auto"/>
          <w:szCs w:val="21"/>
        </w:rPr>
      </w:pPr>
      <w:r>
        <w:rPr>
          <w:rFonts w:hint="eastAsia" w:ascii="宋体" w:hAnsi="宋体"/>
          <w:color w:val="auto"/>
          <w:szCs w:val="21"/>
        </w:rPr>
        <w:t>评标活动的详细程序见附件3-A。</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jc w:val="left"/>
        <w:rPr>
          <w:b/>
          <w:bCs/>
          <w:color w:val="auto"/>
          <w:sz w:val="28"/>
          <w:szCs w:val="28"/>
        </w:rPr>
      </w:pPr>
      <w:r>
        <w:rPr>
          <w:rFonts w:hint="eastAsia"/>
          <w:b/>
          <w:bCs/>
          <w:color w:val="auto"/>
          <w:sz w:val="28"/>
          <w:szCs w:val="28"/>
        </w:rPr>
        <w:t>附件3-A:评标详细程序</w:t>
      </w:r>
    </w:p>
    <w:p>
      <w:pPr>
        <w:spacing w:line="360" w:lineRule="auto"/>
        <w:jc w:val="left"/>
        <w:rPr>
          <w:rFonts w:ascii="宋体" w:hAnsi="宋体"/>
          <w:color w:val="auto"/>
          <w:szCs w:val="21"/>
        </w:rPr>
      </w:pPr>
    </w:p>
    <w:p>
      <w:pPr>
        <w:jc w:val="center"/>
        <w:rPr>
          <w:b/>
          <w:bCs/>
          <w:color w:val="auto"/>
          <w:sz w:val="28"/>
          <w:szCs w:val="28"/>
        </w:rPr>
      </w:pPr>
      <w:r>
        <w:rPr>
          <w:rFonts w:hint="eastAsia"/>
          <w:b/>
          <w:bCs/>
          <w:color w:val="auto"/>
          <w:sz w:val="28"/>
          <w:szCs w:val="28"/>
        </w:rPr>
        <w:t>评标详细程序</w:t>
      </w:r>
    </w:p>
    <w:p>
      <w:pPr>
        <w:jc w:val="left"/>
        <w:rPr>
          <w:b/>
          <w:bCs/>
          <w:color w:val="auto"/>
          <w:sz w:val="28"/>
          <w:szCs w:val="28"/>
        </w:rPr>
      </w:pPr>
      <w:r>
        <w:rPr>
          <w:rFonts w:hint="eastAsia"/>
          <w:b/>
          <w:bCs/>
          <w:color w:val="auto"/>
          <w:sz w:val="28"/>
          <w:szCs w:val="28"/>
        </w:rPr>
        <w:t>A0.总则</w:t>
      </w:r>
    </w:p>
    <w:p>
      <w:pPr>
        <w:spacing w:line="360" w:lineRule="auto"/>
        <w:ind w:firstLine="420"/>
        <w:jc w:val="left"/>
        <w:rPr>
          <w:rFonts w:ascii="宋体" w:hAnsi="宋体"/>
          <w:color w:val="auto"/>
          <w:szCs w:val="21"/>
        </w:rPr>
      </w:pPr>
      <w:r>
        <w:rPr>
          <w:rFonts w:hint="eastAsia" w:ascii="宋体" w:hAnsi="宋体"/>
          <w:color w:val="auto"/>
          <w:szCs w:val="21"/>
        </w:rPr>
        <w:t>本附件是本章“评标办法”的组成部分，是对本章第3条所规定的评标程序的进一些细化，评标委员会应当按照本附件所规定的详细程序开展并完成评标工作。</w:t>
      </w:r>
    </w:p>
    <w:p>
      <w:pPr>
        <w:jc w:val="left"/>
        <w:rPr>
          <w:b/>
          <w:bCs/>
          <w:color w:val="auto"/>
          <w:sz w:val="28"/>
          <w:szCs w:val="28"/>
        </w:rPr>
      </w:pPr>
      <w:r>
        <w:rPr>
          <w:rFonts w:hint="eastAsia"/>
          <w:b/>
          <w:bCs/>
          <w:color w:val="auto"/>
          <w:sz w:val="28"/>
          <w:szCs w:val="28"/>
        </w:rPr>
        <w:t>A1.基本程序</w:t>
      </w:r>
    </w:p>
    <w:p>
      <w:pPr>
        <w:spacing w:line="360" w:lineRule="auto"/>
        <w:ind w:firstLine="405"/>
        <w:jc w:val="left"/>
        <w:rPr>
          <w:rFonts w:ascii="宋体" w:hAnsi="宋体"/>
          <w:color w:val="auto"/>
          <w:szCs w:val="21"/>
        </w:rPr>
      </w:pPr>
      <w:r>
        <w:rPr>
          <w:rFonts w:hint="eastAsia" w:ascii="宋体" w:hAnsi="宋体"/>
          <w:color w:val="auto"/>
          <w:szCs w:val="21"/>
        </w:rPr>
        <w:t>评标活动将按以下五个步骤进行:</w:t>
      </w:r>
    </w:p>
    <w:p>
      <w:pPr>
        <w:spacing w:line="360" w:lineRule="auto"/>
        <w:ind w:firstLine="405"/>
        <w:jc w:val="left"/>
        <w:rPr>
          <w:rFonts w:ascii="宋体" w:hAnsi="宋体"/>
          <w:color w:val="auto"/>
          <w:szCs w:val="21"/>
        </w:rPr>
      </w:pPr>
      <w:r>
        <w:rPr>
          <w:rFonts w:hint="eastAsia" w:ascii="宋体" w:hAnsi="宋体"/>
          <w:color w:val="auto"/>
          <w:szCs w:val="21"/>
        </w:rPr>
        <w:t>(1)评标准备；</w:t>
      </w:r>
    </w:p>
    <w:p>
      <w:pPr>
        <w:spacing w:line="360" w:lineRule="auto"/>
        <w:ind w:firstLine="405"/>
        <w:jc w:val="left"/>
        <w:rPr>
          <w:rFonts w:ascii="宋体" w:hAnsi="宋体"/>
          <w:color w:val="auto"/>
          <w:szCs w:val="21"/>
        </w:rPr>
      </w:pPr>
      <w:r>
        <w:rPr>
          <w:rFonts w:hint="eastAsia" w:ascii="宋体" w:hAnsi="宋体"/>
          <w:color w:val="auto"/>
          <w:szCs w:val="21"/>
        </w:rPr>
        <w:t>(2)初步评审；</w:t>
      </w:r>
    </w:p>
    <w:p>
      <w:pPr>
        <w:spacing w:line="360" w:lineRule="auto"/>
        <w:ind w:firstLine="405"/>
        <w:jc w:val="left"/>
        <w:rPr>
          <w:rFonts w:ascii="宋体" w:hAnsi="宋体"/>
          <w:color w:val="auto"/>
          <w:szCs w:val="21"/>
        </w:rPr>
      </w:pPr>
      <w:r>
        <w:rPr>
          <w:rFonts w:hint="eastAsia" w:ascii="宋体" w:hAnsi="宋体"/>
          <w:color w:val="auto"/>
          <w:szCs w:val="21"/>
        </w:rPr>
        <w:t>(3)详细评审；</w:t>
      </w:r>
    </w:p>
    <w:p>
      <w:pPr>
        <w:spacing w:line="360" w:lineRule="auto"/>
        <w:jc w:val="left"/>
        <w:rPr>
          <w:rFonts w:ascii="宋体" w:hAnsi="宋体"/>
          <w:color w:val="auto"/>
          <w:szCs w:val="21"/>
        </w:rPr>
      </w:pPr>
      <w:r>
        <w:rPr>
          <w:rFonts w:hint="eastAsia" w:ascii="宋体" w:hAnsi="宋体"/>
          <w:color w:val="auto"/>
          <w:szCs w:val="21"/>
        </w:rPr>
        <w:t xml:space="preserve">    (4)澄清、说明或补正；</w:t>
      </w:r>
    </w:p>
    <w:p>
      <w:pPr>
        <w:spacing w:line="360" w:lineRule="auto"/>
        <w:jc w:val="left"/>
        <w:rPr>
          <w:rFonts w:ascii="宋体" w:hAnsi="宋体"/>
          <w:color w:val="auto"/>
          <w:szCs w:val="21"/>
        </w:rPr>
      </w:pPr>
      <w:r>
        <w:rPr>
          <w:rFonts w:hint="eastAsia" w:ascii="宋体" w:hAnsi="宋体"/>
          <w:color w:val="auto"/>
          <w:szCs w:val="21"/>
        </w:rPr>
        <w:t xml:space="preserve">    (5)推荐中标候选人或者直接确定中标人及提交评标报告。</w:t>
      </w:r>
    </w:p>
    <w:p>
      <w:pPr>
        <w:jc w:val="left"/>
        <w:rPr>
          <w:b/>
          <w:bCs/>
          <w:color w:val="auto"/>
          <w:sz w:val="28"/>
          <w:szCs w:val="28"/>
        </w:rPr>
      </w:pPr>
      <w:r>
        <w:rPr>
          <w:rFonts w:hint="eastAsia"/>
          <w:b/>
          <w:bCs/>
          <w:color w:val="auto"/>
          <w:sz w:val="28"/>
          <w:szCs w:val="28"/>
        </w:rPr>
        <w:t>A2.评标准备</w:t>
      </w:r>
    </w:p>
    <w:p>
      <w:pPr>
        <w:spacing w:line="360" w:lineRule="auto"/>
        <w:jc w:val="left"/>
        <w:rPr>
          <w:rFonts w:ascii="宋体" w:hAnsi="宋体"/>
          <w:color w:val="auto"/>
          <w:szCs w:val="21"/>
        </w:rPr>
      </w:pPr>
      <w:r>
        <w:rPr>
          <w:rFonts w:hint="eastAsia" w:ascii="宋体" w:hAnsi="宋体"/>
          <w:color w:val="auto"/>
          <w:szCs w:val="21"/>
        </w:rPr>
        <w:t xml:space="preserve">     A2.1评标委员会成员签到</w:t>
      </w:r>
    </w:p>
    <w:p>
      <w:pPr>
        <w:spacing w:line="360" w:lineRule="auto"/>
        <w:jc w:val="left"/>
        <w:rPr>
          <w:rFonts w:ascii="宋体" w:hAnsi="宋体"/>
          <w:color w:val="auto"/>
          <w:szCs w:val="21"/>
        </w:rPr>
      </w:pPr>
      <w:r>
        <w:rPr>
          <w:rFonts w:hint="eastAsia" w:ascii="宋体" w:hAnsi="宋体"/>
          <w:color w:val="auto"/>
          <w:szCs w:val="21"/>
        </w:rPr>
        <w:t xml:space="preserve">     评标委员会成员到达评标现场时应在签到表上签到以证明其出席。</w:t>
      </w:r>
    </w:p>
    <w:p>
      <w:pPr>
        <w:spacing w:line="360" w:lineRule="auto"/>
        <w:ind w:firstLine="525" w:firstLineChars="250"/>
        <w:jc w:val="left"/>
        <w:rPr>
          <w:rFonts w:ascii="宋体" w:hAnsi="宋体"/>
          <w:color w:val="auto"/>
          <w:szCs w:val="21"/>
        </w:rPr>
      </w:pPr>
      <w:r>
        <w:rPr>
          <w:rFonts w:hint="eastAsia" w:ascii="宋体" w:hAnsi="宋体"/>
          <w:color w:val="auto"/>
          <w:szCs w:val="21"/>
        </w:rPr>
        <w:t>A2.2评标委员会的分工</w:t>
      </w:r>
    </w:p>
    <w:p>
      <w:pPr>
        <w:spacing w:line="360" w:lineRule="auto"/>
        <w:jc w:val="left"/>
        <w:rPr>
          <w:rFonts w:ascii="宋体" w:hAnsi="宋体"/>
          <w:color w:val="auto"/>
          <w:szCs w:val="21"/>
        </w:rPr>
      </w:pPr>
      <w:r>
        <w:rPr>
          <w:rFonts w:hint="eastAsia" w:ascii="宋体" w:hAnsi="宋体"/>
          <w:color w:val="auto"/>
          <w:szCs w:val="21"/>
        </w:rPr>
        <w:t xml:space="preserve">     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但最终评审结果须全体评标委员会一致认可。</w:t>
      </w:r>
    </w:p>
    <w:p>
      <w:pPr>
        <w:spacing w:line="360" w:lineRule="auto"/>
        <w:jc w:val="left"/>
        <w:rPr>
          <w:rFonts w:ascii="宋体" w:hAnsi="宋体"/>
          <w:color w:val="auto"/>
          <w:szCs w:val="21"/>
        </w:rPr>
      </w:pPr>
      <w:r>
        <w:rPr>
          <w:rFonts w:hint="eastAsia" w:ascii="宋体" w:hAnsi="宋体"/>
          <w:color w:val="auto"/>
          <w:szCs w:val="21"/>
        </w:rPr>
        <w:t xml:space="preserve">     A2.3熟悉文件资料</w:t>
      </w:r>
    </w:p>
    <w:p>
      <w:pPr>
        <w:spacing w:line="360" w:lineRule="auto"/>
        <w:jc w:val="left"/>
        <w:rPr>
          <w:rFonts w:ascii="宋体" w:hAnsi="宋体"/>
          <w:color w:val="auto"/>
          <w:szCs w:val="21"/>
        </w:rPr>
      </w:pPr>
      <w:r>
        <w:rPr>
          <w:rFonts w:hint="eastAsia" w:ascii="宋体" w:hAnsi="宋体"/>
          <w:color w:val="auto"/>
          <w:szCs w:val="21"/>
        </w:rPr>
        <w:t xml:space="preserve">     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color w:val="auto"/>
          <w:szCs w:val="21"/>
        </w:rPr>
        <w:t xml:space="preserve">    A2.3.2招标人或招标代理机构应向评标委员会提供评标所需的信息和数据，包括招标文件、未在开标会上当场拒绝的各投标文件、标底(如有)、有关的法律、法规、规章、国家标准以及招标人或评标委员会认为必要的其他信息和数据，</w:t>
      </w:r>
    </w:p>
    <w:p>
      <w:pPr>
        <w:spacing w:line="360" w:lineRule="auto"/>
        <w:jc w:val="left"/>
        <w:rPr>
          <w:rFonts w:ascii="宋体" w:hAnsi="宋体"/>
          <w:color w:val="auto"/>
          <w:szCs w:val="21"/>
        </w:rPr>
      </w:pPr>
      <w:r>
        <w:rPr>
          <w:rFonts w:hint="eastAsia" w:ascii="宋体" w:hAnsi="宋体"/>
          <w:color w:val="auto"/>
          <w:szCs w:val="21"/>
        </w:rPr>
        <w:t xml:space="preserve">    A2.4对投标文件进行基础性数据分析和整理工作(清标)</w:t>
      </w:r>
    </w:p>
    <w:p>
      <w:pPr>
        <w:spacing w:line="360" w:lineRule="auto"/>
        <w:ind w:firstLine="405"/>
        <w:jc w:val="left"/>
        <w:rPr>
          <w:rFonts w:ascii="宋体" w:hAnsi="宋体"/>
          <w:color w:val="auto"/>
          <w:szCs w:val="21"/>
        </w:rPr>
      </w:pPr>
      <w:r>
        <w:rPr>
          <w:rFonts w:hint="eastAsia" w:ascii="宋体" w:hAnsi="宋体"/>
          <w:color w:val="auto"/>
          <w:szCs w:val="21"/>
        </w:rPr>
        <w:t>A2.4.1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pPr>
        <w:spacing w:line="360" w:lineRule="auto"/>
        <w:ind w:firstLine="405"/>
        <w:jc w:val="left"/>
        <w:rPr>
          <w:rFonts w:ascii="宋体" w:hAnsi="宋体"/>
          <w:color w:val="auto"/>
          <w:szCs w:val="21"/>
        </w:rPr>
      </w:pPr>
      <w:r>
        <w:rPr>
          <w:rFonts w:hint="eastAsia" w:ascii="宋体" w:hAnsi="宋体"/>
          <w:color w:val="auto"/>
          <w:szCs w:val="21"/>
        </w:rPr>
        <w:t>A2.4.2 投标人接到评标委员会发出的问题澄清通知后，应按评标委员会的要求提供书面澄清资料并按要求进行密封，在规定的时间递交到指定地点。投标人递交的书面澄清资料由评标委员会开启。</w:t>
      </w:r>
    </w:p>
    <w:p>
      <w:pPr>
        <w:jc w:val="left"/>
        <w:rPr>
          <w:b/>
          <w:bCs/>
          <w:color w:val="auto"/>
          <w:sz w:val="28"/>
          <w:szCs w:val="28"/>
        </w:rPr>
      </w:pPr>
      <w:r>
        <w:rPr>
          <w:rFonts w:hint="eastAsia"/>
          <w:b/>
          <w:bCs/>
          <w:color w:val="auto"/>
          <w:sz w:val="28"/>
          <w:szCs w:val="28"/>
        </w:rPr>
        <w:t>A3初步评审</w:t>
      </w:r>
    </w:p>
    <w:p>
      <w:pPr>
        <w:spacing w:line="360" w:lineRule="auto"/>
        <w:jc w:val="left"/>
        <w:rPr>
          <w:rFonts w:ascii="宋体" w:hAnsi="宋体"/>
          <w:color w:val="auto"/>
          <w:szCs w:val="21"/>
        </w:rPr>
      </w:pPr>
      <w:r>
        <w:rPr>
          <w:rFonts w:hint="eastAsia" w:ascii="宋体" w:hAnsi="宋体"/>
          <w:color w:val="auto"/>
          <w:szCs w:val="21"/>
        </w:rPr>
        <w:t xml:space="preserve">    A3.1形式评审</w:t>
      </w:r>
    </w:p>
    <w:p>
      <w:pPr>
        <w:spacing w:line="360" w:lineRule="auto"/>
        <w:jc w:val="left"/>
        <w:rPr>
          <w:rFonts w:ascii="宋体" w:hAnsi="宋体"/>
          <w:color w:val="auto"/>
          <w:szCs w:val="21"/>
        </w:rPr>
      </w:pPr>
      <w:r>
        <w:rPr>
          <w:rFonts w:hint="eastAsia" w:ascii="宋体" w:hAnsi="宋体"/>
          <w:color w:val="auto"/>
          <w:szCs w:val="21"/>
        </w:rPr>
        <w:t xml:space="preserve">    评标委员会根据评标办法前附表中规定的评审因素和评审标准，对投标人的投标文件进行形式评审，并记录评审结果。</w:t>
      </w:r>
    </w:p>
    <w:p>
      <w:pPr>
        <w:spacing w:line="360" w:lineRule="auto"/>
        <w:jc w:val="left"/>
        <w:rPr>
          <w:rFonts w:ascii="宋体" w:hAnsi="宋体"/>
          <w:color w:val="auto"/>
          <w:szCs w:val="21"/>
        </w:rPr>
      </w:pPr>
      <w:r>
        <w:rPr>
          <w:rFonts w:hint="eastAsia" w:ascii="宋体" w:hAnsi="宋体"/>
          <w:color w:val="auto"/>
          <w:szCs w:val="21"/>
        </w:rPr>
        <w:t xml:space="preserve">    A3.2资格评审</w:t>
      </w:r>
    </w:p>
    <w:p>
      <w:pPr>
        <w:spacing w:line="360" w:lineRule="auto"/>
        <w:jc w:val="left"/>
        <w:rPr>
          <w:rFonts w:ascii="宋体" w:hAnsi="宋体"/>
          <w:color w:val="auto"/>
          <w:szCs w:val="21"/>
        </w:rPr>
      </w:pPr>
      <w:r>
        <w:rPr>
          <w:rFonts w:hint="eastAsia" w:ascii="宋体" w:hAnsi="宋体"/>
          <w:color w:val="auto"/>
          <w:szCs w:val="21"/>
        </w:rPr>
        <w:t xml:space="preserve">    A3.2.1评标委员会根据评标办法前附表中规定的评审因素和评审标准，对投标人的投标文件进行资格评审，并记录评审结果。</w:t>
      </w:r>
    </w:p>
    <w:p>
      <w:pPr>
        <w:spacing w:line="360" w:lineRule="auto"/>
        <w:jc w:val="left"/>
        <w:rPr>
          <w:rFonts w:ascii="宋体" w:hAnsi="宋体"/>
          <w:color w:val="auto"/>
          <w:szCs w:val="21"/>
        </w:rPr>
      </w:pPr>
      <w:r>
        <w:rPr>
          <w:rFonts w:hint="eastAsia" w:ascii="宋体" w:hAnsi="宋体"/>
          <w:color w:val="auto"/>
          <w:szCs w:val="21"/>
        </w:rPr>
        <w:t xml:space="preserve">    A3.3响应性评审</w:t>
      </w:r>
    </w:p>
    <w:p>
      <w:pPr>
        <w:spacing w:line="360" w:lineRule="auto"/>
        <w:jc w:val="left"/>
        <w:rPr>
          <w:rFonts w:ascii="宋体" w:hAnsi="宋体"/>
          <w:color w:val="auto"/>
          <w:szCs w:val="21"/>
        </w:rPr>
      </w:pPr>
      <w:r>
        <w:rPr>
          <w:rFonts w:hint="eastAsia" w:ascii="宋体" w:hAnsi="宋体"/>
          <w:color w:val="auto"/>
          <w:szCs w:val="21"/>
        </w:rPr>
        <w:t xml:space="preserve">    A3.3.1评标委员会根据评标办法前附表中规定的评审因素和评审标准，对投标人的投标文件进行响应性评审，并记录评审结果。</w:t>
      </w:r>
    </w:p>
    <w:p>
      <w:pPr>
        <w:spacing w:line="360" w:lineRule="auto"/>
        <w:jc w:val="left"/>
        <w:rPr>
          <w:rFonts w:ascii="宋体" w:hAnsi="宋体"/>
          <w:color w:val="auto"/>
          <w:szCs w:val="21"/>
        </w:rPr>
      </w:pPr>
      <w:r>
        <w:rPr>
          <w:rFonts w:hint="eastAsia" w:ascii="宋体" w:hAnsi="宋体"/>
          <w:color w:val="auto"/>
          <w:szCs w:val="21"/>
        </w:rPr>
        <w:t xml:space="preserve">    A3.3.2投标人投标价格不得超出(不含等于)按照第二章“投标人须知”前附表第10.2款载明的最高投标限价，凡投标人的投标价格超出最高投标限价的，该投标人的投标文件不能通过响应性评审。</w:t>
      </w:r>
    </w:p>
    <w:p>
      <w:pPr>
        <w:spacing w:line="360" w:lineRule="auto"/>
        <w:jc w:val="left"/>
        <w:rPr>
          <w:rFonts w:ascii="宋体" w:hAnsi="宋体"/>
          <w:color w:val="auto"/>
          <w:szCs w:val="21"/>
        </w:rPr>
      </w:pPr>
      <w:r>
        <w:rPr>
          <w:rFonts w:hint="eastAsia" w:ascii="宋体" w:hAnsi="宋体"/>
          <w:color w:val="auto"/>
          <w:szCs w:val="21"/>
        </w:rPr>
        <w:t xml:space="preserve">    A3.4判断投标是否为废标</w:t>
      </w:r>
    </w:p>
    <w:p>
      <w:pPr>
        <w:spacing w:line="360" w:lineRule="auto"/>
        <w:jc w:val="left"/>
        <w:rPr>
          <w:rFonts w:ascii="宋体" w:hAnsi="宋体"/>
          <w:color w:val="auto"/>
          <w:szCs w:val="21"/>
        </w:rPr>
      </w:pPr>
      <w:r>
        <w:rPr>
          <w:rFonts w:hint="eastAsia" w:ascii="宋体" w:hAnsi="宋体"/>
          <w:color w:val="auto"/>
          <w:szCs w:val="21"/>
        </w:rPr>
        <w:t xml:space="preserve">    A3.4.1判断投标人的投标是否为废标的全部条件(包括本章第3.1.2项中规定的条件)，在本章附件3-B中集中列示。</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color w:val="auto"/>
          <w:szCs w:val="21"/>
        </w:rPr>
        <w:t xml:space="preserve">    A3.4.2本章附件3-B集中列示的废标条件不应与第二章“投标人须知”和本章正文部分包括的废标条件抵触，如果出现相互矛盾的情况，以第二章“投标人须知”和本章正文部分的规定为准。</w:t>
      </w:r>
    </w:p>
    <w:p>
      <w:pPr>
        <w:spacing w:line="360" w:lineRule="auto"/>
        <w:jc w:val="left"/>
        <w:rPr>
          <w:rFonts w:ascii="宋体" w:hAnsi="宋体"/>
          <w:color w:val="auto"/>
          <w:szCs w:val="21"/>
        </w:rPr>
      </w:pPr>
      <w:r>
        <w:rPr>
          <w:rFonts w:hint="eastAsia" w:ascii="宋体" w:hAnsi="宋体"/>
          <w:color w:val="auto"/>
          <w:szCs w:val="21"/>
        </w:rPr>
        <w:t xml:space="preserve">    A3.4.3评标委员会在评标(包括初步评审和详细评审)过程中，依据本章附件3-B中规定的废标条件判断投标人的投标是否为废标。</w:t>
      </w:r>
    </w:p>
    <w:p>
      <w:pPr>
        <w:spacing w:line="360" w:lineRule="auto"/>
        <w:jc w:val="left"/>
        <w:rPr>
          <w:rFonts w:ascii="宋体" w:hAnsi="宋体"/>
          <w:color w:val="auto"/>
          <w:szCs w:val="21"/>
        </w:rPr>
      </w:pPr>
      <w:r>
        <w:rPr>
          <w:rFonts w:hint="eastAsia" w:ascii="宋体" w:hAnsi="宋体"/>
          <w:color w:val="auto"/>
          <w:szCs w:val="21"/>
        </w:rPr>
        <w:t xml:space="preserve">    A3.5算术错误修正</w:t>
      </w:r>
    </w:p>
    <w:p>
      <w:pPr>
        <w:spacing w:line="360" w:lineRule="auto"/>
        <w:jc w:val="left"/>
        <w:rPr>
          <w:rFonts w:ascii="宋体" w:hAnsi="宋体"/>
          <w:color w:val="auto"/>
          <w:szCs w:val="21"/>
        </w:rPr>
      </w:pPr>
      <w:r>
        <w:rPr>
          <w:rFonts w:hint="eastAsia" w:ascii="宋体" w:hAnsi="宋体"/>
          <w:color w:val="auto"/>
          <w:szCs w:val="21"/>
        </w:rPr>
        <w:t xml:space="preserve">    评标委员会依据本章中规定的相关原则对投标报价中存在的算术错误进行修正，并根据算术错误修正结果计算评标价。评标委员会对算术错误的修正应向投标人作书面澄清。投标人对修正结果应书面确认。投标人对修正结果有不同意见或未作书面确认的，评标委员会应重新复核修正结果，再次按上述程序分别进行确认，复核。</w:t>
      </w:r>
    </w:p>
    <w:p>
      <w:pPr>
        <w:spacing w:line="360" w:lineRule="auto"/>
        <w:jc w:val="left"/>
        <w:rPr>
          <w:rFonts w:ascii="宋体" w:hAnsi="宋体"/>
          <w:color w:val="auto"/>
          <w:szCs w:val="21"/>
        </w:rPr>
      </w:pPr>
      <w:r>
        <w:rPr>
          <w:rFonts w:hint="eastAsia" w:ascii="宋体" w:hAnsi="宋体"/>
          <w:color w:val="auto"/>
          <w:szCs w:val="21"/>
        </w:rPr>
        <w:t xml:space="preserve">    A3.6澄清、说明或补正</w:t>
      </w:r>
    </w:p>
    <w:p>
      <w:pPr>
        <w:spacing w:line="360" w:lineRule="auto"/>
        <w:ind w:firstLine="405"/>
        <w:jc w:val="left"/>
        <w:rPr>
          <w:rFonts w:ascii="宋体" w:hAnsi="宋体"/>
          <w:color w:val="auto"/>
          <w:szCs w:val="21"/>
        </w:rPr>
      </w:pPr>
      <w:r>
        <w:rPr>
          <w:rFonts w:hint="eastAsia" w:ascii="宋体" w:hAnsi="宋体"/>
          <w:color w:val="auto"/>
          <w:szCs w:val="21"/>
        </w:rPr>
        <w:t>在初步评审过程中，  评标委员会应当就投标文件中不明确的内容要求投标人进行澄清、说明或者补正。投标人应当根据问题澄清通知要求，以书面形式于以澄清、说明或者补正。澄清、说明或补正根据本章第3.3款的规定进行。</w:t>
      </w:r>
    </w:p>
    <w:p>
      <w:pPr>
        <w:jc w:val="left"/>
        <w:rPr>
          <w:b/>
          <w:bCs/>
          <w:color w:val="auto"/>
          <w:sz w:val="28"/>
          <w:szCs w:val="28"/>
        </w:rPr>
      </w:pPr>
      <w:r>
        <w:rPr>
          <w:rFonts w:hint="eastAsia"/>
          <w:b/>
          <w:bCs/>
          <w:color w:val="auto"/>
          <w:sz w:val="28"/>
          <w:szCs w:val="28"/>
        </w:rPr>
        <w:t>A4.详细评审</w:t>
      </w:r>
    </w:p>
    <w:p>
      <w:pPr>
        <w:spacing w:line="360" w:lineRule="auto"/>
        <w:ind w:firstLine="405"/>
        <w:jc w:val="left"/>
        <w:rPr>
          <w:rFonts w:ascii="宋体" w:hAnsi="宋体"/>
          <w:color w:val="auto"/>
          <w:szCs w:val="21"/>
        </w:rPr>
      </w:pPr>
      <w:r>
        <w:rPr>
          <w:rFonts w:hint="eastAsia" w:ascii="宋体" w:hAnsi="宋体"/>
          <w:color w:val="auto"/>
          <w:szCs w:val="21"/>
        </w:rPr>
        <w:t>只有通过了初步评审、被判定为合格的投标方可进入详细评审。</w:t>
      </w:r>
    </w:p>
    <w:p>
      <w:pPr>
        <w:spacing w:line="360" w:lineRule="auto"/>
        <w:ind w:firstLine="405"/>
        <w:jc w:val="left"/>
        <w:rPr>
          <w:rFonts w:ascii="宋体" w:hAnsi="宋体"/>
          <w:color w:val="auto"/>
          <w:szCs w:val="21"/>
        </w:rPr>
      </w:pPr>
      <w:r>
        <w:rPr>
          <w:rFonts w:hint="eastAsia" w:ascii="宋体" w:hAnsi="宋体"/>
          <w:color w:val="auto"/>
          <w:szCs w:val="21"/>
        </w:rPr>
        <w:t>A4.1 详细评审的程序</w:t>
      </w:r>
    </w:p>
    <w:p>
      <w:pPr>
        <w:spacing w:line="360" w:lineRule="auto"/>
        <w:ind w:firstLine="405"/>
        <w:jc w:val="left"/>
        <w:rPr>
          <w:rFonts w:ascii="宋体" w:hAnsi="宋体"/>
          <w:color w:val="auto"/>
          <w:szCs w:val="21"/>
        </w:rPr>
      </w:pPr>
      <w:r>
        <w:rPr>
          <w:rFonts w:hint="eastAsia" w:ascii="宋体" w:hAnsi="宋体"/>
          <w:color w:val="auto"/>
          <w:szCs w:val="21"/>
        </w:rPr>
        <w:t>A4.1.1评标委员会按照本章第3.2款中规定的程序进行详细评审：</w:t>
      </w:r>
    </w:p>
    <w:p>
      <w:pPr>
        <w:spacing w:line="360" w:lineRule="auto"/>
        <w:ind w:firstLine="405"/>
        <w:jc w:val="left"/>
        <w:rPr>
          <w:rFonts w:ascii="宋体" w:hAnsi="宋体"/>
          <w:color w:val="auto"/>
          <w:szCs w:val="21"/>
        </w:rPr>
      </w:pPr>
      <w:r>
        <w:rPr>
          <w:rFonts w:hint="eastAsia" w:ascii="宋体" w:hAnsi="宋体"/>
          <w:color w:val="auto"/>
          <w:szCs w:val="21"/>
        </w:rPr>
        <w:t>(1)技术标(物业管理方案)评审和评分；</w:t>
      </w:r>
    </w:p>
    <w:p>
      <w:pPr>
        <w:spacing w:line="360" w:lineRule="auto"/>
        <w:ind w:firstLine="405"/>
        <w:jc w:val="left"/>
        <w:rPr>
          <w:rFonts w:ascii="宋体" w:hAnsi="宋体"/>
          <w:color w:val="auto"/>
          <w:szCs w:val="21"/>
        </w:rPr>
      </w:pPr>
      <w:r>
        <w:rPr>
          <w:rFonts w:hint="eastAsia" w:ascii="宋体" w:hAnsi="宋体"/>
          <w:color w:val="auto"/>
          <w:szCs w:val="21"/>
        </w:rPr>
        <w:t>(2)企业资信情况评分；</w:t>
      </w:r>
    </w:p>
    <w:p>
      <w:pPr>
        <w:spacing w:line="360" w:lineRule="auto"/>
        <w:jc w:val="left"/>
        <w:rPr>
          <w:rFonts w:ascii="宋体" w:hAnsi="宋体"/>
          <w:color w:val="auto"/>
          <w:szCs w:val="21"/>
        </w:rPr>
      </w:pPr>
      <w:r>
        <w:rPr>
          <w:rFonts w:hint="eastAsia" w:ascii="宋体" w:hAnsi="宋体"/>
          <w:color w:val="auto"/>
          <w:szCs w:val="21"/>
        </w:rPr>
        <w:t xml:space="preserve">    (3)投标报价评审和评分，并对明显低于其他投标报价的投标报价，或者在设有标底时明显低于标底的投标报价，判断是否低于其个别成本； </w:t>
      </w:r>
    </w:p>
    <w:p>
      <w:pPr>
        <w:spacing w:line="360" w:lineRule="auto"/>
        <w:jc w:val="left"/>
        <w:rPr>
          <w:rFonts w:ascii="宋体" w:hAnsi="宋体"/>
          <w:color w:val="auto"/>
          <w:szCs w:val="21"/>
        </w:rPr>
      </w:pPr>
      <w:r>
        <w:rPr>
          <w:rFonts w:hint="eastAsia" w:ascii="宋体" w:hAnsi="宋体"/>
          <w:color w:val="auto"/>
          <w:szCs w:val="21"/>
        </w:rPr>
        <w:t xml:space="preserve">    (4)汇总评分结果。</w:t>
      </w:r>
    </w:p>
    <w:p>
      <w:pPr>
        <w:spacing w:line="360" w:lineRule="auto"/>
        <w:jc w:val="left"/>
        <w:rPr>
          <w:rFonts w:ascii="宋体" w:hAnsi="宋体"/>
          <w:color w:val="auto"/>
          <w:szCs w:val="21"/>
        </w:rPr>
      </w:pPr>
      <w:r>
        <w:rPr>
          <w:rFonts w:hint="eastAsia" w:ascii="宋体" w:hAnsi="宋体"/>
          <w:color w:val="auto"/>
          <w:szCs w:val="21"/>
        </w:rPr>
        <w:t xml:space="preserve">    A4.2技术标(物业管理方案)评审和评分</w:t>
      </w:r>
    </w:p>
    <w:p>
      <w:pPr>
        <w:spacing w:line="360" w:lineRule="auto"/>
        <w:jc w:val="left"/>
        <w:rPr>
          <w:rFonts w:ascii="宋体" w:hAnsi="宋体"/>
          <w:color w:val="auto"/>
          <w:szCs w:val="21"/>
        </w:rPr>
      </w:pPr>
      <w:r>
        <w:rPr>
          <w:rFonts w:hint="eastAsia" w:ascii="宋体" w:hAnsi="宋体"/>
          <w:color w:val="auto"/>
          <w:szCs w:val="21"/>
        </w:rPr>
        <w:t xml:space="preserve">      按照评标办法前附表中规定的方法由评标委员会成员各自单独对物业管理方案进行评分，各自单独记分，评标委员会成员评分去掉一个最高分和一个最低分后得到的平均分为技术标得分。</w:t>
      </w:r>
    </w:p>
    <w:p>
      <w:pPr>
        <w:spacing w:line="360" w:lineRule="auto"/>
        <w:jc w:val="left"/>
        <w:rPr>
          <w:rFonts w:ascii="宋体" w:hAnsi="宋体"/>
          <w:color w:val="auto"/>
          <w:szCs w:val="21"/>
        </w:rPr>
      </w:pPr>
      <w:r>
        <w:rPr>
          <w:rFonts w:hint="eastAsia" w:ascii="宋体" w:hAnsi="宋体"/>
          <w:color w:val="auto"/>
          <w:szCs w:val="21"/>
        </w:rPr>
        <w:t xml:space="preserve">    A4.3企业资信情况评审和评分</w:t>
      </w:r>
    </w:p>
    <w:p>
      <w:pPr>
        <w:spacing w:line="360" w:lineRule="auto"/>
        <w:jc w:val="left"/>
        <w:rPr>
          <w:rFonts w:ascii="宋体" w:hAnsi="宋体"/>
          <w:color w:val="auto"/>
          <w:szCs w:val="21"/>
        </w:rPr>
      </w:pPr>
      <w:r>
        <w:rPr>
          <w:rFonts w:hint="eastAsia" w:ascii="宋体" w:hAnsi="宋体"/>
          <w:color w:val="auto"/>
          <w:szCs w:val="21"/>
        </w:rPr>
        <w:t xml:space="preserve">    根据评标办法前附表中规定的分值设定、各项评分因素和相应的评分标准，对企业资信情况进行评审和评分。</w:t>
      </w:r>
    </w:p>
    <w:p>
      <w:pPr>
        <w:spacing w:line="360" w:lineRule="auto"/>
        <w:jc w:val="left"/>
        <w:rPr>
          <w:rFonts w:ascii="宋体" w:hAnsi="宋体"/>
          <w:color w:val="auto"/>
          <w:szCs w:val="21"/>
        </w:rPr>
      </w:pPr>
      <w:r>
        <w:rPr>
          <w:rFonts w:hint="eastAsia" w:ascii="宋体" w:hAnsi="宋体"/>
          <w:color w:val="auto"/>
          <w:szCs w:val="21"/>
        </w:rPr>
        <w:t xml:space="preserve">    A4.4投标报价评审和评分(仅按投报年度总价进行评分)</w:t>
      </w:r>
    </w:p>
    <w:p>
      <w:pPr>
        <w:spacing w:line="360" w:lineRule="auto"/>
        <w:jc w:val="left"/>
        <w:rPr>
          <w:rFonts w:ascii="宋体" w:hAnsi="宋体"/>
          <w:color w:val="auto"/>
          <w:szCs w:val="21"/>
        </w:rPr>
      </w:pPr>
      <w:r>
        <w:rPr>
          <w:rFonts w:hint="eastAsia" w:ascii="宋体" w:hAnsi="宋体"/>
          <w:color w:val="auto"/>
          <w:szCs w:val="21"/>
        </w:rPr>
        <w:t xml:space="preserve">    A4.4.1按照评标办法前附表中规定的方法计算“评标基准价”。</w:t>
      </w:r>
    </w:p>
    <w:p>
      <w:pPr>
        <w:spacing w:line="360" w:lineRule="auto"/>
        <w:jc w:val="left"/>
        <w:rPr>
          <w:rFonts w:ascii="宋体" w:hAnsi="宋体"/>
          <w:color w:val="auto"/>
          <w:szCs w:val="21"/>
        </w:rPr>
      </w:pPr>
      <w:r>
        <w:rPr>
          <w:rFonts w:hint="eastAsia" w:ascii="宋体" w:hAnsi="宋体"/>
          <w:color w:val="auto"/>
          <w:szCs w:val="21"/>
        </w:rPr>
        <w:t xml:space="preserve">    A4.3.2按照评标办法前附表中规定的方法，计算各个已通过了初步评审、技术标和项目管理机构评审并且经过评审认定为不低于其成本的投标报价的“偏差率”。</w:t>
      </w:r>
    </w:p>
    <w:p>
      <w:pPr>
        <w:spacing w:line="360" w:lineRule="auto"/>
        <w:jc w:val="left"/>
        <w:rPr>
          <w:rFonts w:ascii="宋体" w:hAnsi="宋体"/>
          <w:color w:val="auto"/>
          <w:szCs w:val="21"/>
        </w:rPr>
      </w:pPr>
      <w:r>
        <w:rPr>
          <w:rFonts w:hint="eastAsia" w:ascii="宋体" w:hAnsi="宋体"/>
          <w:color w:val="auto"/>
          <w:szCs w:val="21"/>
        </w:rPr>
        <w:t xml:space="preserve">    A4.3.3按照评标办法前附表中规定的评分标准，对照投标报价的偏差率，分别对各个投标报价进行评分。</w:t>
      </w:r>
    </w:p>
    <w:p>
      <w:pPr>
        <w:spacing w:line="360" w:lineRule="auto"/>
        <w:jc w:val="left"/>
        <w:rPr>
          <w:rFonts w:ascii="宋体" w:hAnsi="宋体"/>
          <w:color w:val="auto"/>
          <w:szCs w:val="21"/>
        </w:rPr>
      </w:pPr>
      <w:r>
        <w:rPr>
          <w:rFonts w:hint="eastAsia" w:ascii="宋体" w:hAnsi="宋体"/>
          <w:color w:val="auto"/>
          <w:szCs w:val="21"/>
        </w:rPr>
        <w:t xml:space="preserve">    A4.4判断投标报价是否低于成本</w:t>
      </w:r>
    </w:p>
    <w:p>
      <w:pPr>
        <w:spacing w:line="360" w:lineRule="auto"/>
        <w:jc w:val="left"/>
        <w:rPr>
          <w:rFonts w:ascii="宋体" w:hAnsi="宋体"/>
          <w:color w:val="auto"/>
          <w:szCs w:val="21"/>
        </w:rPr>
      </w:pPr>
      <w:r>
        <w:rPr>
          <w:rFonts w:hint="eastAsia" w:ascii="宋体" w:hAnsi="宋体"/>
          <w:color w:val="auto"/>
          <w:szCs w:val="21"/>
        </w:rPr>
        <w:t xml:space="preserve">    根据本章第3.2.4项的规定，评标委员会根据本章附件3-C中规定标准和方法，判断投标报价是否低于其成本。由评标委员会认定投标人以低于成本竞标的，其投标作废标处理。</w:t>
      </w:r>
    </w:p>
    <w:p>
      <w:pPr>
        <w:spacing w:line="360" w:lineRule="auto"/>
        <w:jc w:val="left"/>
        <w:rPr>
          <w:rFonts w:ascii="宋体" w:hAnsi="宋体"/>
          <w:color w:val="auto"/>
          <w:szCs w:val="21"/>
        </w:rPr>
      </w:pPr>
      <w:r>
        <w:rPr>
          <w:rFonts w:hint="eastAsia" w:ascii="宋体" w:hAnsi="宋体"/>
          <w:color w:val="auto"/>
          <w:szCs w:val="21"/>
        </w:rPr>
        <w:t xml:space="preserve">    A4.5澄清、说明或补正</w:t>
      </w:r>
    </w:p>
    <w:p>
      <w:pPr>
        <w:spacing w:line="360" w:lineRule="auto"/>
        <w:jc w:val="left"/>
        <w:rPr>
          <w:rFonts w:ascii="宋体" w:hAnsi="宋体"/>
          <w:color w:val="auto"/>
          <w:szCs w:val="21"/>
        </w:rPr>
      </w:pPr>
      <w:r>
        <w:rPr>
          <w:rFonts w:hint="eastAsia" w:ascii="宋体" w:hAnsi="宋体"/>
          <w:color w:val="auto"/>
          <w:szCs w:val="21"/>
        </w:rPr>
        <w:t xml:space="preserve">    在详细评审过程中，评标委员会应当就投标文件中不明确的内容要求投标人进行澄请、说明或者补正。投标人对此以书面形式予以澄清、说明成者补正。澄清、说明或补正根据本章第3.3款的规定执行。</w:t>
      </w:r>
    </w:p>
    <w:p>
      <w:pPr>
        <w:spacing w:line="360" w:lineRule="auto"/>
        <w:jc w:val="left"/>
        <w:rPr>
          <w:rFonts w:ascii="宋体" w:hAnsi="宋体"/>
          <w:color w:val="auto"/>
          <w:szCs w:val="21"/>
        </w:rPr>
      </w:pPr>
      <w:r>
        <w:rPr>
          <w:rFonts w:hint="eastAsia" w:ascii="宋体" w:hAnsi="宋体"/>
          <w:color w:val="auto"/>
          <w:szCs w:val="21"/>
        </w:rPr>
        <w:t xml:space="preserve">    A4.6汇总评分结果</w:t>
      </w:r>
    </w:p>
    <w:p>
      <w:pPr>
        <w:spacing w:line="360" w:lineRule="auto"/>
        <w:jc w:val="left"/>
        <w:rPr>
          <w:rFonts w:ascii="宋体" w:hAnsi="宋体"/>
          <w:color w:val="auto"/>
          <w:szCs w:val="21"/>
        </w:rPr>
      </w:pPr>
      <w:r>
        <w:rPr>
          <w:rFonts w:hint="eastAsia" w:ascii="宋体" w:hAnsi="宋体"/>
          <w:color w:val="auto"/>
          <w:szCs w:val="21"/>
        </w:rPr>
        <w:t xml:space="preserve">    A4.6.1评标委员会成员应按照附表3-5的格式填写详细评审评分汇总表。</w:t>
      </w:r>
    </w:p>
    <w:p>
      <w:pPr>
        <w:spacing w:line="360" w:lineRule="auto"/>
        <w:jc w:val="left"/>
        <w:rPr>
          <w:rFonts w:ascii="宋体" w:hAnsi="宋体"/>
          <w:color w:val="auto"/>
          <w:szCs w:val="21"/>
        </w:rPr>
      </w:pPr>
      <w:r>
        <w:rPr>
          <w:rFonts w:hint="eastAsia" w:ascii="宋体" w:hAnsi="宋体"/>
          <w:color w:val="auto"/>
          <w:szCs w:val="21"/>
        </w:rPr>
        <w:t xml:space="preserve">    A4.6.2详细评审工作全部结束后，依据祥细评审最终得分按照附表3-6的格式由高至低对投标人进行排序。</w:t>
      </w:r>
    </w:p>
    <w:p>
      <w:pPr>
        <w:jc w:val="left"/>
        <w:rPr>
          <w:rFonts w:ascii="宋体" w:hAnsi="宋体"/>
          <w:color w:val="auto"/>
          <w:szCs w:val="21"/>
        </w:rPr>
      </w:pPr>
      <w:r>
        <w:rPr>
          <w:rFonts w:hint="eastAsia" w:ascii="宋体" w:hAnsi="宋体"/>
          <w:color w:val="auto"/>
          <w:szCs w:val="21"/>
        </w:rPr>
        <w:t xml:space="preserve"> </w:t>
      </w:r>
      <w:r>
        <w:rPr>
          <w:rFonts w:hint="eastAsia"/>
          <w:b/>
          <w:bCs/>
          <w:color w:val="auto"/>
          <w:sz w:val="28"/>
          <w:szCs w:val="28"/>
        </w:rPr>
        <w:t>A5.推荐中标候选人</w:t>
      </w:r>
    </w:p>
    <w:p>
      <w:pPr>
        <w:spacing w:line="360" w:lineRule="auto"/>
        <w:jc w:val="left"/>
        <w:rPr>
          <w:rFonts w:ascii="宋体" w:hAnsi="宋体"/>
          <w:color w:val="auto"/>
          <w:szCs w:val="21"/>
        </w:rPr>
      </w:pPr>
      <w:r>
        <w:rPr>
          <w:rFonts w:hint="eastAsia" w:ascii="宋体" w:hAnsi="宋体"/>
          <w:color w:val="auto"/>
          <w:szCs w:val="21"/>
        </w:rPr>
        <w:t xml:space="preserve">    A5.1推荐中标侯选人</w:t>
      </w:r>
    </w:p>
    <w:p>
      <w:pPr>
        <w:spacing w:line="360" w:lineRule="auto"/>
        <w:jc w:val="left"/>
        <w:rPr>
          <w:rFonts w:ascii="宋体" w:hAnsi="宋体"/>
          <w:color w:val="auto"/>
          <w:szCs w:val="21"/>
        </w:rPr>
      </w:pPr>
      <w:r>
        <w:rPr>
          <w:rFonts w:hint="eastAsia" w:ascii="宋体" w:hAnsi="宋体"/>
          <w:color w:val="auto"/>
          <w:szCs w:val="21"/>
        </w:rPr>
        <w:t xml:space="preserve">    A5.1.1除第二章“投标人须知”前附表第7.1款授权直接确定中标人外，评标委员会在推荐中标候选人时，应遵照以下原则:</w:t>
      </w:r>
    </w:p>
    <w:p>
      <w:pPr>
        <w:spacing w:line="360" w:lineRule="auto"/>
        <w:jc w:val="left"/>
        <w:rPr>
          <w:rFonts w:ascii="宋体" w:hAnsi="宋体"/>
          <w:color w:val="auto"/>
          <w:szCs w:val="21"/>
        </w:rPr>
      </w:pPr>
      <w:r>
        <w:rPr>
          <w:rFonts w:hint="eastAsia" w:ascii="宋体" w:hAnsi="宋体"/>
          <w:color w:val="auto"/>
          <w:szCs w:val="21"/>
        </w:rPr>
        <w:t xml:space="preserve">    (1)评标委员会按照最终得分由高至低的次序排列，并根据第二章“投标人须知”前附表第7.1款规定的中标候选人数量，将排序在前的投标人推荐为中标候选人。</w:t>
      </w:r>
    </w:p>
    <w:p>
      <w:pPr>
        <w:spacing w:line="360" w:lineRule="auto"/>
        <w:jc w:val="left"/>
        <w:rPr>
          <w:rFonts w:ascii="宋体" w:hAnsi="宋体"/>
          <w:color w:val="auto"/>
          <w:szCs w:val="21"/>
        </w:rPr>
      </w:pPr>
      <w:r>
        <w:rPr>
          <w:rFonts w:hint="eastAsia" w:ascii="宋体" w:hAnsi="宋体"/>
          <w:color w:val="auto"/>
          <w:szCs w:val="21"/>
        </w:rPr>
        <w:t xml:space="preserve">    (2)如果评标委员会根据本章的规定作废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pPr>
        <w:spacing w:line="360" w:lineRule="auto"/>
        <w:ind w:firstLine="405"/>
        <w:jc w:val="left"/>
        <w:rPr>
          <w:rFonts w:ascii="宋体" w:hAnsi="宋体"/>
          <w:color w:val="auto"/>
          <w:szCs w:val="21"/>
        </w:rPr>
      </w:pPr>
      <w:r>
        <w:rPr>
          <w:rFonts w:hint="eastAsia" w:ascii="宋体" w:hAnsi="宋体"/>
          <w:color w:val="auto"/>
          <w:szCs w:val="21"/>
        </w:rPr>
        <w:t>A5.1.2投标人数量少于三个或者所有投标被否决的，招标人应当依法重新招标。</w:t>
      </w:r>
    </w:p>
    <w:p>
      <w:pPr>
        <w:spacing w:line="360" w:lineRule="auto"/>
        <w:jc w:val="left"/>
        <w:rPr>
          <w:b/>
          <w:bCs/>
          <w:color w:val="auto"/>
          <w:sz w:val="28"/>
          <w:szCs w:val="28"/>
        </w:rPr>
      </w:pPr>
      <w:r>
        <w:rPr>
          <w:rFonts w:hint="eastAsia"/>
          <w:b/>
          <w:bCs/>
          <w:color w:val="auto"/>
          <w:sz w:val="28"/>
          <w:szCs w:val="28"/>
        </w:rPr>
        <w:t>A6.特殊情况的处置程序</w:t>
      </w:r>
    </w:p>
    <w:p>
      <w:pPr>
        <w:spacing w:line="360" w:lineRule="auto"/>
        <w:jc w:val="left"/>
        <w:rPr>
          <w:rFonts w:ascii="宋体" w:hAnsi="宋体"/>
          <w:color w:val="auto"/>
          <w:szCs w:val="21"/>
        </w:rPr>
      </w:pPr>
      <w:r>
        <w:rPr>
          <w:rFonts w:hint="eastAsia" w:ascii="宋体" w:hAnsi="宋体"/>
          <w:color w:val="auto"/>
          <w:szCs w:val="21"/>
        </w:rPr>
        <w:t xml:space="preserve">    A6.1关于评标活动暂停</w:t>
      </w:r>
    </w:p>
    <w:p>
      <w:pPr>
        <w:spacing w:line="360" w:lineRule="auto"/>
        <w:jc w:val="left"/>
        <w:rPr>
          <w:rFonts w:ascii="宋体" w:hAnsi="宋体"/>
          <w:color w:val="auto"/>
          <w:szCs w:val="21"/>
        </w:rPr>
      </w:pPr>
      <w:r>
        <w:rPr>
          <w:rFonts w:hint="eastAsia" w:ascii="宋体" w:hAnsi="宋体"/>
          <w:color w:val="auto"/>
          <w:szCs w:val="21"/>
        </w:rPr>
        <w:t xml:space="preserve">    A6.1.1评标委员会应当执行连续评标的原则，按评标办法中规定的程序、内容、方法、标准完成全部评标工作。除特殊情况外，评标活动不得暂停。</w:t>
      </w:r>
    </w:p>
    <w:p>
      <w:pPr>
        <w:spacing w:line="360" w:lineRule="auto"/>
        <w:jc w:val="left"/>
        <w:rPr>
          <w:rFonts w:ascii="宋体" w:hAnsi="宋体"/>
          <w:color w:val="auto"/>
          <w:szCs w:val="21"/>
        </w:rPr>
      </w:pPr>
      <w:r>
        <w:rPr>
          <w:rFonts w:hint="eastAsia" w:ascii="宋体" w:hAnsi="宋体"/>
          <w:color w:val="auto"/>
          <w:szCs w:val="21"/>
        </w:rPr>
        <w:t xml:space="preserve">    A6.1.2发生评标暂停情况时，评标委员会应当封存全部投标文件和评标记录，待特殊情况的影响结束且具备继续评标的条件时，由原评标委员会继续评标。</w:t>
      </w:r>
    </w:p>
    <w:p>
      <w:pPr>
        <w:spacing w:line="360" w:lineRule="auto"/>
        <w:jc w:val="left"/>
        <w:rPr>
          <w:rFonts w:ascii="宋体" w:hAnsi="宋体"/>
          <w:color w:val="auto"/>
          <w:szCs w:val="21"/>
        </w:rPr>
      </w:pPr>
      <w:r>
        <w:rPr>
          <w:rFonts w:hint="eastAsia" w:ascii="宋体" w:hAnsi="宋体"/>
          <w:color w:val="auto"/>
          <w:szCs w:val="21"/>
        </w:rPr>
        <w:t xml:space="preserve">    A6.2关于评标中途更换评委</w:t>
      </w:r>
    </w:p>
    <w:p>
      <w:pPr>
        <w:spacing w:line="360" w:lineRule="auto"/>
        <w:ind w:firstLine="405"/>
        <w:jc w:val="left"/>
        <w:rPr>
          <w:rFonts w:ascii="宋体" w:hAnsi="宋体"/>
          <w:color w:val="auto"/>
          <w:szCs w:val="21"/>
        </w:rPr>
      </w:pPr>
      <w:r>
        <w:rPr>
          <w:rFonts w:hint="eastAsia" w:ascii="宋体" w:hAnsi="宋体"/>
          <w:color w:val="auto"/>
          <w:szCs w:val="21"/>
        </w:rPr>
        <w:t>A6.2.1除非发生下列情况之一，评标委员会成员不得在评标中途更换:</w:t>
      </w:r>
    </w:p>
    <w:p>
      <w:pPr>
        <w:spacing w:line="360" w:lineRule="auto"/>
        <w:ind w:firstLine="405"/>
        <w:jc w:val="left"/>
        <w:rPr>
          <w:rFonts w:ascii="宋体" w:hAnsi="宋体"/>
          <w:color w:val="auto"/>
          <w:szCs w:val="21"/>
        </w:rPr>
      </w:pPr>
      <w:r>
        <w:rPr>
          <w:rFonts w:hint="eastAsia" w:ascii="宋体" w:hAnsi="宋体"/>
          <w:color w:val="auto"/>
          <w:szCs w:val="21"/>
        </w:rPr>
        <w:t>(1)因不可抗拒的客观原因，不能到场或需在评标中途退出评标活动。</w:t>
      </w:r>
    </w:p>
    <w:p>
      <w:pPr>
        <w:spacing w:line="360" w:lineRule="auto"/>
        <w:ind w:firstLine="405"/>
        <w:jc w:val="left"/>
        <w:rPr>
          <w:rFonts w:ascii="宋体" w:hAnsi="宋体"/>
          <w:color w:val="auto"/>
          <w:szCs w:val="21"/>
        </w:rPr>
      </w:pPr>
      <w:r>
        <w:rPr>
          <w:rFonts w:hint="eastAsia" w:ascii="宋体" w:hAnsi="宋体"/>
          <w:color w:val="auto"/>
          <w:szCs w:val="21"/>
        </w:rPr>
        <w:t>(2)根据法律法规规定，某个或某几个评标委员会成员需要回避。</w:t>
      </w:r>
    </w:p>
    <w:p>
      <w:pPr>
        <w:spacing w:line="360" w:lineRule="auto"/>
        <w:jc w:val="left"/>
        <w:rPr>
          <w:rFonts w:ascii="宋体" w:hAnsi="宋体"/>
          <w:color w:val="auto"/>
          <w:szCs w:val="21"/>
        </w:rPr>
      </w:pPr>
      <w:r>
        <w:rPr>
          <w:rFonts w:hint="eastAsia" w:ascii="宋体" w:hAnsi="宋体"/>
          <w:color w:val="auto"/>
          <w:szCs w:val="21"/>
        </w:rPr>
        <w:t xml:space="preserve">    A6.2.2退出评标的评标委员会成员，其已完成的评标行为无效。由招标人根据本招标文件规定的评标委员会成员产生方式另行确定替代者进行评标。</w:t>
      </w:r>
    </w:p>
    <w:p>
      <w:pPr>
        <w:spacing w:line="360" w:lineRule="auto"/>
        <w:jc w:val="left"/>
        <w:rPr>
          <w:rFonts w:ascii="宋体" w:hAnsi="宋体"/>
          <w:color w:val="auto"/>
          <w:szCs w:val="21"/>
        </w:rPr>
      </w:pPr>
      <w:r>
        <w:rPr>
          <w:rFonts w:hint="eastAsia" w:ascii="宋体" w:hAnsi="宋体"/>
          <w:color w:val="auto"/>
          <w:szCs w:val="21"/>
        </w:rPr>
        <w:t xml:space="preserve">    A6.3记名投票</w:t>
      </w:r>
    </w:p>
    <w:p>
      <w:pPr>
        <w:spacing w:line="360" w:lineRule="auto"/>
        <w:ind w:firstLine="420"/>
        <w:jc w:val="left"/>
        <w:rPr>
          <w:rFonts w:ascii="宋体" w:hAnsi="宋体"/>
          <w:color w:val="auto"/>
          <w:szCs w:val="21"/>
        </w:rPr>
      </w:pPr>
      <w:r>
        <w:rPr>
          <w:rFonts w:hint="eastAsia" w:ascii="宋体" w:hAnsi="宋体"/>
          <w:color w:val="auto"/>
          <w:szCs w:val="21"/>
        </w:rPr>
        <w:t>在任何评标环节中，需评标委员会就某项定性的评审结论做出表决的，由评标委员公全体成员按照少数服从多数的原则，以记名投票方式表决。</w:t>
      </w: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jc w:val="left"/>
        <w:rPr>
          <w:b/>
          <w:bCs/>
          <w:color w:val="auto"/>
          <w:sz w:val="28"/>
          <w:szCs w:val="28"/>
        </w:rPr>
      </w:pPr>
      <w:r>
        <w:rPr>
          <w:rFonts w:hint="eastAsia"/>
          <w:b/>
          <w:bCs/>
          <w:color w:val="auto"/>
          <w:sz w:val="28"/>
          <w:szCs w:val="28"/>
        </w:rPr>
        <w:t>附件3-B:废标条件</w:t>
      </w:r>
    </w:p>
    <w:p>
      <w:pPr>
        <w:spacing w:line="360" w:lineRule="auto"/>
        <w:ind w:firstLine="420"/>
        <w:jc w:val="left"/>
        <w:rPr>
          <w:rFonts w:ascii="宋体" w:hAnsi="宋体"/>
          <w:color w:val="auto"/>
          <w:szCs w:val="21"/>
        </w:rPr>
      </w:pPr>
    </w:p>
    <w:p>
      <w:pPr>
        <w:jc w:val="center"/>
        <w:rPr>
          <w:rFonts w:ascii="宋体" w:hAnsi="宋体"/>
          <w:color w:val="auto"/>
          <w:szCs w:val="21"/>
        </w:rPr>
      </w:pPr>
      <w:r>
        <w:rPr>
          <w:rFonts w:hint="eastAsia"/>
          <w:b/>
          <w:bCs/>
          <w:color w:val="auto"/>
          <w:sz w:val="28"/>
          <w:szCs w:val="28"/>
        </w:rPr>
        <w:t>废标条件</w:t>
      </w:r>
    </w:p>
    <w:p>
      <w:pPr>
        <w:jc w:val="left"/>
        <w:rPr>
          <w:b/>
          <w:bCs/>
          <w:color w:val="auto"/>
          <w:sz w:val="28"/>
          <w:szCs w:val="28"/>
        </w:rPr>
      </w:pPr>
      <w:r>
        <w:rPr>
          <w:rFonts w:hint="eastAsia"/>
          <w:b/>
          <w:bCs/>
          <w:color w:val="auto"/>
          <w:sz w:val="28"/>
          <w:szCs w:val="28"/>
        </w:rPr>
        <w:t>B0.总则</w:t>
      </w:r>
    </w:p>
    <w:p>
      <w:pPr>
        <w:spacing w:line="360" w:lineRule="auto"/>
        <w:ind w:firstLine="420"/>
        <w:jc w:val="left"/>
        <w:rPr>
          <w:rFonts w:ascii="宋体" w:hAnsi="宋体"/>
          <w:color w:val="auto"/>
          <w:szCs w:val="21"/>
        </w:rPr>
      </w:pPr>
      <w:r>
        <w:rPr>
          <w:rFonts w:hint="eastAsia" w:ascii="宋体" w:hAnsi="宋体"/>
          <w:color w:val="auto"/>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jc w:val="left"/>
        <w:rPr>
          <w:rFonts w:ascii="宋体" w:hAnsi="宋体"/>
          <w:color w:val="auto"/>
          <w:szCs w:val="21"/>
        </w:rPr>
      </w:pPr>
      <w:r>
        <w:rPr>
          <w:rFonts w:hint="eastAsia"/>
          <w:b/>
          <w:bCs/>
          <w:color w:val="auto"/>
          <w:sz w:val="28"/>
          <w:szCs w:val="28"/>
        </w:rPr>
        <w:t>B1.废标条件</w:t>
      </w:r>
    </w:p>
    <w:p>
      <w:pPr>
        <w:spacing w:line="360" w:lineRule="auto"/>
        <w:ind w:firstLine="420"/>
        <w:jc w:val="left"/>
        <w:rPr>
          <w:rFonts w:ascii="宋体" w:hAnsi="宋体"/>
          <w:color w:val="auto"/>
          <w:szCs w:val="21"/>
        </w:rPr>
      </w:pPr>
      <w:r>
        <w:rPr>
          <w:rFonts w:hint="eastAsia" w:ascii="宋体" w:hAnsi="宋体"/>
          <w:color w:val="auto"/>
          <w:szCs w:val="21"/>
        </w:rPr>
        <w:t>投标人或其投标文件有下列情形之一的，其投标作废标处理，</w:t>
      </w:r>
    </w:p>
    <w:p>
      <w:pPr>
        <w:spacing w:line="360" w:lineRule="auto"/>
        <w:ind w:firstLine="420"/>
        <w:jc w:val="left"/>
        <w:rPr>
          <w:rFonts w:ascii="宋体" w:hAnsi="宋体"/>
          <w:color w:val="auto"/>
          <w:szCs w:val="21"/>
        </w:rPr>
      </w:pPr>
      <w:r>
        <w:rPr>
          <w:rFonts w:hint="eastAsia" w:ascii="宋体" w:hAnsi="宋体"/>
          <w:color w:val="auto"/>
          <w:szCs w:val="21"/>
        </w:rPr>
        <w:t>B1.1有第二章“投标人须知”第1.4.3项规定的任何一种情形的。</w:t>
      </w:r>
    </w:p>
    <w:p>
      <w:pPr>
        <w:spacing w:line="360" w:lineRule="auto"/>
        <w:ind w:firstLine="420"/>
        <w:jc w:val="left"/>
        <w:rPr>
          <w:rFonts w:ascii="宋体" w:hAnsi="宋体"/>
          <w:color w:val="auto"/>
          <w:szCs w:val="21"/>
        </w:rPr>
      </w:pPr>
      <w:r>
        <w:rPr>
          <w:rFonts w:hint="eastAsia" w:ascii="宋体" w:hAnsi="宋体"/>
          <w:color w:val="auto"/>
          <w:szCs w:val="21"/>
        </w:rPr>
        <w:t>B1.2有串通投标或弄虚作假或有其他违法行为的。</w:t>
      </w:r>
    </w:p>
    <w:p>
      <w:pPr>
        <w:spacing w:line="360" w:lineRule="auto"/>
        <w:ind w:firstLine="420"/>
        <w:jc w:val="left"/>
        <w:rPr>
          <w:rFonts w:ascii="宋体" w:hAnsi="宋体"/>
          <w:color w:val="auto"/>
          <w:szCs w:val="21"/>
        </w:rPr>
      </w:pPr>
      <w:r>
        <w:rPr>
          <w:rFonts w:hint="eastAsia" w:ascii="宋体" w:hAnsi="宋体"/>
          <w:color w:val="auto"/>
          <w:szCs w:val="21"/>
        </w:rPr>
        <w:t>B1.3不按评标委员会要求澄清、说明或补正的。</w:t>
      </w:r>
    </w:p>
    <w:p>
      <w:pPr>
        <w:spacing w:line="360" w:lineRule="auto"/>
        <w:ind w:firstLine="420"/>
        <w:jc w:val="left"/>
        <w:rPr>
          <w:rFonts w:ascii="宋体" w:hAnsi="宋体"/>
          <w:color w:val="auto"/>
          <w:szCs w:val="21"/>
        </w:rPr>
      </w:pPr>
      <w:r>
        <w:rPr>
          <w:rFonts w:hint="eastAsia" w:ascii="宋体" w:hAnsi="宋体"/>
          <w:color w:val="auto"/>
          <w:szCs w:val="21"/>
        </w:rPr>
        <w:t>B1.4在形式评审、资格评审、响应性评审中，评标委员会认定投标人的投标文件不符合评标办法前附表中规定的任何一项评审标准的。</w:t>
      </w:r>
    </w:p>
    <w:p>
      <w:pPr>
        <w:spacing w:line="360" w:lineRule="auto"/>
        <w:ind w:firstLine="420"/>
        <w:jc w:val="left"/>
        <w:rPr>
          <w:rFonts w:ascii="宋体" w:hAnsi="宋体"/>
          <w:color w:val="auto"/>
          <w:szCs w:val="21"/>
        </w:rPr>
      </w:pPr>
      <w:r>
        <w:rPr>
          <w:rFonts w:hint="eastAsia" w:ascii="宋体" w:hAnsi="宋体"/>
          <w:color w:val="auto"/>
          <w:szCs w:val="21"/>
        </w:rPr>
        <w:t>B1.5当投标人资格申请文件的内容发生重大变化时，其在投标文件中更新的资料，未能通过资格评审的。</w:t>
      </w:r>
    </w:p>
    <w:p>
      <w:pPr>
        <w:spacing w:line="360" w:lineRule="auto"/>
        <w:ind w:firstLine="420"/>
        <w:jc w:val="left"/>
        <w:rPr>
          <w:rFonts w:ascii="宋体" w:hAnsi="宋体"/>
          <w:color w:val="auto"/>
          <w:szCs w:val="21"/>
        </w:rPr>
      </w:pPr>
      <w:r>
        <w:rPr>
          <w:rFonts w:hint="eastAsia" w:ascii="宋体" w:hAnsi="宋体"/>
          <w:color w:val="auto"/>
          <w:szCs w:val="21"/>
        </w:rPr>
        <w:t>B1.6评标委员会认定投标人以低于成本报价竞标的。</w:t>
      </w:r>
    </w:p>
    <w:p>
      <w:pPr>
        <w:spacing w:line="360" w:lineRule="auto"/>
        <w:ind w:firstLine="420"/>
        <w:jc w:val="left"/>
        <w:rPr>
          <w:rFonts w:ascii="宋体" w:hAnsi="宋体"/>
          <w:color w:val="auto"/>
          <w:szCs w:val="21"/>
        </w:rPr>
      </w:pPr>
      <w:r>
        <w:rPr>
          <w:rFonts w:hint="eastAsia" w:ascii="宋体" w:hAnsi="宋体"/>
          <w:color w:val="auto"/>
          <w:szCs w:val="21"/>
        </w:rPr>
        <w:t>B1.7投标人未按第二章“投标人须知”第10.6款规定出席开标会的。</w:t>
      </w:r>
    </w:p>
    <w:p>
      <w:pPr>
        <w:spacing w:line="360" w:lineRule="auto"/>
        <w:ind w:firstLine="420"/>
        <w:jc w:val="left"/>
        <w:rPr>
          <w:rFonts w:ascii="宋体" w:hAnsi="宋体"/>
          <w:color w:val="auto"/>
          <w:szCs w:val="21"/>
        </w:rPr>
      </w:pPr>
      <w:r>
        <w:rPr>
          <w:rFonts w:hint="eastAsia" w:ascii="宋体" w:hAnsi="宋体"/>
          <w:color w:val="auto"/>
          <w:szCs w:val="21"/>
        </w:rPr>
        <w:t>B1.8投标报价有算术错误的，评标委员会按本章第3. 1.3项规定对投标报价进行修正，投标人不接受修正价格的。</w:t>
      </w:r>
    </w:p>
    <w:p>
      <w:pPr>
        <w:spacing w:line="360" w:lineRule="auto"/>
        <w:ind w:firstLine="420"/>
        <w:jc w:val="left"/>
        <w:rPr>
          <w:rFonts w:ascii="宋体" w:hAnsi="宋体"/>
          <w:color w:val="auto"/>
          <w:szCs w:val="21"/>
        </w:rPr>
      </w:pPr>
      <w:r>
        <w:rPr>
          <w:rFonts w:hint="eastAsia" w:ascii="宋体" w:hAnsi="宋体"/>
          <w:color w:val="auto"/>
          <w:szCs w:val="21"/>
        </w:rPr>
        <w:t>B1.9投标人递交两份或多份内容不同的投标文件的。</w:t>
      </w:r>
    </w:p>
    <w:p>
      <w:pPr>
        <w:spacing w:line="360" w:lineRule="auto"/>
        <w:ind w:firstLine="420"/>
        <w:jc w:val="left"/>
        <w:rPr>
          <w:rFonts w:ascii="宋体" w:hAnsi="宋体"/>
          <w:color w:val="auto"/>
          <w:szCs w:val="21"/>
        </w:rPr>
      </w:pPr>
      <w:r>
        <w:rPr>
          <w:rFonts w:hint="eastAsia" w:ascii="宋体" w:hAnsi="宋体"/>
          <w:color w:val="auto"/>
          <w:szCs w:val="21"/>
        </w:rPr>
        <w:t>B1.10投标人不能提供合法的、真实的材料证明其投标文件的真实性或证明其为合格投标人的。</w:t>
      </w:r>
    </w:p>
    <w:p>
      <w:pPr>
        <w:spacing w:line="360" w:lineRule="auto"/>
        <w:ind w:firstLine="420"/>
        <w:jc w:val="left"/>
        <w:rPr>
          <w:rFonts w:ascii="宋体" w:hAnsi="宋体"/>
          <w:color w:val="auto"/>
          <w:szCs w:val="21"/>
        </w:rPr>
      </w:pPr>
      <w:r>
        <w:rPr>
          <w:rFonts w:hint="eastAsia" w:ascii="宋体" w:hAnsi="宋体"/>
          <w:color w:val="auto"/>
          <w:szCs w:val="21"/>
        </w:rPr>
        <w:t>B1.11未按规定提供原件或原件提供不全的。</w:t>
      </w: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ind w:firstLine="420"/>
        <w:jc w:val="left"/>
        <w:rPr>
          <w:rFonts w:ascii="宋体" w:hAnsi="宋体"/>
          <w:color w:val="auto"/>
          <w:szCs w:val="21"/>
        </w:rPr>
      </w:pPr>
    </w:p>
    <w:p>
      <w:pPr>
        <w:spacing w:line="360" w:lineRule="auto"/>
        <w:jc w:val="left"/>
        <w:rPr>
          <w:rFonts w:ascii="宋体" w:hAnsi="宋体"/>
          <w:color w:val="auto"/>
          <w:szCs w:val="21"/>
        </w:rPr>
      </w:pPr>
    </w:p>
    <w:p>
      <w:pPr>
        <w:jc w:val="left"/>
        <w:rPr>
          <w:b/>
          <w:bCs/>
          <w:color w:val="auto"/>
          <w:sz w:val="28"/>
          <w:szCs w:val="28"/>
        </w:rPr>
      </w:pPr>
      <w:r>
        <w:rPr>
          <w:rFonts w:hint="eastAsia"/>
          <w:b/>
          <w:bCs/>
          <w:color w:val="auto"/>
          <w:sz w:val="28"/>
          <w:szCs w:val="28"/>
        </w:rPr>
        <w:t>附表3-1:资信评审计分表</w:t>
      </w:r>
    </w:p>
    <w:p>
      <w:pPr>
        <w:jc w:val="center"/>
        <w:rPr>
          <w:b/>
          <w:bCs/>
          <w:color w:val="auto"/>
          <w:sz w:val="28"/>
          <w:szCs w:val="28"/>
        </w:rPr>
      </w:pPr>
      <w:r>
        <w:rPr>
          <w:rFonts w:hint="eastAsia"/>
          <w:b/>
          <w:bCs/>
          <w:color w:val="auto"/>
          <w:sz w:val="28"/>
          <w:szCs w:val="28"/>
        </w:rPr>
        <w:t>资信评审计分表</w:t>
      </w:r>
    </w:p>
    <w:p>
      <w:pPr>
        <w:spacing w:line="360" w:lineRule="auto"/>
        <w:jc w:val="lef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(项目名称)前期物业管理招标</w:t>
      </w:r>
    </w:p>
    <w:p>
      <w:pPr>
        <w:spacing w:line="360" w:lineRule="auto"/>
        <w:jc w:val="left"/>
        <w:rPr>
          <w:rFonts w:ascii="宋体" w:hAnsi="宋体"/>
          <w:color w:val="auto"/>
          <w:szCs w:val="21"/>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992"/>
        <w:gridCol w:w="368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1417" w:type="dxa"/>
            <w:vMerge w:val="restart"/>
            <w:vAlign w:val="center"/>
          </w:tcPr>
          <w:p>
            <w:pPr>
              <w:spacing w:line="360" w:lineRule="auto"/>
              <w:jc w:val="center"/>
              <w:rPr>
                <w:rFonts w:ascii="宋体" w:hAnsi="宋体"/>
                <w:color w:val="auto"/>
                <w:szCs w:val="21"/>
              </w:rPr>
            </w:pPr>
            <w:r>
              <w:rPr>
                <w:rFonts w:hint="eastAsia" w:ascii="宋体" w:hAnsi="宋体"/>
                <w:color w:val="auto"/>
                <w:szCs w:val="21"/>
              </w:rPr>
              <w:t>评审内容</w:t>
            </w:r>
          </w:p>
        </w:tc>
        <w:tc>
          <w:tcPr>
            <w:tcW w:w="992" w:type="dxa"/>
            <w:vMerge w:val="restart"/>
            <w:vAlign w:val="center"/>
          </w:tcPr>
          <w:p>
            <w:pPr>
              <w:spacing w:line="360" w:lineRule="auto"/>
              <w:jc w:val="center"/>
              <w:rPr>
                <w:rFonts w:ascii="宋体" w:hAnsi="宋体"/>
                <w:color w:val="auto"/>
                <w:szCs w:val="21"/>
              </w:rPr>
            </w:pPr>
            <w:r>
              <w:rPr>
                <w:rFonts w:hint="eastAsia" w:ascii="宋体" w:hAnsi="宋体"/>
                <w:color w:val="auto"/>
                <w:szCs w:val="21"/>
              </w:rPr>
              <w:t>标准分</w:t>
            </w:r>
          </w:p>
        </w:tc>
        <w:tc>
          <w:tcPr>
            <w:tcW w:w="3686" w:type="dxa"/>
            <w:vMerge w:val="restart"/>
            <w:vAlign w:val="center"/>
          </w:tcPr>
          <w:p>
            <w:pPr>
              <w:spacing w:line="360" w:lineRule="auto"/>
              <w:jc w:val="center"/>
              <w:rPr>
                <w:rFonts w:ascii="宋体" w:hAnsi="宋体"/>
                <w:color w:val="auto"/>
                <w:szCs w:val="21"/>
              </w:rPr>
            </w:pPr>
            <w:r>
              <w:rPr>
                <w:rFonts w:hint="eastAsia" w:ascii="宋体" w:hAnsi="宋体"/>
                <w:color w:val="auto"/>
                <w:szCs w:val="21"/>
              </w:rPr>
              <w:t>评分标准</w:t>
            </w:r>
          </w:p>
        </w:tc>
        <w:tc>
          <w:tcPr>
            <w:tcW w:w="1893" w:type="dxa"/>
            <w:vAlign w:val="center"/>
          </w:tcPr>
          <w:p>
            <w:pPr>
              <w:spacing w:line="360" w:lineRule="auto"/>
              <w:jc w:val="center"/>
              <w:rPr>
                <w:rFonts w:ascii="宋体" w:hAnsi="宋体"/>
                <w:color w:val="auto"/>
                <w:szCs w:val="21"/>
              </w:rPr>
            </w:pPr>
            <w:r>
              <w:rPr>
                <w:rFonts w:hint="eastAsia" w:ascii="宋体" w:hAnsi="宋体"/>
                <w:color w:val="auto"/>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spacing w:line="360" w:lineRule="auto"/>
              <w:jc w:val="center"/>
              <w:rPr>
                <w:rFonts w:ascii="宋体" w:hAnsi="宋体"/>
                <w:color w:val="auto"/>
                <w:szCs w:val="21"/>
              </w:rPr>
            </w:pPr>
          </w:p>
        </w:tc>
        <w:tc>
          <w:tcPr>
            <w:tcW w:w="1417" w:type="dxa"/>
            <w:vMerge w:val="continue"/>
            <w:vAlign w:val="center"/>
          </w:tcPr>
          <w:p>
            <w:pPr>
              <w:spacing w:line="360" w:lineRule="auto"/>
              <w:jc w:val="center"/>
              <w:rPr>
                <w:rFonts w:ascii="宋体" w:hAnsi="宋体"/>
                <w:color w:val="auto"/>
                <w:szCs w:val="21"/>
              </w:rPr>
            </w:pPr>
          </w:p>
        </w:tc>
        <w:tc>
          <w:tcPr>
            <w:tcW w:w="992" w:type="dxa"/>
            <w:vMerge w:val="continue"/>
            <w:vAlign w:val="center"/>
          </w:tcPr>
          <w:p>
            <w:pPr>
              <w:spacing w:line="360" w:lineRule="auto"/>
              <w:jc w:val="center"/>
              <w:rPr>
                <w:rFonts w:ascii="宋体" w:hAnsi="宋体"/>
                <w:color w:val="auto"/>
                <w:szCs w:val="21"/>
              </w:rPr>
            </w:pPr>
          </w:p>
        </w:tc>
        <w:tc>
          <w:tcPr>
            <w:tcW w:w="3686" w:type="dxa"/>
            <w:vMerge w:val="continue"/>
            <w:vAlign w:val="center"/>
          </w:tcPr>
          <w:p>
            <w:pPr>
              <w:spacing w:line="360" w:lineRule="auto"/>
              <w:jc w:val="center"/>
              <w:rPr>
                <w:rFonts w:ascii="宋体" w:hAnsi="宋体"/>
                <w:color w:val="auto"/>
                <w:szCs w:val="21"/>
              </w:rPr>
            </w:pPr>
          </w:p>
        </w:tc>
        <w:tc>
          <w:tcPr>
            <w:tcW w:w="1893" w:type="dxa"/>
            <w:vAlign w:val="center"/>
          </w:tcPr>
          <w:p>
            <w:pPr>
              <w:spacing w:line="360" w:lineRule="auto"/>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3" w:hRule="atLeast"/>
        </w:trPr>
        <w:tc>
          <w:tcPr>
            <w:tcW w:w="534" w:type="dxa"/>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1417" w:type="dxa"/>
            <w:vAlign w:val="center"/>
          </w:tcPr>
          <w:p>
            <w:pPr>
              <w:spacing w:line="360" w:lineRule="auto"/>
              <w:jc w:val="center"/>
              <w:rPr>
                <w:rFonts w:ascii="宋体" w:hAnsi="宋体"/>
                <w:color w:val="auto"/>
                <w:szCs w:val="21"/>
              </w:rPr>
            </w:pPr>
            <w:r>
              <w:rPr>
                <w:rFonts w:hint="eastAsia" w:ascii="宋体" w:hAnsi="宋体"/>
                <w:color w:val="auto"/>
                <w:szCs w:val="21"/>
              </w:rPr>
              <w:t>拟派驻项</w:t>
            </w:r>
          </w:p>
          <w:p>
            <w:pPr>
              <w:spacing w:line="360" w:lineRule="auto"/>
              <w:jc w:val="center"/>
              <w:rPr>
                <w:rFonts w:ascii="宋体" w:hAnsi="宋体"/>
                <w:color w:val="auto"/>
                <w:szCs w:val="21"/>
              </w:rPr>
            </w:pPr>
            <w:r>
              <w:rPr>
                <w:rFonts w:hint="eastAsia" w:ascii="宋体" w:hAnsi="宋体"/>
                <w:color w:val="auto"/>
                <w:szCs w:val="21"/>
              </w:rPr>
              <w:t>目负责人资格</w:t>
            </w:r>
          </w:p>
        </w:tc>
        <w:tc>
          <w:tcPr>
            <w:tcW w:w="992" w:type="dxa"/>
            <w:vAlign w:val="center"/>
          </w:tcPr>
          <w:p>
            <w:pPr>
              <w:spacing w:line="360" w:lineRule="auto"/>
              <w:jc w:val="center"/>
              <w:rPr>
                <w:rFonts w:hint="default" w:ascii="宋体" w:hAnsi="宋体" w:eastAsiaTheme="minorEastAsia"/>
                <w:color w:val="auto"/>
                <w:szCs w:val="21"/>
                <w:lang w:val="en-US" w:eastAsia="zh-CN"/>
              </w:rPr>
            </w:pPr>
            <w:r>
              <w:rPr>
                <w:rFonts w:hint="eastAsia" w:ascii="宋体" w:hAnsi="宋体"/>
                <w:color w:val="auto"/>
                <w:szCs w:val="21"/>
                <w:lang w:val="en-US" w:eastAsia="zh-CN"/>
              </w:rPr>
              <w:t>100</w:t>
            </w:r>
          </w:p>
        </w:tc>
        <w:tc>
          <w:tcPr>
            <w:tcW w:w="3686" w:type="dxa"/>
            <w:vAlign w:val="center"/>
          </w:tcPr>
          <w:p>
            <w:pPr>
              <w:spacing w:line="360" w:lineRule="auto"/>
              <w:rPr>
                <w:color w:val="auto"/>
              </w:rPr>
            </w:pPr>
            <w:r>
              <w:rPr>
                <w:rFonts w:hint="eastAsia" w:ascii="宋体" w:hAnsi="宋体"/>
                <w:color w:val="auto"/>
                <w:szCs w:val="21"/>
              </w:rPr>
              <w:t>（1）具有物业经理上岗证计</w:t>
            </w:r>
            <w:r>
              <w:rPr>
                <w:rFonts w:hint="eastAsia" w:ascii="宋体" w:hAnsi="宋体"/>
                <w:color w:val="auto"/>
                <w:szCs w:val="21"/>
                <w:lang w:val="en-US" w:eastAsia="zh-CN"/>
              </w:rPr>
              <w:t>10</w:t>
            </w:r>
            <w:r>
              <w:rPr>
                <w:rFonts w:hint="eastAsia" w:ascii="宋体" w:hAnsi="宋体"/>
                <w:color w:val="auto"/>
                <w:szCs w:val="21"/>
              </w:rPr>
              <w:t>0分；</w:t>
            </w:r>
          </w:p>
          <w:p>
            <w:pPr>
              <w:spacing w:line="360" w:lineRule="auto"/>
              <w:rPr>
                <w:rFonts w:ascii="宋体" w:hAnsi="宋体"/>
                <w:color w:val="auto"/>
                <w:szCs w:val="21"/>
              </w:rPr>
            </w:pPr>
            <w:r>
              <w:rPr>
                <w:rFonts w:hint="eastAsia" w:ascii="宋体" w:hAnsi="宋体"/>
                <w:color w:val="auto"/>
                <w:szCs w:val="21"/>
              </w:rPr>
              <w:t>（本项最高得分为</w:t>
            </w:r>
            <w:r>
              <w:rPr>
                <w:rFonts w:hint="eastAsia" w:ascii="宋体" w:hAnsi="宋体"/>
                <w:color w:val="auto"/>
                <w:szCs w:val="21"/>
                <w:lang w:val="en-US" w:eastAsia="zh-CN"/>
              </w:rPr>
              <w:t>10</w:t>
            </w:r>
            <w:r>
              <w:rPr>
                <w:rFonts w:hint="eastAsia" w:ascii="宋体" w:hAnsi="宋体"/>
                <w:color w:val="auto"/>
                <w:szCs w:val="21"/>
              </w:rPr>
              <w:t>0分，提供原件备查，否则不计分）</w:t>
            </w:r>
          </w:p>
        </w:tc>
        <w:tc>
          <w:tcPr>
            <w:tcW w:w="1893" w:type="dxa"/>
            <w:vAlign w:val="center"/>
          </w:tcPr>
          <w:p>
            <w:pPr>
              <w:spacing w:line="360" w:lineRule="auto"/>
              <w:jc w:val="center"/>
              <w:rPr>
                <w:rFonts w:ascii="宋体" w:hAnsi="宋体"/>
                <w:color w:val="auto"/>
                <w:szCs w:val="21"/>
              </w:rPr>
            </w:pPr>
          </w:p>
        </w:tc>
      </w:tr>
    </w:tbl>
    <w:p>
      <w:pPr>
        <w:jc w:val="left"/>
        <w:rPr>
          <w:b/>
          <w:bCs/>
          <w:color w:val="auto"/>
          <w:sz w:val="28"/>
          <w:szCs w:val="28"/>
        </w:rPr>
      </w:pPr>
    </w:p>
    <w:p>
      <w:pPr>
        <w:jc w:val="left"/>
        <w:rPr>
          <w:b/>
          <w:bCs/>
          <w:color w:val="auto"/>
          <w:sz w:val="28"/>
          <w:szCs w:val="28"/>
        </w:rPr>
      </w:pPr>
      <w:r>
        <w:rPr>
          <w:rFonts w:hint="eastAsia"/>
          <w:b/>
          <w:bCs/>
          <w:color w:val="auto"/>
          <w:sz w:val="28"/>
          <w:szCs w:val="28"/>
        </w:rPr>
        <w:t>附表3-2:投标报价评审计分表</w:t>
      </w:r>
    </w:p>
    <w:p>
      <w:pPr>
        <w:jc w:val="center"/>
        <w:rPr>
          <w:b/>
          <w:bCs/>
          <w:color w:val="auto"/>
          <w:sz w:val="28"/>
          <w:szCs w:val="28"/>
        </w:rPr>
      </w:pPr>
      <w:r>
        <w:rPr>
          <w:rFonts w:hint="eastAsia"/>
          <w:b/>
          <w:bCs/>
          <w:color w:val="auto"/>
          <w:sz w:val="28"/>
          <w:szCs w:val="28"/>
        </w:rPr>
        <w:t>投标报价评审计分表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35"/>
        <w:gridCol w:w="1233"/>
        <w:gridCol w:w="1985"/>
        <w:gridCol w:w="1125"/>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
                <w:bCs/>
                <w:color w:val="auto"/>
                <w:sz w:val="28"/>
                <w:szCs w:val="28"/>
              </w:rPr>
            </w:pPr>
            <w:r>
              <w:rPr>
                <w:rFonts w:hint="eastAsia" w:ascii="宋体" w:hAnsi="宋体"/>
                <w:color w:val="auto"/>
                <w:szCs w:val="21"/>
              </w:rPr>
              <w:t>序号</w:t>
            </w:r>
          </w:p>
        </w:tc>
        <w:tc>
          <w:tcPr>
            <w:tcW w:w="2268" w:type="dxa"/>
            <w:gridSpan w:val="2"/>
            <w:vAlign w:val="center"/>
          </w:tcPr>
          <w:p>
            <w:pPr>
              <w:jc w:val="center"/>
              <w:rPr>
                <w:bCs/>
                <w:color w:val="auto"/>
                <w:szCs w:val="21"/>
              </w:rPr>
            </w:pPr>
            <w:r>
              <w:rPr>
                <w:rFonts w:hint="eastAsia"/>
                <w:bCs/>
                <w:color w:val="auto"/>
                <w:szCs w:val="21"/>
              </w:rPr>
              <w:t>项目</w:t>
            </w:r>
          </w:p>
        </w:tc>
        <w:tc>
          <w:tcPr>
            <w:tcW w:w="1985" w:type="dxa"/>
            <w:vAlign w:val="center"/>
          </w:tcPr>
          <w:p>
            <w:pPr>
              <w:jc w:val="center"/>
              <w:rPr>
                <w:b/>
                <w:bCs/>
                <w:color w:val="auto"/>
                <w:sz w:val="28"/>
                <w:szCs w:val="28"/>
              </w:rPr>
            </w:pPr>
            <w:r>
              <w:rPr>
                <w:rFonts w:hint="eastAsia" w:ascii="宋体" w:hAnsi="宋体"/>
                <w:color w:val="auto"/>
                <w:szCs w:val="21"/>
              </w:rPr>
              <w:t>评分标准</w:t>
            </w:r>
          </w:p>
        </w:tc>
        <w:tc>
          <w:tcPr>
            <w:tcW w:w="3452" w:type="dxa"/>
            <w:gridSpan w:val="2"/>
            <w:vAlign w:val="center"/>
          </w:tcPr>
          <w:p>
            <w:pPr>
              <w:jc w:val="center"/>
              <w:rPr>
                <w:bCs/>
                <w:color w:val="auto"/>
                <w:szCs w:val="21"/>
              </w:rPr>
            </w:pPr>
            <w:r>
              <w:rPr>
                <w:rFonts w:hint="eastAsia"/>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1</w:t>
            </w:r>
          </w:p>
        </w:tc>
        <w:tc>
          <w:tcPr>
            <w:tcW w:w="2268" w:type="dxa"/>
            <w:gridSpan w:val="2"/>
            <w:vAlign w:val="center"/>
          </w:tcPr>
          <w:p>
            <w:pPr>
              <w:jc w:val="center"/>
              <w:rPr>
                <w:bCs/>
                <w:color w:val="auto"/>
                <w:szCs w:val="21"/>
              </w:rPr>
            </w:pPr>
            <w:r>
              <w:rPr>
                <w:rFonts w:hint="eastAsia"/>
                <w:bCs/>
                <w:color w:val="auto"/>
                <w:szCs w:val="21"/>
              </w:rPr>
              <w:t>最终投标价&gt;基准价</w:t>
            </w:r>
          </w:p>
        </w:tc>
        <w:tc>
          <w:tcPr>
            <w:tcW w:w="1985" w:type="dxa"/>
            <w:vAlign w:val="center"/>
          </w:tcPr>
          <w:p>
            <w:pPr>
              <w:jc w:val="center"/>
              <w:rPr>
                <w:bCs/>
                <w:color w:val="auto"/>
                <w:szCs w:val="21"/>
              </w:rPr>
            </w:pPr>
            <w:r>
              <w:rPr>
                <w:rFonts w:hint="eastAsia"/>
                <w:bCs/>
                <w:color w:val="auto"/>
                <w:szCs w:val="21"/>
              </w:rPr>
              <w:t>从0开始每升1%减2分，即100-2X100</w:t>
            </w:r>
            <w:r>
              <w:rPr>
                <w:rFonts w:hint="eastAsia" w:ascii="DFKai-SB" w:hAnsi="DFKai-SB" w:eastAsia="DFKai-SB"/>
                <w:bCs/>
                <w:color w:val="auto"/>
                <w:szCs w:val="21"/>
              </w:rPr>
              <w:t>X</w:t>
            </w:r>
          </w:p>
        </w:tc>
        <w:tc>
          <w:tcPr>
            <w:tcW w:w="3452" w:type="dxa"/>
            <w:gridSpan w:val="2"/>
            <w:vMerge w:val="restart"/>
            <w:vAlign w:val="center"/>
          </w:tcPr>
          <w:p>
            <w:pPr>
              <w:jc w:val="left"/>
              <w:rPr>
                <w:bCs/>
                <w:color w:val="auto"/>
                <w:szCs w:val="21"/>
              </w:rPr>
            </w:pPr>
            <w:r>
              <w:rPr>
                <w:rFonts w:hint="eastAsia" w:ascii="DFKai-SB" w:hAnsi="DFKai-SB" w:eastAsia="DFKai-SB"/>
                <w:bCs/>
                <w:color w:val="auto"/>
                <w:szCs w:val="21"/>
              </w:rPr>
              <w:t>X</w:t>
            </w:r>
            <w:r>
              <w:rPr>
                <w:rFonts w:hint="eastAsia"/>
                <w:bCs/>
                <w:color w:val="auto"/>
                <w:szCs w:val="21"/>
              </w:rPr>
              <w:t>为最终投标价升、降率百分点数的绝对值，即</w:t>
            </w:r>
          </w:p>
          <w:p>
            <w:pPr>
              <w:ind w:firstLine="315" w:firstLineChars="150"/>
              <w:rPr>
                <w:bCs/>
                <w:color w:val="auto"/>
                <w:szCs w:val="21"/>
              </w:rPr>
            </w:pPr>
            <w:r>
              <w:rPr>
                <w:bCs/>
                <w:color w:val="auto"/>
                <w:szCs w:val="21"/>
              </w:rPr>
              <mc:AlternateContent>
                <mc:Choice Requires="wps">
                  <w:drawing>
                    <wp:anchor distT="0" distB="0" distL="114300" distR="114300" simplePos="0" relativeHeight="251660288" behindDoc="0" locked="0" layoutInCell="1" allowOverlap="1">
                      <wp:simplePos x="0" y="0"/>
                      <wp:positionH relativeFrom="column">
                        <wp:posOffset>1495425</wp:posOffset>
                      </wp:positionH>
                      <wp:positionV relativeFrom="paragraph">
                        <wp:posOffset>76835</wp:posOffset>
                      </wp:positionV>
                      <wp:extent cx="0" cy="447675"/>
                      <wp:effectExtent l="4445" t="0" r="10795" b="9525"/>
                      <wp:wrapNone/>
                      <wp:docPr id="3" name="自选图形 5"/>
                      <wp:cNvGraphicFramePr/>
                      <a:graphic xmlns:a="http://schemas.openxmlformats.org/drawingml/2006/main">
                        <a:graphicData uri="http://schemas.microsoft.com/office/word/2010/wordprocessingShape">
                          <wps:wsp>
                            <wps:cNvCnPr/>
                            <wps:spPr>
                              <a:xfrm>
                                <a:off x="0" y="0"/>
                                <a:ext cx="0" cy="4476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17.75pt;margin-top:6.05pt;height:35.25pt;width:0pt;z-index:251660288;mso-width-relative:page;mso-height-relative:page;" filled="f" stroked="t" coordsize="21600,21600" o:gfxdata="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qhc1NYAAAAJAQAADwAA&#10;AAAAAAABACAAAAAiAAAAZHJzL2Rvd25yZXYueG1sUEsBAhQAFAAAAAgAh07iQMrLWCjfAQAAogMA&#10;AA4AAAAAAAAAAQAgAAAAJQEAAGRycy9lMm9Eb2MueG1sUEsFBgAAAAAGAAYAWQEAAHYFAAAAAA==&#10;">
                      <v:fill on="f" focussize="0,0"/>
                      <v:stroke color="#000000" joinstyle="round"/>
                      <v:imagedata o:title=""/>
                      <o:lock v:ext="edit" aspectratio="f"/>
                    </v:shape>
                  </w:pict>
                </mc:Fallback>
              </mc:AlternateContent>
            </w:r>
            <w:r>
              <w:rPr>
                <w:bCs/>
                <w:color w:val="auto"/>
                <w:szCs w:val="21"/>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76835</wp:posOffset>
                      </wp:positionV>
                      <wp:extent cx="0" cy="447675"/>
                      <wp:effectExtent l="4445" t="0" r="10795" b="9525"/>
                      <wp:wrapNone/>
                      <wp:docPr id="2" name="自选图形 4"/>
                      <wp:cNvGraphicFramePr/>
                      <a:graphic xmlns:a="http://schemas.openxmlformats.org/drawingml/2006/main">
                        <a:graphicData uri="http://schemas.microsoft.com/office/word/2010/wordprocessingShape">
                          <wps:wsp>
                            <wps:cNvCnPr/>
                            <wps:spPr>
                              <a:xfrm>
                                <a:off x="0" y="0"/>
                                <a:ext cx="0" cy="4476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12pt;margin-top:6.05pt;height:35.25pt;width:0pt;z-index:251659264;mso-width-relative:page;mso-height-relative:page;" filled="f" stroked="t" coordsize="21600,21600" o:gfxdata="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eS58NUAAAAHAQAADwAAAAAA&#10;AAABACAAAAAiAAAAZHJzL2Rvd25yZXYueG1sUEsBAhQAFAAAAAgAh07iQEb+Jo/dAQAAogMAAA4A&#10;AAAAAAAAAQAgAAAAJAEAAGRycy9lMm9Eb2MueG1sUEsFBgAAAAAGAAYAWQEAAHMFAAAAAA==&#10;">
                      <v:fill on="f" focussize="0,0"/>
                      <v:stroke color="#000000" joinstyle="round"/>
                      <v:imagedata o:title=""/>
                      <o:lock v:ext="edit" aspectratio="f"/>
                    </v:shape>
                  </w:pict>
                </mc:Fallback>
              </mc:AlternateContent>
            </w:r>
            <w:r>
              <w:rPr>
                <w:rFonts w:hint="eastAsia"/>
                <w:bCs/>
                <w:color w:val="auto"/>
                <w:szCs w:val="21"/>
              </w:rPr>
              <w:t xml:space="preserve">最终投标价－基准价 </w:t>
            </w:r>
          </w:p>
          <w:p>
            <w:pPr>
              <w:jc w:val="center"/>
              <w:rPr>
                <w:bCs/>
                <w:color w:val="auto"/>
                <w:szCs w:val="21"/>
              </w:rPr>
            </w:pPr>
            <w:r>
              <w:rPr>
                <w:bCs/>
                <w:color w:val="auto"/>
                <w:szCs w:val="21"/>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97790</wp:posOffset>
                      </wp:positionV>
                      <wp:extent cx="1343025" cy="0"/>
                      <wp:effectExtent l="0" t="0" r="0" b="0"/>
                      <wp:wrapNone/>
                      <wp:docPr id="1" name="自选图形 3"/>
                      <wp:cNvGraphicFramePr/>
                      <a:graphic xmlns:a="http://schemas.openxmlformats.org/drawingml/2006/main">
                        <a:graphicData uri="http://schemas.microsoft.com/office/word/2010/wordprocessingShape">
                          <wps:wsp>
                            <wps:cNvCnPr/>
                            <wps:spPr>
                              <a:xfrm>
                                <a:off x="0" y="0"/>
                                <a:ext cx="13430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2pt;margin-top:7.7pt;height:0pt;width:105.75pt;z-index:251658240;mso-width-relative:page;mso-height-relative:page;" filled="f" stroked="t" coordsize="21600,21600" o:gfxdata="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cCkJ1gAAAAgBAAAPAAAA&#10;AAAAAAEAIAAAACIAAABkcnMvZG93bnJldi54bWxQSwECFAAUAAAACACHTuJASbT+Q94BAACjAwAA&#10;DgAAAAAAAAABACAAAAAlAQAAZHJzL2Uyb0RvYy54bWxQSwUGAAAAAAYABgBZAQAAdQUAAAAA&#10;">
                      <v:fill on="f" focussize="0,0"/>
                      <v:stroke color="#000000" joinstyle="round"/>
                      <v:imagedata o:title=""/>
                      <o:lock v:ext="edit" aspectratio="f"/>
                    </v:shape>
                  </w:pict>
                </mc:Fallback>
              </mc:AlternateContent>
            </w:r>
            <w:r>
              <w:rPr>
                <w:rFonts w:hint="eastAsia"/>
                <w:bCs/>
                <w:color w:val="auto"/>
                <w:szCs w:val="21"/>
              </w:rPr>
              <w:t xml:space="preserve">                      X100%</w:t>
            </w:r>
          </w:p>
          <w:p>
            <w:pPr>
              <w:ind w:firstLine="945" w:firstLineChars="450"/>
              <w:rPr>
                <w:bCs/>
                <w:color w:val="auto"/>
                <w:szCs w:val="21"/>
              </w:rPr>
            </w:pPr>
            <w:r>
              <w:rPr>
                <w:rFonts w:hint="eastAsia"/>
                <w:bCs/>
                <w:color w:val="auto"/>
                <w:szCs w:val="21"/>
              </w:rPr>
              <w:t>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2</w:t>
            </w:r>
          </w:p>
        </w:tc>
        <w:tc>
          <w:tcPr>
            <w:tcW w:w="2268" w:type="dxa"/>
            <w:gridSpan w:val="2"/>
            <w:vAlign w:val="center"/>
          </w:tcPr>
          <w:p>
            <w:pPr>
              <w:jc w:val="center"/>
              <w:rPr>
                <w:bCs/>
                <w:color w:val="auto"/>
                <w:szCs w:val="21"/>
              </w:rPr>
            </w:pPr>
            <w:r>
              <w:rPr>
                <w:rFonts w:hint="eastAsia"/>
                <w:bCs/>
                <w:color w:val="auto"/>
                <w:szCs w:val="21"/>
              </w:rPr>
              <w:t>最终投标价＝基准价</w:t>
            </w:r>
          </w:p>
        </w:tc>
        <w:tc>
          <w:tcPr>
            <w:tcW w:w="1985" w:type="dxa"/>
            <w:vAlign w:val="center"/>
          </w:tcPr>
          <w:p>
            <w:pPr>
              <w:jc w:val="center"/>
              <w:rPr>
                <w:bCs/>
                <w:color w:val="auto"/>
                <w:szCs w:val="21"/>
              </w:rPr>
            </w:pPr>
            <w:r>
              <w:rPr>
                <w:rFonts w:hint="eastAsia"/>
                <w:bCs/>
                <w:color w:val="auto"/>
                <w:szCs w:val="21"/>
              </w:rPr>
              <w:t>100分</w:t>
            </w:r>
          </w:p>
        </w:tc>
        <w:tc>
          <w:tcPr>
            <w:tcW w:w="3452" w:type="dxa"/>
            <w:gridSpan w:val="2"/>
            <w:vMerge w:val="continue"/>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3</w:t>
            </w:r>
          </w:p>
        </w:tc>
        <w:tc>
          <w:tcPr>
            <w:tcW w:w="2268" w:type="dxa"/>
            <w:gridSpan w:val="2"/>
            <w:vAlign w:val="center"/>
          </w:tcPr>
          <w:p>
            <w:pPr>
              <w:jc w:val="center"/>
              <w:rPr>
                <w:bCs/>
                <w:color w:val="auto"/>
                <w:szCs w:val="21"/>
              </w:rPr>
            </w:pPr>
            <w:r>
              <w:rPr>
                <w:rFonts w:hint="eastAsia"/>
                <w:bCs/>
                <w:color w:val="auto"/>
                <w:szCs w:val="21"/>
              </w:rPr>
              <w:t>最终投标价&lt;基准价</w:t>
            </w:r>
          </w:p>
        </w:tc>
        <w:tc>
          <w:tcPr>
            <w:tcW w:w="1985" w:type="dxa"/>
            <w:vAlign w:val="center"/>
          </w:tcPr>
          <w:p>
            <w:pPr>
              <w:jc w:val="center"/>
              <w:rPr>
                <w:bCs/>
                <w:color w:val="auto"/>
                <w:szCs w:val="21"/>
              </w:rPr>
            </w:pPr>
            <w:r>
              <w:rPr>
                <w:rFonts w:hint="eastAsia"/>
                <w:bCs/>
                <w:color w:val="auto"/>
                <w:szCs w:val="21"/>
              </w:rPr>
              <w:t>从0开始每降1%减 1分，即100-100</w:t>
            </w:r>
            <w:r>
              <w:rPr>
                <w:rFonts w:hint="eastAsia" w:ascii="DFKai-SB" w:hAnsi="DFKai-SB" w:eastAsia="DFKai-SB"/>
                <w:bCs/>
                <w:color w:val="auto"/>
                <w:szCs w:val="21"/>
              </w:rPr>
              <w:t>X</w:t>
            </w:r>
          </w:p>
        </w:tc>
        <w:tc>
          <w:tcPr>
            <w:tcW w:w="3452" w:type="dxa"/>
            <w:gridSpan w:val="2"/>
            <w:vMerge w:val="continue"/>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投标人</w:t>
            </w:r>
          </w:p>
        </w:tc>
        <w:tc>
          <w:tcPr>
            <w:tcW w:w="1035" w:type="dxa"/>
            <w:vAlign w:val="center"/>
          </w:tcPr>
          <w:p>
            <w:pPr>
              <w:jc w:val="center"/>
              <w:rPr>
                <w:bCs/>
                <w:color w:val="auto"/>
                <w:szCs w:val="21"/>
              </w:rPr>
            </w:pPr>
            <w:r>
              <w:rPr>
                <w:rFonts w:hint="eastAsia"/>
                <w:bCs/>
                <w:color w:val="auto"/>
                <w:szCs w:val="21"/>
              </w:rPr>
              <w:t>投标报价</w:t>
            </w:r>
          </w:p>
        </w:tc>
        <w:tc>
          <w:tcPr>
            <w:tcW w:w="1233" w:type="dxa"/>
            <w:vAlign w:val="center"/>
          </w:tcPr>
          <w:p>
            <w:pPr>
              <w:jc w:val="center"/>
              <w:rPr>
                <w:bCs/>
                <w:color w:val="auto"/>
                <w:szCs w:val="21"/>
              </w:rPr>
            </w:pPr>
            <w:r>
              <w:rPr>
                <w:rFonts w:hint="eastAsia"/>
                <w:bCs/>
                <w:color w:val="auto"/>
                <w:szCs w:val="21"/>
              </w:rPr>
              <w:t>最终投标价</w:t>
            </w:r>
          </w:p>
        </w:tc>
        <w:tc>
          <w:tcPr>
            <w:tcW w:w="1985" w:type="dxa"/>
            <w:vAlign w:val="center"/>
          </w:tcPr>
          <w:p>
            <w:pPr>
              <w:jc w:val="center"/>
              <w:rPr>
                <w:bCs/>
                <w:color w:val="auto"/>
                <w:szCs w:val="21"/>
              </w:rPr>
            </w:pPr>
            <w:r>
              <w:rPr>
                <w:rFonts w:hint="eastAsia"/>
                <w:bCs/>
                <w:color w:val="auto"/>
                <w:szCs w:val="21"/>
              </w:rPr>
              <w:t>基准价</w:t>
            </w:r>
          </w:p>
        </w:tc>
        <w:tc>
          <w:tcPr>
            <w:tcW w:w="1125" w:type="dxa"/>
            <w:vAlign w:val="center"/>
          </w:tcPr>
          <w:p>
            <w:pPr>
              <w:jc w:val="center"/>
              <w:rPr>
                <w:bCs/>
                <w:color w:val="auto"/>
                <w:szCs w:val="21"/>
              </w:rPr>
            </w:pPr>
            <w:r>
              <w:rPr>
                <w:rFonts w:hint="eastAsia" w:ascii="DFKai-SB" w:hAnsi="DFKai-SB" w:eastAsia="DFKai-SB"/>
                <w:bCs/>
                <w:color w:val="auto"/>
                <w:szCs w:val="21"/>
              </w:rPr>
              <w:t>X</w:t>
            </w:r>
            <w:r>
              <w:rPr>
                <w:rFonts w:hint="eastAsia"/>
                <w:bCs/>
                <w:color w:val="auto"/>
                <w:szCs w:val="21"/>
              </w:rPr>
              <w:t>值</w:t>
            </w:r>
          </w:p>
        </w:tc>
        <w:tc>
          <w:tcPr>
            <w:tcW w:w="2327" w:type="dxa"/>
            <w:vAlign w:val="center"/>
          </w:tcPr>
          <w:p>
            <w:pPr>
              <w:jc w:val="center"/>
              <w:rPr>
                <w:bCs/>
                <w:color w:val="auto"/>
                <w:szCs w:val="21"/>
              </w:rPr>
            </w:pPr>
            <w:r>
              <w:rPr>
                <w:rFonts w:hint="eastAsia"/>
                <w:bCs/>
                <w:color w:val="auto"/>
                <w:szCs w:val="21"/>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p>
        </w:tc>
        <w:tc>
          <w:tcPr>
            <w:tcW w:w="1035" w:type="dxa"/>
            <w:vAlign w:val="center"/>
          </w:tcPr>
          <w:p>
            <w:pPr>
              <w:jc w:val="center"/>
              <w:rPr>
                <w:bCs/>
                <w:color w:val="auto"/>
                <w:szCs w:val="21"/>
              </w:rPr>
            </w:pPr>
          </w:p>
        </w:tc>
        <w:tc>
          <w:tcPr>
            <w:tcW w:w="1233" w:type="dxa"/>
            <w:vAlign w:val="center"/>
          </w:tcPr>
          <w:p>
            <w:pPr>
              <w:jc w:val="center"/>
              <w:rPr>
                <w:bCs/>
                <w:color w:val="auto"/>
                <w:szCs w:val="21"/>
              </w:rPr>
            </w:pPr>
          </w:p>
        </w:tc>
        <w:tc>
          <w:tcPr>
            <w:tcW w:w="1985" w:type="dxa"/>
            <w:vAlign w:val="center"/>
          </w:tcPr>
          <w:p>
            <w:pPr>
              <w:jc w:val="center"/>
              <w:rPr>
                <w:bCs/>
                <w:color w:val="auto"/>
                <w:szCs w:val="21"/>
              </w:rPr>
            </w:pPr>
          </w:p>
        </w:tc>
        <w:tc>
          <w:tcPr>
            <w:tcW w:w="1125" w:type="dxa"/>
            <w:vAlign w:val="center"/>
          </w:tcPr>
          <w:p>
            <w:pPr>
              <w:jc w:val="center"/>
              <w:rPr>
                <w:bCs/>
                <w:color w:val="auto"/>
                <w:szCs w:val="21"/>
              </w:rPr>
            </w:pPr>
          </w:p>
        </w:tc>
        <w:tc>
          <w:tcPr>
            <w:tcW w:w="2327" w:type="dxa"/>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p>
        </w:tc>
        <w:tc>
          <w:tcPr>
            <w:tcW w:w="1035" w:type="dxa"/>
            <w:vAlign w:val="center"/>
          </w:tcPr>
          <w:p>
            <w:pPr>
              <w:jc w:val="center"/>
              <w:rPr>
                <w:bCs/>
                <w:color w:val="auto"/>
                <w:szCs w:val="21"/>
              </w:rPr>
            </w:pPr>
          </w:p>
        </w:tc>
        <w:tc>
          <w:tcPr>
            <w:tcW w:w="1233" w:type="dxa"/>
            <w:vAlign w:val="center"/>
          </w:tcPr>
          <w:p>
            <w:pPr>
              <w:jc w:val="center"/>
              <w:rPr>
                <w:bCs/>
                <w:color w:val="auto"/>
                <w:szCs w:val="21"/>
              </w:rPr>
            </w:pPr>
          </w:p>
        </w:tc>
        <w:tc>
          <w:tcPr>
            <w:tcW w:w="1985" w:type="dxa"/>
            <w:vAlign w:val="center"/>
          </w:tcPr>
          <w:p>
            <w:pPr>
              <w:jc w:val="center"/>
              <w:rPr>
                <w:bCs/>
                <w:color w:val="auto"/>
                <w:szCs w:val="21"/>
              </w:rPr>
            </w:pPr>
          </w:p>
        </w:tc>
        <w:tc>
          <w:tcPr>
            <w:tcW w:w="1125" w:type="dxa"/>
            <w:vAlign w:val="center"/>
          </w:tcPr>
          <w:p>
            <w:pPr>
              <w:jc w:val="center"/>
              <w:rPr>
                <w:bCs/>
                <w:color w:val="auto"/>
                <w:szCs w:val="21"/>
              </w:rPr>
            </w:pPr>
          </w:p>
        </w:tc>
        <w:tc>
          <w:tcPr>
            <w:tcW w:w="2327" w:type="dxa"/>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p>
        </w:tc>
        <w:tc>
          <w:tcPr>
            <w:tcW w:w="1035" w:type="dxa"/>
            <w:vAlign w:val="center"/>
          </w:tcPr>
          <w:p>
            <w:pPr>
              <w:jc w:val="center"/>
              <w:rPr>
                <w:bCs/>
                <w:color w:val="auto"/>
                <w:szCs w:val="21"/>
              </w:rPr>
            </w:pPr>
          </w:p>
        </w:tc>
        <w:tc>
          <w:tcPr>
            <w:tcW w:w="1233" w:type="dxa"/>
            <w:vAlign w:val="center"/>
          </w:tcPr>
          <w:p>
            <w:pPr>
              <w:jc w:val="center"/>
              <w:rPr>
                <w:bCs/>
                <w:color w:val="auto"/>
                <w:szCs w:val="21"/>
              </w:rPr>
            </w:pPr>
          </w:p>
        </w:tc>
        <w:tc>
          <w:tcPr>
            <w:tcW w:w="1985" w:type="dxa"/>
            <w:vAlign w:val="center"/>
          </w:tcPr>
          <w:p>
            <w:pPr>
              <w:jc w:val="center"/>
              <w:rPr>
                <w:bCs/>
                <w:color w:val="auto"/>
                <w:szCs w:val="21"/>
              </w:rPr>
            </w:pPr>
          </w:p>
        </w:tc>
        <w:tc>
          <w:tcPr>
            <w:tcW w:w="1125" w:type="dxa"/>
            <w:vAlign w:val="center"/>
          </w:tcPr>
          <w:p>
            <w:pPr>
              <w:jc w:val="center"/>
              <w:rPr>
                <w:bCs/>
                <w:color w:val="auto"/>
                <w:szCs w:val="21"/>
              </w:rPr>
            </w:pPr>
          </w:p>
        </w:tc>
        <w:tc>
          <w:tcPr>
            <w:tcW w:w="2327" w:type="dxa"/>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p>
        </w:tc>
        <w:tc>
          <w:tcPr>
            <w:tcW w:w="1035" w:type="dxa"/>
            <w:vAlign w:val="center"/>
          </w:tcPr>
          <w:p>
            <w:pPr>
              <w:jc w:val="center"/>
              <w:rPr>
                <w:bCs/>
                <w:color w:val="auto"/>
                <w:szCs w:val="21"/>
              </w:rPr>
            </w:pPr>
          </w:p>
        </w:tc>
        <w:tc>
          <w:tcPr>
            <w:tcW w:w="1233" w:type="dxa"/>
            <w:vAlign w:val="center"/>
          </w:tcPr>
          <w:p>
            <w:pPr>
              <w:jc w:val="center"/>
              <w:rPr>
                <w:bCs/>
                <w:color w:val="auto"/>
                <w:szCs w:val="21"/>
              </w:rPr>
            </w:pPr>
          </w:p>
        </w:tc>
        <w:tc>
          <w:tcPr>
            <w:tcW w:w="1985" w:type="dxa"/>
            <w:vAlign w:val="center"/>
          </w:tcPr>
          <w:p>
            <w:pPr>
              <w:jc w:val="center"/>
              <w:rPr>
                <w:bCs/>
                <w:color w:val="auto"/>
                <w:szCs w:val="21"/>
              </w:rPr>
            </w:pPr>
          </w:p>
        </w:tc>
        <w:tc>
          <w:tcPr>
            <w:tcW w:w="1125" w:type="dxa"/>
            <w:vAlign w:val="center"/>
          </w:tcPr>
          <w:p>
            <w:pPr>
              <w:jc w:val="center"/>
              <w:rPr>
                <w:bCs/>
                <w:color w:val="auto"/>
                <w:szCs w:val="21"/>
              </w:rPr>
            </w:pPr>
          </w:p>
        </w:tc>
        <w:tc>
          <w:tcPr>
            <w:tcW w:w="2327" w:type="dxa"/>
            <w:vAlign w:val="center"/>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vAlign w:val="center"/>
          </w:tcPr>
          <w:p>
            <w:pPr>
              <w:jc w:val="left"/>
              <w:rPr>
                <w:bCs/>
                <w:color w:val="auto"/>
                <w:szCs w:val="21"/>
              </w:rPr>
            </w:pPr>
            <w:r>
              <w:rPr>
                <w:rFonts w:hint="eastAsia"/>
                <w:bCs/>
                <w:color w:val="auto"/>
                <w:szCs w:val="21"/>
              </w:rPr>
              <w:t>对投标报价的调整记录:</w:t>
            </w:r>
          </w:p>
        </w:tc>
      </w:tr>
    </w:tbl>
    <w:p>
      <w:pPr>
        <w:spacing w:line="360" w:lineRule="auto"/>
        <w:jc w:val="left"/>
        <w:rPr>
          <w:rFonts w:ascii="宋体" w:hAnsi="宋体"/>
          <w:color w:val="auto"/>
          <w:szCs w:val="21"/>
        </w:rPr>
      </w:pPr>
      <w:r>
        <w:rPr>
          <w:rFonts w:hint="eastAsia" w:ascii="宋体" w:hAnsi="宋体"/>
          <w:color w:val="auto"/>
          <w:szCs w:val="21"/>
        </w:rPr>
        <w:t>备注:</w:t>
      </w:r>
    </w:p>
    <w:p>
      <w:pPr>
        <w:spacing w:line="360" w:lineRule="auto"/>
        <w:ind w:firstLine="420"/>
        <w:jc w:val="left"/>
        <w:rPr>
          <w:rFonts w:ascii="宋体" w:hAnsi="宋体"/>
          <w:color w:val="auto"/>
          <w:szCs w:val="21"/>
        </w:rPr>
      </w:pPr>
      <w:r>
        <w:rPr>
          <w:rFonts w:hint="eastAsia" w:ascii="宋体" w:hAnsi="宋体"/>
          <w:color w:val="auto"/>
          <w:szCs w:val="21"/>
        </w:rPr>
        <w:t>1.投标报价得分，基本分100分。</w:t>
      </w:r>
    </w:p>
    <w:p>
      <w:pPr>
        <w:spacing w:line="360" w:lineRule="auto"/>
        <w:ind w:firstLine="420"/>
        <w:jc w:val="left"/>
        <w:rPr>
          <w:rFonts w:ascii="宋体" w:hAnsi="宋体"/>
          <w:color w:val="auto"/>
          <w:szCs w:val="21"/>
        </w:rPr>
      </w:pPr>
      <w:r>
        <w:rPr>
          <w:rFonts w:hint="eastAsia" w:ascii="宋体" w:hAnsi="宋体"/>
          <w:color w:val="auto"/>
          <w:szCs w:val="21"/>
        </w:rPr>
        <w:t>2.除经初步评审为不合格投标人(包括投标报价文件无效)的和被认定为最终投标报价低于其企业成本的外，其他的最终投标报价均应按规定进入最终投标价的算术平均。</w:t>
      </w:r>
    </w:p>
    <w:p>
      <w:pPr>
        <w:spacing w:line="360" w:lineRule="auto"/>
        <w:ind w:firstLine="420"/>
        <w:jc w:val="left"/>
        <w:rPr>
          <w:rFonts w:ascii="宋体" w:hAnsi="宋体"/>
          <w:color w:val="auto"/>
          <w:szCs w:val="21"/>
        </w:rPr>
      </w:pPr>
      <w:r>
        <w:rPr>
          <w:rFonts w:hint="eastAsia" w:ascii="宋体" w:hAnsi="宋体"/>
          <w:color w:val="auto"/>
          <w:szCs w:val="21"/>
        </w:rPr>
        <w:t>3.符合最高投标限价≥最终投标价≥0.9</w:t>
      </w:r>
      <w:r>
        <w:rPr>
          <w:rFonts w:hint="eastAsia"/>
          <w:bCs/>
          <w:color w:val="auto"/>
          <w:szCs w:val="21"/>
        </w:rPr>
        <w:t xml:space="preserve"> X</w:t>
      </w:r>
      <w:r>
        <w:rPr>
          <w:rFonts w:hint="eastAsia" w:ascii="宋体" w:hAnsi="宋体"/>
          <w:color w:val="auto"/>
          <w:szCs w:val="21"/>
        </w:rPr>
        <w:t>最终投标价的算术平均值的最终投标价进入基准价计算。</w:t>
      </w:r>
    </w:p>
    <w:p>
      <w:pPr>
        <w:spacing w:line="360" w:lineRule="auto"/>
        <w:ind w:firstLine="420"/>
        <w:jc w:val="left"/>
        <w:rPr>
          <w:rFonts w:ascii="宋体" w:hAnsi="宋体"/>
          <w:color w:val="auto"/>
          <w:szCs w:val="21"/>
        </w:rPr>
      </w:pPr>
      <w:r>
        <w:rPr>
          <w:rFonts w:hint="eastAsia" w:ascii="宋体" w:hAnsi="宋体"/>
          <w:color w:val="auto"/>
          <w:szCs w:val="21"/>
        </w:rPr>
        <w:t>4.基准价公式:</w:t>
      </w:r>
    </w:p>
    <w:p>
      <w:pPr>
        <w:pStyle w:val="5"/>
        <w:ind w:right="210" w:firstLine="1350" w:firstLineChars="750"/>
        <w:jc w:val="left"/>
        <w:rPr>
          <w:rFonts w:hAnsi="宋体"/>
          <w:color w:val="auto"/>
          <w:sz w:val="18"/>
          <w:szCs w:val="18"/>
        </w:rPr>
      </w:pPr>
      <w:r>
        <w:rPr>
          <w:rFonts w:hint="eastAsia" w:hAnsi="宋体"/>
          <w:color w:val="auto"/>
          <w:sz w:val="18"/>
          <w:szCs w:val="18"/>
        </w:rPr>
        <w:t xml:space="preserve">   A1+A2+</w:t>
      </w:r>
      <w:r>
        <w:rPr>
          <w:rFonts w:hAnsi="宋体"/>
          <w:color w:val="auto"/>
          <w:sz w:val="18"/>
          <w:szCs w:val="18"/>
        </w:rPr>
        <w:t>……</w:t>
      </w:r>
      <w:r>
        <w:rPr>
          <w:rFonts w:hint="eastAsia" w:hAnsi="宋体"/>
          <w:color w:val="auto"/>
          <w:sz w:val="18"/>
          <w:szCs w:val="18"/>
        </w:rPr>
        <w:t>Ai</w:t>
      </w:r>
      <w:r>
        <w:rPr>
          <w:rFonts w:hAnsi="宋体"/>
          <w:color w:val="auto"/>
          <w:sz w:val="18"/>
          <w:szCs w:val="18"/>
        </w:rPr>
        <w:t>……</w:t>
      </w:r>
      <w:r>
        <w:rPr>
          <w:rFonts w:hint="eastAsia" w:hAnsi="宋体"/>
          <w:color w:val="auto"/>
          <w:sz w:val="18"/>
          <w:szCs w:val="18"/>
        </w:rPr>
        <w:t xml:space="preserve">An  </w:t>
      </w:r>
    </w:p>
    <w:p>
      <w:pPr>
        <w:spacing w:line="360" w:lineRule="auto"/>
        <w:ind w:firstLine="420"/>
        <w:jc w:val="left"/>
        <w:rPr>
          <w:rFonts w:ascii="宋体" w:hAnsi="宋体"/>
          <w:color w:val="auto"/>
          <w:szCs w:val="21"/>
        </w:rPr>
      </w:pPr>
      <w:r>
        <w:rPr>
          <w:rFonts w:hAnsi="宋体"/>
          <w:color w:val="auto"/>
          <w:sz w:val="18"/>
          <w:szCs w:val="18"/>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46355</wp:posOffset>
                </wp:positionV>
                <wp:extent cx="12763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72.75pt;margin-top:3.65pt;height:0pt;width:100.5pt;z-index:251661312;mso-width-relative:page;mso-height-relative:page;" filled="f" stroked="t" coordsize="21600,21600" o:gfxdata="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GRvB1AAAAAcBAAAPAAAA&#10;AAAAAAEAIAAAACIAAABkcnMvZG93bnJldi54bWxQSwECFAAUAAAACACHTuJAQ61FF+ABAACjAwAA&#10;DgAAAAAAAAABACAAAAAjAQAAZHJzL2Uyb0RvYy54bWxQSwUGAAAAAAYABgBZAQAAdQUAAAAA&#10;">
                <v:fill on="f" focussize="0,0"/>
                <v:stroke color="#000000" joinstyle="round"/>
                <v:imagedata o:title=""/>
                <o:lock v:ext="edit" aspectratio="f"/>
              </v:shape>
            </w:pict>
          </mc:Fallback>
        </mc:AlternateContent>
      </w:r>
      <w:r>
        <w:rPr>
          <w:rFonts w:hint="eastAsia" w:hAnsi="宋体"/>
          <w:color w:val="auto"/>
          <w:sz w:val="18"/>
          <w:szCs w:val="18"/>
        </w:rPr>
        <w:t>基准价＝              N</w:t>
      </w:r>
    </w:p>
    <w:p>
      <w:pPr>
        <w:spacing w:line="360" w:lineRule="auto"/>
        <w:ind w:firstLine="420"/>
        <w:jc w:val="left"/>
        <w:rPr>
          <w:rFonts w:ascii="宋体" w:hAnsi="宋体"/>
          <w:color w:val="auto"/>
          <w:szCs w:val="21"/>
        </w:rPr>
      </w:pPr>
      <w:r>
        <w:rPr>
          <w:rFonts w:hint="eastAsia" w:ascii="宋体" w:hAnsi="宋体"/>
          <w:color w:val="auto"/>
          <w:szCs w:val="21"/>
        </w:rPr>
        <w:t>5.最终投标价以人民币万元为单位，计算保留至小数点后2位(百分比亦然)，小数点后第3位采取4舍5入。</w:t>
      </w:r>
    </w:p>
    <w:p>
      <w:pPr>
        <w:spacing w:line="360" w:lineRule="auto"/>
        <w:jc w:val="left"/>
        <w:rPr>
          <w:rFonts w:ascii="宋体" w:hAnsi="宋体"/>
          <w:color w:val="auto"/>
          <w:szCs w:val="21"/>
        </w:rPr>
      </w:pPr>
    </w:p>
    <w:p>
      <w:pPr>
        <w:jc w:val="left"/>
        <w:rPr>
          <w:b/>
          <w:bCs/>
          <w:color w:val="auto"/>
          <w:sz w:val="28"/>
          <w:szCs w:val="28"/>
        </w:rPr>
      </w:pPr>
    </w:p>
    <w:p>
      <w:pPr>
        <w:jc w:val="left"/>
        <w:rPr>
          <w:b/>
          <w:bCs/>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ind w:left="0" w:leftChars="0" w:firstLine="0" w:firstLineChars="0"/>
        <w:rPr>
          <w:color w:val="auto"/>
        </w:rPr>
      </w:pPr>
    </w:p>
    <w:p>
      <w:pPr>
        <w:jc w:val="left"/>
        <w:rPr>
          <w:b/>
          <w:bCs/>
          <w:color w:val="auto"/>
          <w:sz w:val="28"/>
          <w:szCs w:val="28"/>
        </w:rPr>
      </w:pPr>
      <w:r>
        <w:rPr>
          <w:rFonts w:hint="eastAsia"/>
          <w:b/>
          <w:bCs/>
          <w:color w:val="auto"/>
          <w:sz w:val="28"/>
          <w:szCs w:val="28"/>
        </w:rPr>
        <w:t>附表3-3:</w:t>
      </w:r>
    </w:p>
    <w:p>
      <w:pPr>
        <w:jc w:val="left"/>
        <w:rPr>
          <w:b/>
          <w:bCs/>
          <w:color w:val="auto"/>
          <w:sz w:val="28"/>
          <w:szCs w:val="28"/>
        </w:rPr>
      </w:pPr>
    </w:p>
    <w:p>
      <w:pPr>
        <w:jc w:val="center"/>
        <w:rPr>
          <w:b/>
          <w:bCs/>
          <w:color w:val="auto"/>
          <w:sz w:val="28"/>
          <w:szCs w:val="28"/>
        </w:rPr>
      </w:pPr>
      <w:r>
        <w:rPr>
          <w:rFonts w:hint="eastAsia"/>
          <w:b/>
          <w:bCs/>
          <w:color w:val="auto"/>
          <w:sz w:val="28"/>
          <w:szCs w:val="28"/>
        </w:rPr>
        <w:t>技术标评分表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
                <w:bCs/>
                <w:color w:val="auto"/>
                <w:sz w:val="28"/>
                <w:szCs w:val="28"/>
              </w:rPr>
            </w:pPr>
            <w:r>
              <w:rPr>
                <w:rFonts w:hint="eastAsia" w:ascii="宋体" w:hAnsi="宋体"/>
                <w:color w:val="auto"/>
                <w:szCs w:val="21"/>
              </w:rPr>
              <w:t>序号</w:t>
            </w:r>
          </w:p>
        </w:tc>
        <w:tc>
          <w:tcPr>
            <w:tcW w:w="1559" w:type="dxa"/>
            <w:vAlign w:val="center"/>
          </w:tcPr>
          <w:p>
            <w:pPr>
              <w:jc w:val="center"/>
              <w:rPr>
                <w:bCs/>
                <w:color w:val="auto"/>
                <w:szCs w:val="21"/>
              </w:rPr>
            </w:pPr>
            <w:r>
              <w:rPr>
                <w:rFonts w:hint="eastAsia"/>
                <w:bCs/>
                <w:color w:val="auto"/>
                <w:szCs w:val="21"/>
              </w:rPr>
              <w:t>评审内容</w:t>
            </w:r>
          </w:p>
        </w:tc>
        <w:tc>
          <w:tcPr>
            <w:tcW w:w="6146" w:type="dxa"/>
            <w:vAlign w:val="center"/>
          </w:tcPr>
          <w:p>
            <w:pPr>
              <w:jc w:val="center"/>
              <w:rPr>
                <w:bCs/>
                <w:color w:val="auto"/>
                <w:szCs w:val="21"/>
              </w:rPr>
            </w:pPr>
            <w:r>
              <w:rPr>
                <w:rFonts w:hint="eastAsia"/>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1</w:t>
            </w:r>
          </w:p>
        </w:tc>
        <w:tc>
          <w:tcPr>
            <w:tcW w:w="1559" w:type="dxa"/>
            <w:vAlign w:val="center"/>
          </w:tcPr>
          <w:p>
            <w:pPr>
              <w:jc w:val="center"/>
              <w:rPr>
                <w:bCs/>
                <w:color w:val="auto"/>
                <w:szCs w:val="21"/>
              </w:rPr>
            </w:pPr>
            <w:r>
              <w:rPr>
                <w:rFonts w:hint="eastAsia"/>
                <w:bCs/>
                <w:color w:val="auto"/>
                <w:szCs w:val="21"/>
              </w:rPr>
              <w:t>管理服务理念目标12分</w:t>
            </w:r>
          </w:p>
        </w:tc>
        <w:tc>
          <w:tcPr>
            <w:tcW w:w="6146" w:type="dxa"/>
            <w:vAlign w:val="center"/>
          </w:tcPr>
          <w:p>
            <w:pPr>
              <w:jc w:val="left"/>
              <w:rPr>
                <w:bCs/>
                <w:color w:val="auto"/>
                <w:szCs w:val="21"/>
              </w:rPr>
            </w:pPr>
            <w:r>
              <w:rPr>
                <w:rFonts w:hint="eastAsia"/>
                <w:bCs/>
                <w:color w:val="auto"/>
                <w:szCs w:val="21"/>
              </w:rPr>
              <w:t>服务理念： 好6分；一般1－4分；无0分</w:t>
            </w:r>
          </w:p>
          <w:p>
            <w:pPr>
              <w:jc w:val="left"/>
              <w:rPr>
                <w:bCs/>
                <w:color w:val="auto"/>
                <w:szCs w:val="21"/>
              </w:rPr>
            </w:pPr>
            <w:r>
              <w:rPr>
                <w:rFonts w:hint="eastAsia"/>
                <w:bCs/>
                <w:color w:val="auto"/>
                <w:szCs w:val="21"/>
              </w:rPr>
              <w:t>服务目标： 好6分；一般1－4分；无0分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2</w:t>
            </w:r>
          </w:p>
        </w:tc>
        <w:tc>
          <w:tcPr>
            <w:tcW w:w="1559" w:type="dxa"/>
            <w:vAlign w:val="center"/>
          </w:tcPr>
          <w:p>
            <w:pPr>
              <w:rPr>
                <w:bCs/>
                <w:color w:val="auto"/>
                <w:szCs w:val="21"/>
              </w:rPr>
            </w:pPr>
            <w:r>
              <w:rPr>
                <w:rFonts w:hint="eastAsia"/>
                <w:bCs/>
                <w:color w:val="auto"/>
                <w:szCs w:val="21"/>
              </w:rPr>
              <w:t>管理机构运作及管理制度</w:t>
            </w:r>
            <w:r>
              <w:rPr>
                <w:bCs/>
                <w:color w:val="auto"/>
                <w:szCs w:val="21"/>
              </w:rPr>
              <w:t>18</w:t>
            </w:r>
            <w:r>
              <w:rPr>
                <w:rFonts w:hint="eastAsia"/>
                <w:bCs/>
                <w:color w:val="auto"/>
                <w:szCs w:val="21"/>
              </w:rPr>
              <w:t>分</w:t>
            </w:r>
          </w:p>
        </w:tc>
        <w:tc>
          <w:tcPr>
            <w:tcW w:w="6146" w:type="dxa"/>
            <w:vAlign w:val="center"/>
          </w:tcPr>
          <w:p>
            <w:pPr>
              <w:jc w:val="left"/>
              <w:rPr>
                <w:bCs/>
                <w:color w:val="auto"/>
                <w:szCs w:val="21"/>
              </w:rPr>
            </w:pPr>
            <w:r>
              <w:rPr>
                <w:rFonts w:hint="eastAsia"/>
                <w:bCs/>
                <w:color w:val="auto"/>
                <w:szCs w:val="21"/>
              </w:rPr>
              <w:t>1、有管理机构运产且机构设置和智能运作较为合理3－6分；2、有项目经理职责和内部管理职责分工描述且较为合理3－6分；3、有管理制度和考核目录且基本能满足项目需要3－6分；4、缺项为0分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3</w:t>
            </w:r>
          </w:p>
        </w:tc>
        <w:tc>
          <w:tcPr>
            <w:tcW w:w="1559" w:type="dxa"/>
            <w:vAlign w:val="center"/>
          </w:tcPr>
          <w:p>
            <w:pPr>
              <w:rPr>
                <w:bCs/>
                <w:color w:val="auto"/>
                <w:szCs w:val="21"/>
              </w:rPr>
            </w:pPr>
            <w:r>
              <w:rPr>
                <w:rFonts w:hint="eastAsia"/>
                <w:bCs/>
                <w:color w:val="auto"/>
                <w:szCs w:val="21"/>
              </w:rPr>
              <w:t>管理服务人员配置15分</w:t>
            </w:r>
          </w:p>
        </w:tc>
        <w:tc>
          <w:tcPr>
            <w:tcW w:w="6146" w:type="dxa"/>
            <w:vAlign w:val="center"/>
          </w:tcPr>
          <w:p>
            <w:pPr>
              <w:jc w:val="left"/>
              <w:rPr>
                <w:bCs/>
                <w:color w:val="auto"/>
                <w:szCs w:val="21"/>
              </w:rPr>
            </w:pPr>
            <w:r>
              <w:rPr>
                <w:rFonts w:hint="eastAsia"/>
                <w:bCs/>
                <w:color w:val="auto"/>
                <w:szCs w:val="21"/>
              </w:rPr>
              <w:t>1、有岗位人员配置且较为合理3－10分； 2、有员工培训计划且较为可行有效2－5分； 3、缺项0分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4</w:t>
            </w:r>
          </w:p>
        </w:tc>
        <w:tc>
          <w:tcPr>
            <w:tcW w:w="1559" w:type="dxa"/>
            <w:vAlign w:val="center"/>
          </w:tcPr>
          <w:p>
            <w:pPr>
              <w:rPr>
                <w:bCs/>
                <w:color w:val="auto"/>
                <w:szCs w:val="21"/>
              </w:rPr>
            </w:pPr>
            <w:r>
              <w:rPr>
                <w:rFonts w:hint="eastAsia"/>
                <w:bCs/>
                <w:color w:val="auto"/>
                <w:szCs w:val="21"/>
              </w:rPr>
              <w:t>物业管理服务实施方案40分</w:t>
            </w:r>
          </w:p>
        </w:tc>
        <w:tc>
          <w:tcPr>
            <w:tcW w:w="6146" w:type="dxa"/>
            <w:vAlign w:val="center"/>
          </w:tcPr>
          <w:p>
            <w:pPr>
              <w:jc w:val="left"/>
              <w:rPr>
                <w:bCs/>
                <w:color w:val="auto"/>
                <w:szCs w:val="21"/>
              </w:rPr>
            </w:pPr>
            <w:r>
              <w:rPr>
                <w:rFonts w:hint="eastAsia"/>
                <w:bCs/>
                <w:color w:val="auto"/>
                <w:szCs w:val="21"/>
              </w:rPr>
              <w:t>1、方案符合本项目实际情况，合理可行20－40分；2、方案基本符合本项目实际，较为可行10－20分；3、方案不太符合本项目实际0－10分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5</w:t>
            </w:r>
          </w:p>
        </w:tc>
        <w:tc>
          <w:tcPr>
            <w:tcW w:w="1559" w:type="dxa"/>
            <w:vAlign w:val="center"/>
          </w:tcPr>
          <w:p>
            <w:pPr>
              <w:rPr>
                <w:bCs/>
                <w:color w:val="auto"/>
                <w:szCs w:val="21"/>
              </w:rPr>
            </w:pPr>
            <w:r>
              <w:rPr>
                <w:rFonts w:hint="eastAsia"/>
                <w:bCs/>
                <w:color w:val="auto"/>
                <w:szCs w:val="21"/>
              </w:rPr>
              <w:t>物业维修养护的应急措施10分</w:t>
            </w:r>
          </w:p>
        </w:tc>
        <w:tc>
          <w:tcPr>
            <w:tcW w:w="6146" w:type="dxa"/>
            <w:vAlign w:val="center"/>
          </w:tcPr>
          <w:p>
            <w:pPr>
              <w:jc w:val="left"/>
              <w:rPr>
                <w:bCs/>
                <w:color w:val="auto"/>
                <w:szCs w:val="21"/>
              </w:rPr>
            </w:pPr>
            <w:r>
              <w:rPr>
                <w:rFonts w:hint="eastAsia"/>
                <w:bCs/>
                <w:color w:val="auto"/>
                <w:szCs w:val="21"/>
              </w:rPr>
              <w:t>1、应急措施科学合理，能满足项目需要8－10分；2、 基本能满足项目需要5－8分；3、应急措施不符合实际1－3分；4、缺项0分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6</w:t>
            </w:r>
          </w:p>
        </w:tc>
        <w:tc>
          <w:tcPr>
            <w:tcW w:w="1559" w:type="dxa"/>
            <w:vAlign w:val="center"/>
          </w:tcPr>
          <w:p>
            <w:pPr>
              <w:jc w:val="center"/>
              <w:rPr>
                <w:bCs/>
                <w:color w:val="auto"/>
                <w:szCs w:val="21"/>
              </w:rPr>
            </w:pPr>
            <w:r>
              <w:rPr>
                <w:rFonts w:hint="eastAsia"/>
                <w:bCs/>
                <w:color w:val="auto"/>
                <w:szCs w:val="21"/>
              </w:rPr>
              <w:t>社区文化3分</w:t>
            </w:r>
          </w:p>
        </w:tc>
        <w:tc>
          <w:tcPr>
            <w:tcW w:w="6146" w:type="dxa"/>
            <w:vAlign w:val="center"/>
          </w:tcPr>
          <w:p>
            <w:pPr>
              <w:jc w:val="left"/>
              <w:rPr>
                <w:bCs/>
                <w:color w:val="auto"/>
                <w:szCs w:val="21"/>
              </w:rPr>
            </w:pPr>
            <w:r>
              <w:rPr>
                <w:rFonts w:hint="eastAsia"/>
                <w:bCs/>
                <w:color w:val="auto"/>
                <w:szCs w:val="21"/>
              </w:rPr>
              <w:t>有社区文化活动方案且合理可行，符合实际需要3分；基本可行1-2分；缺项0分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bCs/>
                <w:color w:val="auto"/>
                <w:szCs w:val="21"/>
              </w:rPr>
            </w:pPr>
            <w:r>
              <w:rPr>
                <w:rFonts w:hint="eastAsia"/>
                <w:bCs/>
                <w:color w:val="auto"/>
                <w:szCs w:val="21"/>
              </w:rPr>
              <w:t>7</w:t>
            </w:r>
          </w:p>
        </w:tc>
        <w:tc>
          <w:tcPr>
            <w:tcW w:w="1559" w:type="dxa"/>
            <w:vAlign w:val="center"/>
          </w:tcPr>
          <w:p>
            <w:pPr>
              <w:jc w:val="center"/>
              <w:rPr>
                <w:bCs/>
                <w:color w:val="auto"/>
                <w:szCs w:val="21"/>
              </w:rPr>
            </w:pPr>
            <w:r>
              <w:rPr>
                <w:rFonts w:hint="eastAsia"/>
                <w:bCs/>
                <w:color w:val="auto"/>
                <w:szCs w:val="21"/>
              </w:rPr>
              <w:t>拟用于本项目的技术装备2分</w:t>
            </w:r>
          </w:p>
        </w:tc>
        <w:tc>
          <w:tcPr>
            <w:tcW w:w="6146" w:type="dxa"/>
            <w:vAlign w:val="center"/>
          </w:tcPr>
          <w:p>
            <w:pPr>
              <w:jc w:val="left"/>
              <w:rPr>
                <w:bCs/>
                <w:color w:val="auto"/>
                <w:szCs w:val="21"/>
              </w:rPr>
            </w:pPr>
            <w:r>
              <w:rPr>
                <w:rFonts w:hint="eastAsia"/>
                <w:bCs/>
                <w:color w:val="auto"/>
                <w:szCs w:val="21"/>
              </w:rPr>
              <w:t>技术装备能满足项目需要，2分；不能满足0分。</w:t>
            </w:r>
          </w:p>
        </w:tc>
      </w:tr>
    </w:tbl>
    <w:p>
      <w:pPr>
        <w:jc w:val="left"/>
        <w:rPr>
          <w:bCs/>
          <w:color w:val="auto"/>
          <w:sz w:val="28"/>
          <w:szCs w:val="28"/>
        </w:rPr>
      </w:pPr>
    </w:p>
    <w:p>
      <w:pPr>
        <w:jc w:val="left"/>
        <w:rPr>
          <w:b/>
          <w:bCs/>
          <w:color w:val="auto"/>
          <w:sz w:val="28"/>
          <w:szCs w:val="28"/>
        </w:rPr>
      </w:pPr>
      <w:r>
        <w:rPr>
          <w:rFonts w:hint="eastAsia"/>
          <w:b/>
          <w:bCs/>
          <w:color w:val="auto"/>
          <w:sz w:val="28"/>
          <w:szCs w:val="28"/>
        </w:rPr>
        <w:t>附表3-4:权数取值表</w:t>
      </w:r>
    </w:p>
    <w:p>
      <w:pPr>
        <w:jc w:val="center"/>
        <w:rPr>
          <w:b/>
          <w:bCs/>
          <w:color w:val="auto"/>
          <w:sz w:val="28"/>
          <w:szCs w:val="28"/>
        </w:rPr>
      </w:pPr>
      <w:r>
        <w:rPr>
          <w:rFonts w:hint="eastAsia"/>
          <w:b/>
          <w:bCs/>
          <w:color w:val="auto"/>
          <w:sz w:val="28"/>
          <w:szCs w:val="28"/>
        </w:rPr>
        <w:t>权数取值表</w:t>
      </w:r>
    </w:p>
    <w:tbl>
      <w:tblPr>
        <w:tblStyle w:val="11"/>
        <w:tblW w:w="708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b/>
                <w:bCs/>
                <w:color w:val="auto"/>
                <w:sz w:val="28"/>
                <w:szCs w:val="28"/>
              </w:rPr>
            </w:pPr>
            <w:r>
              <w:rPr>
                <w:rFonts w:hint="eastAsia" w:ascii="宋体" w:hAnsi="宋体"/>
                <w:color w:val="auto"/>
                <w:szCs w:val="21"/>
              </w:rPr>
              <w:t>序号</w:t>
            </w:r>
          </w:p>
        </w:tc>
        <w:tc>
          <w:tcPr>
            <w:tcW w:w="2126"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项   目</w:t>
            </w:r>
          </w:p>
        </w:tc>
        <w:tc>
          <w:tcPr>
            <w:tcW w:w="4253"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权数取值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1</w:t>
            </w:r>
          </w:p>
        </w:tc>
        <w:tc>
          <w:tcPr>
            <w:tcW w:w="2126" w:type="dxa"/>
            <w:vAlign w:val="center"/>
          </w:tcPr>
          <w:p>
            <w:pPr>
              <w:jc w:val="left"/>
              <w:rPr>
                <w:rFonts w:asciiTheme="minorEastAsia" w:hAnsiTheme="minorEastAsia"/>
                <w:bCs/>
                <w:color w:val="auto"/>
                <w:szCs w:val="21"/>
              </w:rPr>
            </w:pPr>
            <w:r>
              <w:rPr>
                <w:rFonts w:hint="eastAsia" w:asciiTheme="minorEastAsia" w:hAnsiTheme="minorEastAsia"/>
                <w:bCs/>
                <w:color w:val="auto"/>
                <w:szCs w:val="21"/>
              </w:rPr>
              <w:t xml:space="preserve">技术标(K1) </w:t>
            </w:r>
          </w:p>
        </w:tc>
        <w:tc>
          <w:tcPr>
            <w:tcW w:w="4253"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2</w:t>
            </w:r>
          </w:p>
        </w:tc>
        <w:tc>
          <w:tcPr>
            <w:tcW w:w="2126" w:type="dxa"/>
            <w:vAlign w:val="center"/>
          </w:tcPr>
          <w:p>
            <w:pPr>
              <w:jc w:val="left"/>
              <w:rPr>
                <w:rFonts w:asciiTheme="minorEastAsia" w:hAnsiTheme="minorEastAsia"/>
                <w:bCs/>
                <w:color w:val="auto"/>
                <w:szCs w:val="21"/>
              </w:rPr>
            </w:pPr>
            <w:r>
              <w:rPr>
                <w:rFonts w:hint="eastAsia" w:asciiTheme="minorEastAsia" w:hAnsiTheme="minorEastAsia"/>
                <w:bCs/>
                <w:color w:val="auto"/>
                <w:szCs w:val="21"/>
              </w:rPr>
              <w:t xml:space="preserve">资信(K2)   </w:t>
            </w:r>
          </w:p>
        </w:tc>
        <w:tc>
          <w:tcPr>
            <w:tcW w:w="4253"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3</w:t>
            </w:r>
          </w:p>
        </w:tc>
        <w:tc>
          <w:tcPr>
            <w:tcW w:w="2126" w:type="dxa"/>
            <w:vAlign w:val="center"/>
          </w:tcPr>
          <w:p>
            <w:pPr>
              <w:jc w:val="left"/>
              <w:rPr>
                <w:rFonts w:asciiTheme="minorEastAsia" w:hAnsiTheme="minorEastAsia"/>
                <w:bCs/>
                <w:color w:val="auto"/>
                <w:szCs w:val="21"/>
              </w:rPr>
            </w:pPr>
            <w:r>
              <w:rPr>
                <w:rFonts w:hint="eastAsia" w:asciiTheme="minorEastAsia" w:hAnsiTheme="minorEastAsia"/>
                <w:bCs/>
                <w:color w:val="auto"/>
                <w:szCs w:val="21"/>
              </w:rPr>
              <w:t>投标报价(K3)</w:t>
            </w:r>
          </w:p>
        </w:tc>
        <w:tc>
          <w:tcPr>
            <w:tcW w:w="4253"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0.20</w:t>
            </w:r>
          </w:p>
        </w:tc>
      </w:tr>
    </w:tbl>
    <w:p>
      <w:pPr>
        <w:jc w:val="left"/>
        <w:rPr>
          <w:b/>
          <w:bCs/>
          <w:color w:val="auto"/>
          <w:sz w:val="28"/>
          <w:szCs w:val="28"/>
        </w:rPr>
      </w:pPr>
    </w:p>
    <w:p>
      <w:pPr>
        <w:jc w:val="left"/>
        <w:rPr>
          <w:b/>
          <w:bCs/>
          <w:color w:val="auto"/>
          <w:sz w:val="28"/>
          <w:szCs w:val="28"/>
        </w:rPr>
      </w:pPr>
    </w:p>
    <w:p>
      <w:pPr>
        <w:jc w:val="left"/>
        <w:rPr>
          <w:b/>
          <w:bCs/>
          <w:color w:val="auto"/>
          <w:sz w:val="28"/>
          <w:szCs w:val="28"/>
        </w:rPr>
      </w:pPr>
    </w:p>
    <w:p>
      <w:pPr>
        <w:jc w:val="left"/>
        <w:rPr>
          <w:b/>
          <w:bCs/>
          <w:color w:val="auto"/>
          <w:sz w:val="28"/>
          <w:szCs w:val="28"/>
        </w:rPr>
      </w:pPr>
    </w:p>
    <w:p>
      <w:pPr>
        <w:jc w:val="left"/>
        <w:rPr>
          <w:b/>
          <w:bCs/>
          <w:color w:val="auto"/>
          <w:sz w:val="28"/>
          <w:szCs w:val="28"/>
        </w:rPr>
      </w:pPr>
      <w:r>
        <w:rPr>
          <w:rFonts w:hint="eastAsia"/>
          <w:b/>
          <w:bCs/>
          <w:color w:val="auto"/>
          <w:sz w:val="28"/>
          <w:szCs w:val="28"/>
        </w:rPr>
        <w:t>附表3-5:综合得分计算表</w:t>
      </w:r>
    </w:p>
    <w:p>
      <w:pPr>
        <w:jc w:val="center"/>
        <w:rPr>
          <w:b/>
          <w:bCs/>
          <w:color w:val="auto"/>
          <w:sz w:val="28"/>
          <w:szCs w:val="28"/>
        </w:rPr>
      </w:pPr>
      <w:r>
        <w:rPr>
          <w:rFonts w:hint="eastAsia"/>
          <w:b/>
          <w:bCs/>
          <w:color w:val="auto"/>
          <w:sz w:val="28"/>
          <w:szCs w:val="28"/>
        </w:rPr>
        <w:t>综合得分计算表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vAlign w:val="center"/>
          </w:tcPr>
          <w:p>
            <w:pPr>
              <w:jc w:val="left"/>
              <w:rPr>
                <w:rFonts w:asciiTheme="minorEastAsia" w:hAnsiTheme="minorEastAsia"/>
                <w:bCs/>
                <w:color w:val="auto"/>
                <w:szCs w:val="21"/>
              </w:rPr>
            </w:pPr>
            <w:r>
              <w:rPr>
                <w:rFonts w:hint="eastAsia" w:asciiTheme="minorEastAsia" w:hAnsiTheme="minorEastAsia"/>
                <w:bCs/>
                <w:color w:val="auto"/>
                <w:szCs w:val="21"/>
              </w:rPr>
              <w:t>投标人(             )                                   综合得分（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vAlign w:val="center"/>
          </w:tcPr>
          <w:p>
            <w:pPr>
              <w:jc w:val="center"/>
              <w:rPr>
                <w:rFonts w:asciiTheme="minorEastAsia" w:hAnsiTheme="minorEastAsia"/>
                <w:bCs/>
                <w:color w:val="auto"/>
                <w:szCs w:val="21"/>
              </w:rPr>
            </w:pPr>
            <w:r>
              <w:rPr>
                <w:rFonts w:hint="eastAsia" w:asciiTheme="minorEastAsia" w:hAnsiTheme="minorEastAsia"/>
                <w:bCs/>
                <w:color w:val="auto"/>
                <w:szCs w:val="21"/>
              </w:rPr>
              <w:t>评委编号</w:t>
            </w:r>
          </w:p>
        </w:tc>
        <w:tc>
          <w:tcPr>
            <w:tcW w:w="6392" w:type="dxa"/>
            <w:gridSpan w:val="3"/>
            <w:vAlign w:val="center"/>
          </w:tcPr>
          <w:p>
            <w:pPr>
              <w:jc w:val="center"/>
              <w:rPr>
                <w:rFonts w:asciiTheme="minorEastAsia" w:hAnsiTheme="minorEastAsia"/>
                <w:bCs/>
                <w:color w:val="auto"/>
                <w:szCs w:val="21"/>
              </w:rPr>
            </w:pPr>
            <w:r>
              <w:rPr>
                <w:rFonts w:hint="eastAsia" w:asciiTheme="minorEastAsia" w:hAnsiTheme="minorEastAsia"/>
                <w:bCs/>
                <w:color w:val="auto"/>
                <w:szCs w:val="21"/>
              </w:rPr>
              <w:t>单  项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vAlign w:val="center"/>
          </w:tcPr>
          <w:p>
            <w:pPr>
              <w:jc w:val="center"/>
              <w:rPr>
                <w:rFonts w:asciiTheme="minorEastAsia" w:hAnsiTheme="minorEastAsia"/>
                <w:bCs/>
                <w:color w:val="auto"/>
                <w:szCs w:val="21"/>
              </w:rPr>
            </w:pPr>
          </w:p>
        </w:tc>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技术标</w:t>
            </w:r>
          </w:p>
        </w:tc>
        <w:tc>
          <w:tcPr>
            <w:tcW w:w="2131"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资信</w:t>
            </w:r>
          </w:p>
        </w:tc>
        <w:tc>
          <w:tcPr>
            <w:tcW w:w="2131"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1</w:t>
            </w:r>
          </w:p>
        </w:tc>
        <w:tc>
          <w:tcPr>
            <w:tcW w:w="2130" w:type="dxa"/>
            <w:vAlign w:val="center"/>
          </w:tcPr>
          <w:p>
            <w:pPr>
              <w:jc w:val="center"/>
              <w:rPr>
                <w:rFonts w:asciiTheme="minorEastAsia" w:hAnsiTheme="minorEastAsia"/>
                <w:bCs/>
                <w:color w:val="auto"/>
                <w:szCs w:val="21"/>
              </w:rPr>
            </w:pPr>
          </w:p>
        </w:tc>
        <w:tc>
          <w:tcPr>
            <w:tcW w:w="2131" w:type="dxa"/>
            <w:vMerge w:val="restart"/>
            <w:vAlign w:val="center"/>
          </w:tcPr>
          <w:p>
            <w:pPr>
              <w:jc w:val="center"/>
              <w:rPr>
                <w:rFonts w:asciiTheme="minorEastAsia" w:hAnsiTheme="minorEastAsia"/>
                <w:bCs/>
                <w:color w:val="auto"/>
                <w:szCs w:val="21"/>
              </w:rPr>
            </w:pPr>
          </w:p>
        </w:tc>
        <w:tc>
          <w:tcPr>
            <w:tcW w:w="2131" w:type="dxa"/>
            <w:vMerge w:val="restart"/>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2</w:t>
            </w:r>
          </w:p>
        </w:tc>
        <w:tc>
          <w:tcPr>
            <w:tcW w:w="2130" w:type="dxa"/>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3</w:t>
            </w:r>
          </w:p>
        </w:tc>
        <w:tc>
          <w:tcPr>
            <w:tcW w:w="2130" w:type="dxa"/>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4</w:t>
            </w:r>
          </w:p>
        </w:tc>
        <w:tc>
          <w:tcPr>
            <w:tcW w:w="2130" w:type="dxa"/>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5</w:t>
            </w:r>
          </w:p>
        </w:tc>
        <w:tc>
          <w:tcPr>
            <w:tcW w:w="2130" w:type="dxa"/>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c>
          <w:tcPr>
            <w:tcW w:w="2131" w:type="dxa"/>
            <w:vMerge w:val="continue"/>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单项得分Pi</w:t>
            </w:r>
          </w:p>
        </w:tc>
        <w:tc>
          <w:tcPr>
            <w:tcW w:w="2130" w:type="dxa"/>
            <w:vAlign w:val="center"/>
          </w:tcPr>
          <w:p>
            <w:pPr>
              <w:jc w:val="center"/>
              <w:rPr>
                <w:rFonts w:asciiTheme="minorEastAsia" w:hAnsiTheme="minorEastAsia"/>
                <w:bCs/>
                <w:color w:val="auto"/>
                <w:szCs w:val="21"/>
              </w:rPr>
            </w:pPr>
          </w:p>
        </w:tc>
        <w:tc>
          <w:tcPr>
            <w:tcW w:w="2131" w:type="dxa"/>
            <w:vAlign w:val="center"/>
          </w:tcPr>
          <w:p>
            <w:pPr>
              <w:jc w:val="center"/>
              <w:rPr>
                <w:rFonts w:asciiTheme="minorEastAsia" w:hAnsiTheme="minorEastAsia"/>
                <w:bCs/>
                <w:color w:val="auto"/>
                <w:szCs w:val="21"/>
              </w:rPr>
            </w:pPr>
          </w:p>
        </w:tc>
        <w:tc>
          <w:tcPr>
            <w:tcW w:w="2131" w:type="dxa"/>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权数Ki</w:t>
            </w:r>
          </w:p>
        </w:tc>
        <w:tc>
          <w:tcPr>
            <w:tcW w:w="2130" w:type="dxa"/>
            <w:vAlign w:val="center"/>
          </w:tcPr>
          <w:p>
            <w:pPr>
              <w:jc w:val="center"/>
              <w:rPr>
                <w:rFonts w:asciiTheme="minorEastAsia" w:hAnsiTheme="minorEastAsia"/>
                <w:bCs/>
                <w:color w:val="auto"/>
                <w:szCs w:val="21"/>
              </w:rPr>
            </w:pPr>
          </w:p>
        </w:tc>
        <w:tc>
          <w:tcPr>
            <w:tcW w:w="2131" w:type="dxa"/>
            <w:vAlign w:val="center"/>
          </w:tcPr>
          <w:p>
            <w:pPr>
              <w:jc w:val="center"/>
              <w:rPr>
                <w:rFonts w:asciiTheme="minorEastAsia" w:hAnsiTheme="minorEastAsia"/>
                <w:bCs/>
                <w:color w:val="auto"/>
                <w:szCs w:val="21"/>
              </w:rPr>
            </w:pPr>
          </w:p>
        </w:tc>
        <w:tc>
          <w:tcPr>
            <w:tcW w:w="2131" w:type="dxa"/>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Ki Pi</w:t>
            </w:r>
          </w:p>
        </w:tc>
        <w:tc>
          <w:tcPr>
            <w:tcW w:w="2130" w:type="dxa"/>
            <w:vAlign w:val="center"/>
          </w:tcPr>
          <w:p>
            <w:pPr>
              <w:jc w:val="center"/>
              <w:rPr>
                <w:rFonts w:asciiTheme="minorEastAsia" w:hAnsiTheme="minorEastAsia"/>
                <w:bCs/>
                <w:color w:val="auto"/>
                <w:szCs w:val="21"/>
              </w:rPr>
            </w:pPr>
          </w:p>
        </w:tc>
        <w:tc>
          <w:tcPr>
            <w:tcW w:w="2131" w:type="dxa"/>
            <w:vAlign w:val="center"/>
          </w:tcPr>
          <w:p>
            <w:pPr>
              <w:jc w:val="center"/>
              <w:rPr>
                <w:rFonts w:asciiTheme="minorEastAsia" w:hAnsiTheme="minorEastAsia"/>
                <w:bCs/>
                <w:color w:val="auto"/>
                <w:szCs w:val="21"/>
              </w:rPr>
            </w:pPr>
          </w:p>
        </w:tc>
        <w:tc>
          <w:tcPr>
            <w:tcW w:w="2131" w:type="dxa"/>
            <w:vAlign w:val="center"/>
          </w:tcPr>
          <w:p>
            <w:pPr>
              <w:jc w:val="center"/>
              <w:rPr>
                <w:rFonts w:asciiTheme="minorEastAsia" w:hAnsiTheme="minorEastAsia"/>
                <w:bCs/>
                <w:color w:val="auto"/>
                <w:szCs w:val="21"/>
              </w:rPr>
            </w:pPr>
          </w:p>
        </w:tc>
      </w:tr>
    </w:tbl>
    <w:p>
      <w:pPr>
        <w:jc w:val="left"/>
        <w:rPr>
          <w:rFonts w:asciiTheme="minorEastAsia" w:hAnsiTheme="minorEastAsia"/>
          <w:bCs/>
          <w:color w:val="auto"/>
          <w:szCs w:val="21"/>
        </w:rPr>
      </w:pPr>
      <w:r>
        <w:rPr>
          <w:rFonts w:hint="eastAsia" w:asciiTheme="minorEastAsia" w:hAnsiTheme="minorEastAsia"/>
          <w:bCs/>
          <w:color w:val="auto"/>
          <w:szCs w:val="21"/>
        </w:rPr>
        <w:t>备注</w:t>
      </w:r>
    </w:p>
    <w:p>
      <w:pPr>
        <w:jc w:val="left"/>
        <w:rPr>
          <w:rFonts w:asciiTheme="minorEastAsia" w:hAnsiTheme="minorEastAsia"/>
          <w:bCs/>
          <w:color w:val="auto"/>
          <w:szCs w:val="21"/>
        </w:rPr>
      </w:pPr>
      <w:r>
        <w:rPr>
          <w:rFonts w:hint="eastAsia" w:asciiTheme="minorEastAsia" w:hAnsiTheme="minorEastAsia"/>
          <w:bCs/>
          <w:color w:val="auto"/>
          <w:szCs w:val="21"/>
        </w:rPr>
        <w:t>1.综合得分计算保留2位小数(百分比亦取2位小数)，第3位小数4舍5入。</w:t>
      </w:r>
    </w:p>
    <w:p>
      <w:pPr>
        <w:jc w:val="left"/>
        <w:rPr>
          <w:rFonts w:asciiTheme="minorEastAsia" w:hAnsiTheme="minorEastAsia"/>
          <w:bCs/>
          <w:color w:val="auto"/>
          <w:szCs w:val="21"/>
        </w:rPr>
      </w:pPr>
      <w:r>
        <w:rPr>
          <w:rFonts w:hint="eastAsia" w:asciiTheme="minorEastAsia" w:hAnsiTheme="minorEastAsia"/>
          <w:bCs/>
          <w:color w:val="auto"/>
          <w:szCs w:val="21"/>
        </w:rPr>
        <w:t>2.投标人综合得分为技术标、资信、投标报价的单项得分乘以相应的权数取值(附表3-4)之和。</w:t>
      </w:r>
    </w:p>
    <w:p>
      <w:pPr>
        <w:jc w:val="left"/>
        <w:rPr>
          <w:rFonts w:asciiTheme="minorEastAsia" w:hAnsiTheme="minorEastAsia"/>
          <w:bCs/>
          <w:color w:val="auto"/>
          <w:szCs w:val="21"/>
        </w:rPr>
      </w:pPr>
      <w:r>
        <w:rPr>
          <w:rFonts w:hint="eastAsia" w:asciiTheme="minorEastAsia" w:hAnsiTheme="minorEastAsia"/>
          <w:bCs/>
          <w:color w:val="auto"/>
          <w:szCs w:val="21"/>
        </w:rPr>
        <w:t>3.投标人的投标报价单项得分计算和综合得分计算可以委托招标人的工作人员实施，但其计算结果应当交由评标委员会签字确认。</w:t>
      </w:r>
    </w:p>
    <w:p>
      <w:pPr>
        <w:jc w:val="left"/>
        <w:rPr>
          <w:rFonts w:asciiTheme="minorEastAsia" w:hAnsiTheme="minorEastAsia"/>
          <w:bCs/>
          <w:color w:val="auto"/>
          <w:szCs w:val="21"/>
        </w:rPr>
      </w:pPr>
    </w:p>
    <w:p>
      <w:pPr>
        <w:jc w:val="left"/>
        <w:rPr>
          <w:rFonts w:asciiTheme="minorEastAsia" w:hAnsiTheme="minorEastAsia"/>
          <w:bCs/>
          <w:color w:val="auto"/>
          <w:szCs w:val="21"/>
        </w:rPr>
      </w:pPr>
      <w:r>
        <w:rPr>
          <w:rFonts w:hint="eastAsia" w:asciiTheme="minorEastAsia" w:hAnsiTheme="minorEastAsia"/>
          <w:bCs/>
          <w:color w:val="auto"/>
          <w:szCs w:val="21"/>
        </w:rPr>
        <w:t>评标委员会全体成员签字/日期</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b/>
          <w:bCs/>
          <w:color w:val="auto"/>
          <w:sz w:val="28"/>
          <w:szCs w:val="28"/>
        </w:rPr>
      </w:pPr>
      <w:r>
        <w:rPr>
          <w:rFonts w:hint="eastAsia"/>
          <w:b/>
          <w:bCs/>
          <w:color w:val="auto"/>
          <w:sz w:val="28"/>
          <w:szCs w:val="28"/>
        </w:rPr>
        <w:t>附表3-6:经评审的投标人排序表</w:t>
      </w:r>
    </w:p>
    <w:p>
      <w:pPr>
        <w:jc w:val="center"/>
        <w:rPr>
          <w:b/>
          <w:bCs/>
          <w:color w:val="auto"/>
          <w:sz w:val="28"/>
          <w:szCs w:val="28"/>
        </w:rPr>
      </w:pPr>
      <w:r>
        <w:rPr>
          <w:rFonts w:hint="eastAsia"/>
          <w:b/>
          <w:bCs/>
          <w:color w:val="auto"/>
          <w:sz w:val="28"/>
          <w:szCs w:val="28"/>
        </w:rPr>
        <w:t>经评审的投标人排序表</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排序</w:t>
            </w:r>
          </w:p>
        </w:tc>
        <w:tc>
          <w:tcPr>
            <w:tcW w:w="2841"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投标人名称</w:t>
            </w:r>
          </w:p>
        </w:tc>
        <w:tc>
          <w:tcPr>
            <w:tcW w:w="2841"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投标报价（万元）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jc w:val="center"/>
              <w:rPr>
                <w:rFonts w:asciiTheme="minorEastAsia" w:hAnsiTheme="minorEastAsia"/>
                <w:bCs/>
                <w:color w:val="auto"/>
                <w:szCs w:val="21"/>
              </w:rPr>
            </w:pPr>
          </w:p>
        </w:tc>
        <w:tc>
          <w:tcPr>
            <w:tcW w:w="2841" w:type="dxa"/>
            <w:vAlign w:val="center"/>
          </w:tcPr>
          <w:p>
            <w:pPr>
              <w:jc w:val="center"/>
              <w:rPr>
                <w:rFonts w:asciiTheme="minorEastAsia" w:hAnsiTheme="minorEastAsia"/>
                <w:bCs/>
                <w:color w:val="auto"/>
                <w:szCs w:val="21"/>
              </w:rPr>
            </w:pPr>
          </w:p>
        </w:tc>
        <w:tc>
          <w:tcPr>
            <w:tcW w:w="2841" w:type="dxa"/>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jc w:val="center"/>
              <w:rPr>
                <w:rFonts w:asciiTheme="minorEastAsia" w:hAnsiTheme="minorEastAsia"/>
                <w:bCs/>
                <w:color w:val="auto"/>
                <w:szCs w:val="21"/>
              </w:rPr>
            </w:pPr>
          </w:p>
        </w:tc>
        <w:tc>
          <w:tcPr>
            <w:tcW w:w="2841" w:type="dxa"/>
            <w:vAlign w:val="center"/>
          </w:tcPr>
          <w:p>
            <w:pPr>
              <w:jc w:val="center"/>
              <w:rPr>
                <w:rFonts w:asciiTheme="minorEastAsia" w:hAnsiTheme="minorEastAsia"/>
                <w:bCs/>
                <w:color w:val="auto"/>
                <w:szCs w:val="21"/>
              </w:rPr>
            </w:pPr>
          </w:p>
        </w:tc>
        <w:tc>
          <w:tcPr>
            <w:tcW w:w="2841" w:type="dxa"/>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jc w:val="center"/>
              <w:rPr>
                <w:rFonts w:asciiTheme="minorEastAsia" w:hAnsiTheme="minorEastAsia"/>
                <w:bCs/>
                <w:color w:val="auto"/>
                <w:szCs w:val="21"/>
              </w:rPr>
            </w:pPr>
          </w:p>
        </w:tc>
        <w:tc>
          <w:tcPr>
            <w:tcW w:w="2841" w:type="dxa"/>
            <w:vAlign w:val="center"/>
          </w:tcPr>
          <w:p>
            <w:pPr>
              <w:jc w:val="center"/>
              <w:rPr>
                <w:rFonts w:asciiTheme="minorEastAsia" w:hAnsiTheme="minorEastAsia"/>
                <w:bCs/>
                <w:color w:val="auto"/>
                <w:szCs w:val="21"/>
              </w:rPr>
            </w:pPr>
          </w:p>
        </w:tc>
        <w:tc>
          <w:tcPr>
            <w:tcW w:w="2841" w:type="dxa"/>
            <w:vAlign w:val="center"/>
          </w:tcPr>
          <w:p>
            <w:pPr>
              <w:jc w:val="center"/>
              <w:rPr>
                <w:rFonts w:asciiTheme="minorEastAsia" w:hAnsiTheme="minorEastAsia"/>
                <w:bCs/>
                <w:color w:val="auto"/>
                <w:szCs w:val="21"/>
              </w:rPr>
            </w:pPr>
          </w:p>
        </w:tc>
      </w:tr>
    </w:tbl>
    <w:p>
      <w:pPr>
        <w:jc w:val="left"/>
        <w:rPr>
          <w:rFonts w:asciiTheme="minorEastAsia" w:hAnsiTheme="minorEastAsia"/>
          <w:bCs/>
          <w:color w:val="auto"/>
          <w:szCs w:val="21"/>
        </w:rPr>
      </w:pPr>
    </w:p>
    <w:p>
      <w:pPr>
        <w:jc w:val="left"/>
        <w:rPr>
          <w:rFonts w:asciiTheme="minorEastAsia" w:hAnsiTheme="minorEastAsia"/>
          <w:bCs/>
          <w:color w:val="auto"/>
          <w:szCs w:val="21"/>
        </w:rPr>
      </w:pPr>
      <w:r>
        <w:rPr>
          <w:rFonts w:hint="eastAsia" w:asciiTheme="minorEastAsia" w:hAnsiTheme="minorEastAsia"/>
          <w:bCs/>
          <w:color w:val="auto"/>
          <w:szCs w:val="21"/>
        </w:rPr>
        <w:t>评标委员会全体成员签字/日期:</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b/>
          <w:bCs/>
          <w:color w:val="auto"/>
          <w:sz w:val="28"/>
          <w:szCs w:val="28"/>
        </w:rPr>
      </w:pPr>
    </w:p>
    <w:p>
      <w:pPr>
        <w:jc w:val="left"/>
        <w:rPr>
          <w:b/>
          <w:bCs/>
          <w:color w:val="auto"/>
          <w:sz w:val="28"/>
          <w:szCs w:val="28"/>
        </w:rPr>
      </w:pPr>
    </w:p>
    <w:p>
      <w:pPr>
        <w:jc w:val="left"/>
        <w:rPr>
          <w:b/>
          <w:bCs/>
          <w:color w:val="auto"/>
          <w:sz w:val="28"/>
          <w:szCs w:val="28"/>
        </w:rPr>
      </w:pPr>
      <w:r>
        <w:rPr>
          <w:rFonts w:hint="eastAsia"/>
          <w:b/>
          <w:bCs/>
          <w:color w:val="auto"/>
          <w:sz w:val="28"/>
          <w:szCs w:val="28"/>
        </w:rPr>
        <w:t>附表3-7:中标候选人表</w:t>
      </w:r>
    </w:p>
    <w:p>
      <w:pPr>
        <w:jc w:val="center"/>
        <w:rPr>
          <w:b/>
          <w:bCs/>
          <w:color w:val="auto"/>
          <w:sz w:val="28"/>
          <w:szCs w:val="28"/>
        </w:rPr>
      </w:pPr>
      <w:r>
        <w:rPr>
          <w:rFonts w:hint="eastAsia"/>
          <w:b/>
          <w:bCs/>
          <w:color w:val="auto"/>
          <w:sz w:val="28"/>
          <w:szCs w:val="28"/>
        </w:rPr>
        <w:t>中标候选人表</w:t>
      </w:r>
    </w:p>
    <w:p>
      <w:pPr>
        <w:jc w:val="left"/>
        <w:rPr>
          <w:rFonts w:asciiTheme="minorEastAsia" w:hAnsiTheme="minorEastAsia"/>
          <w:bCs/>
          <w:color w:val="auto"/>
          <w:szCs w:val="21"/>
        </w:rPr>
      </w:pPr>
      <w:r>
        <w:rPr>
          <w:rFonts w:hint="eastAsia" w:asciiTheme="minorEastAsia" w:hAnsiTheme="minorEastAsia"/>
          <w:bCs/>
          <w:color w:val="auto"/>
          <w:szCs w:val="21"/>
          <w:u w:val="single"/>
        </w:rPr>
        <w:t xml:space="preserve">              </w:t>
      </w:r>
      <w:r>
        <w:rPr>
          <w:rFonts w:hint="eastAsia" w:asciiTheme="minorEastAsia" w:hAnsiTheme="minorEastAsia"/>
          <w:bCs/>
          <w:color w:val="auto"/>
          <w:szCs w:val="21"/>
        </w:rPr>
        <w:t>(项目名称)前期物业管理招标</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2977"/>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排序</w:t>
            </w:r>
          </w:p>
        </w:tc>
        <w:tc>
          <w:tcPr>
            <w:tcW w:w="2126"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中标候选人</w:t>
            </w:r>
          </w:p>
        </w:tc>
        <w:tc>
          <w:tcPr>
            <w:tcW w:w="2977"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投标报价(万元)</w:t>
            </w:r>
          </w:p>
        </w:tc>
        <w:tc>
          <w:tcPr>
            <w:tcW w:w="1893"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526"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第一名</w:t>
            </w:r>
          </w:p>
        </w:tc>
        <w:tc>
          <w:tcPr>
            <w:tcW w:w="2126" w:type="dxa"/>
            <w:vAlign w:val="center"/>
          </w:tcPr>
          <w:p>
            <w:pPr>
              <w:jc w:val="center"/>
              <w:rPr>
                <w:rFonts w:asciiTheme="minorEastAsia" w:hAnsiTheme="minorEastAsia"/>
                <w:bCs/>
                <w:color w:val="auto"/>
                <w:szCs w:val="21"/>
              </w:rPr>
            </w:pPr>
          </w:p>
        </w:tc>
        <w:tc>
          <w:tcPr>
            <w:tcW w:w="2977" w:type="dxa"/>
            <w:vAlign w:val="center"/>
          </w:tcPr>
          <w:p>
            <w:pPr>
              <w:jc w:val="center"/>
              <w:rPr>
                <w:rFonts w:asciiTheme="minorEastAsia" w:hAnsiTheme="minorEastAsia"/>
                <w:bCs/>
                <w:color w:val="auto"/>
                <w:szCs w:val="21"/>
              </w:rPr>
            </w:pPr>
          </w:p>
        </w:tc>
        <w:tc>
          <w:tcPr>
            <w:tcW w:w="1893" w:type="dxa"/>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526"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第二名</w:t>
            </w:r>
          </w:p>
        </w:tc>
        <w:tc>
          <w:tcPr>
            <w:tcW w:w="2126" w:type="dxa"/>
            <w:vAlign w:val="center"/>
          </w:tcPr>
          <w:p>
            <w:pPr>
              <w:jc w:val="center"/>
              <w:rPr>
                <w:rFonts w:asciiTheme="minorEastAsia" w:hAnsiTheme="minorEastAsia"/>
                <w:bCs/>
                <w:color w:val="auto"/>
                <w:szCs w:val="21"/>
              </w:rPr>
            </w:pPr>
          </w:p>
        </w:tc>
        <w:tc>
          <w:tcPr>
            <w:tcW w:w="2977" w:type="dxa"/>
            <w:vAlign w:val="center"/>
          </w:tcPr>
          <w:p>
            <w:pPr>
              <w:jc w:val="center"/>
              <w:rPr>
                <w:rFonts w:asciiTheme="minorEastAsia" w:hAnsiTheme="minorEastAsia"/>
                <w:bCs/>
                <w:color w:val="auto"/>
                <w:szCs w:val="21"/>
              </w:rPr>
            </w:pPr>
          </w:p>
        </w:tc>
        <w:tc>
          <w:tcPr>
            <w:tcW w:w="1893" w:type="dxa"/>
            <w:vAlign w:val="center"/>
          </w:tcPr>
          <w:p>
            <w:pPr>
              <w:jc w:val="center"/>
              <w:rPr>
                <w:rFonts w:asciiTheme="minorEastAsia" w:hAnsi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526" w:type="dxa"/>
            <w:vAlign w:val="center"/>
          </w:tcPr>
          <w:p>
            <w:pPr>
              <w:jc w:val="center"/>
              <w:rPr>
                <w:rFonts w:asciiTheme="minorEastAsia" w:hAnsiTheme="minorEastAsia"/>
                <w:bCs/>
                <w:color w:val="auto"/>
                <w:szCs w:val="21"/>
              </w:rPr>
            </w:pPr>
            <w:r>
              <w:rPr>
                <w:rFonts w:hint="eastAsia" w:asciiTheme="minorEastAsia" w:hAnsiTheme="minorEastAsia"/>
                <w:bCs/>
                <w:color w:val="auto"/>
                <w:szCs w:val="21"/>
              </w:rPr>
              <w:t>第三名</w:t>
            </w:r>
          </w:p>
        </w:tc>
        <w:tc>
          <w:tcPr>
            <w:tcW w:w="2126" w:type="dxa"/>
            <w:vAlign w:val="center"/>
          </w:tcPr>
          <w:p>
            <w:pPr>
              <w:jc w:val="center"/>
              <w:rPr>
                <w:rFonts w:asciiTheme="minorEastAsia" w:hAnsiTheme="minorEastAsia"/>
                <w:bCs/>
                <w:color w:val="auto"/>
                <w:szCs w:val="21"/>
              </w:rPr>
            </w:pPr>
          </w:p>
        </w:tc>
        <w:tc>
          <w:tcPr>
            <w:tcW w:w="2977" w:type="dxa"/>
            <w:vAlign w:val="center"/>
          </w:tcPr>
          <w:p>
            <w:pPr>
              <w:jc w:val="center"/>
              <w:rPr>
                <w:rFonts w:asciiTheme="minorEastAsia" w:hAnsiTheme="minorEastAsia"/>
                <w:bCs/>
                <w:color w:val="auto"/>
                <w:szCs w:val="21"/>
              </w:rPr>
            </w:pPr>
          </w:p>
        </w:tc>
        <w:tc>
          <w:tcPr>
            <w:tcW w:w="1893" w:type="dxa"/>
            <w:vAlign w:val="center"/>
          </w:tcPr>
          <w:p>
            <w:pPr>
              <w:jc w:val="center"/>
              <w:rPr>
                <w:rFonts w:asciiTheme="minorEastAsia" w:hAnsiTheme="minorEastAsia"/>
                <w:bCs/>
                <w:color w:val="auto"/>
                <w:szCs w:val="21"/>
              </w:rPr>
            </w:pPr>
          </w:p>
        </w:tc>
      </w:tr>
    </w:tbl>
    <w:p>
      <w:pPr>
        <w:jc w:val="left"/>
        <w:rPr>
          <w:rFonts w:asciiTheme="minorEastAsia" w:hAnsiTheme="minorEastAsia"/>
          <w:bCs/>
          <w:color w:val="auto"/>
          <w:szCs w:val="21"/>
        </w:rPr>
      </w:pPr>
    </w:p>
    <w:p>
      <w:pPr>
        <w:jc w:val="left"/>
        <w:rPr>
          <w:rFonts w:asciiTheme="minorEastAsia" w:hAnsiTheme="minorEastAsia"/>
          <w:bCs/>
          <w:color w:val="auto"/>
          <w:szCs w:val="21"/>
        </w:rPr>
      </w:pPr>
      <w:r>
        <w:rPr>
          <w:rFonts w:hint="eastAsia" w:asciiTheme="minorEastAsia" w:hAnsiTheme="minorEastAsia"/>
          <w:bCs/>
          <w:color w:val="auto"/>
          <w:szCs w:val="21"/>
        </w:rPr>
        <w:t>签订合同前要处理的事宜:</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r>
        <w:rPr>
          <w:rFonts w:hint="eastAsia" w:asciiTheme="minorEastAsia" w:hAnsiTheme="minorEastAsia"/>
          <w:bCs/>
          <w:color w:val="auto"/>
          <w:szCs w:val="21"/>
        </w:rPr>
        <w:t>评标委员会全体成员签字：</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r>
        <w:rPr>
          <w:rFonts w:hint="eastAsia" w:asciiTheme="minorEastAsia" w:hAnsiTheme="minorEastAsia"/>
          <w:bCs/>
          <w:color w:val="auto"/>
          <w:szCs w:val="21"/>
        </w:rPr>
        <w:t>监督人员签字:</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ind w:firstLine="6195" w:firstLineChars="2950"/>
        <w:jc w:val="left"/>
        <w:rPr>
          <w:rFonts w:asciiTheme="minorEastAsia" w:hAnsiTheme="minorEastAsia"/>
          <w:bCs/>
          <w:color w:val="auto"/>
          <w:szCs w:val="21"/>
        </w:rPr>
      </w:pPr>
      <w:r>
        <w:rPr>
          <w:rFonts w:hint="eastAsia" w:asciiTheme="minorEastAsia" w:hAnsiTheme="minorEastAsia"/>
          <w:bCs/>
          <w:color w:val="auto"/>
          <w:szCs w:val="21"/>
        </w:rPr>
        <w:t>日期:</w:t>
      </w:r>
      <w:r>
        <w:rPr>
          <w:rFonts w:hint="eastAsia" w:asciiTheme="minorEastAsia" w:hAnsiTheme="minorEastAsia"/>
          <w:bCs/>
          <w:color w:val="auto"/>
          <w:szCs w:val="21"/>
          <w:u w:val="single"/>
        </w:rPr>
        <w:t>__ __</w:t>
      </w:r>
      <w:r>
        <w:rPr>
          <w:rFonts w:hint="eastAsia" w:asciiTheme="minorEastAsia" w:hAnsiTheme="minorEastAsia"/>
          <w:bCs/>
          <w:color w:val="auto"/>
          <w:szCs w:val="21"/>
        </w:rPr>
        <w:t>年__月__日</w:t>
      </w: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left"/>
        <w:rPr>
          <w:rFonts w:asciiTheme="minorEastAsia" w:hAnsiTheme="minorEastAsia"/>
          <w:bCs/>
          <w:color w:val="auto"/>
          <w:szCs w:val="21"/>
        </w:rPr>
      </w:pPr>
    </w:p>
    <w:p>
      <w:pPr>
        <w:jc w:val="center"/>
        <w:rPr>
          <w:b/>
          <w:bCs/>
          <w:color w:val="auto"/>
          <w:sz w:val="28"/>
          <w:szCs w:val="28"/>
        </w:rPr>
      </w:pPr>
      <w:r>
        <w:rPr>
          <w:rFonts w:hint="eastAsia"/>
          <w:b/>
          <w:bCs/>
          <w:color w:val="auto"/>
          <w:sz w:val="28"/>
          <w:szCs w:val="28"/>
        </w:rPr>
        <w:t>第四章     合同条款和格式</w:t>
      </w:r>
    </w:p>
    <w:p>
      <w:pPr>
        <w:jc w:val="center"/>
        <w:rPr>
          <w:b/>
          <w:bCs/>
          <w:color w:val="auto"/>
          <w:sz w:val="28"/>
          <w:szCs w:val="28"/>
        </w:rPr>
      </w:pPr>
    </w:p>
    <w:p>
      <w:pPr>
        <w:jc w:val="center"/>
        <w:rPr>
          <w:rFonts w:ascii="宋体" w:hAnsi="宋体" w:eastAsia="宋体" w:cs="宋体"/>
          <w:b/>
          <w:color w:val="auto"/>
          <w:kern w:val="0"/>
          <w:sz w:val="44"/>
          <w:szCs w:val="44"/>
        </w:rPr>
      </w:pPr>
      <w:r>
        <w:rPr>
          <w:rFonts w:hint="eastAsia" w:ascii="宋体" w:hAnsi="宋体" w:eastAsia="宋体" w:cs="宋体"/>
          <w:b/>
          <w:color w:val="auto"/>
          <w:kern w:val="0"/>
          <w:sz w:val="44"/>
          <w:szCs w:val="44"/>
          <w:lang w:eastAsia="zh-CN"/>
        </w:rPr>
        <w:t>双牌县佳兴名城住宅小区</w:t>
      </w:r>
      <w:r>
        <w:rPr>
          <w:rFonts w:hint="eastAsia" w:ascii="宋体" w:hAnsi="宋体" w:eastAsia="宋体" w:cs="宋体"/>
          <w:b/>
          <w:color w:val="auto"/>
          <w:kern w:val="0"/>
          <w:sz w:val="44"/>
          <w:szCs w:val="44"/>
        </w:rPr>
        <w:t>前期物业</w:t>
      </w:r>
    </w:p>
    <w:p>
      <w:pPr>
        <w:jc w:val="center"/>
        <w:rPr>
          <w:rFonts w:asciiTheme="minorEastAsia" w:hAnsiTheme="minorEastAsia"/>
          <w:b/>
          <w:bCs/>
          <w:color w:val="auto"/>
          <w:sz w:val="44"/>
          <w:szCs w:val="44"/>
        </w:rPr>
      </w:pPr>
      <w:r>
        <w:rPr>
          <w:rFonts w:hint="eastAsia" w:ascii="宋体" w:hAnsi="宋体" w:eastAsia="宋体" w:cs="宋体"/>
          <w:b/>
          <w:color w:val="auto"/>
          <w:kern w:val="0"/>
          <w:sz w:val="44"/>
          <w:szCs w:val="44"/>
        </w:rPr>
        <w:t>管理服务</w:t>
      </w:r>
    </w:p>
    <w:p>
      <w:pPr>
        <w:jc w:val="center"/>
        <w:rPr>
          <w:rFonts w:asciiTheme="minorEastAsia" w:hAnsiTheme="minorEastAsia"/>
          <w:b/>
          <w:bCs/>
          <w:color w:val="auto"/>
          <w:sz w:val="44"/>
          <w:szCs w:val="44"/>
        </w:rPr>
      </w:pPr>
      <w:r>
        <w:rPr>
          <w:rFonts w:hint="eastAsia" w:asciiTheme="minorEastAsia" w:hAnsiTheme="minorEastAsia"/>
          <w:b/>
          <w:bCs/>
          <w:color w:val="auto"/>
          <w:sz w:val="44"/>
          <w:szCs w:val="44"/>
        </w:rPr>
        <w:t>合同</w:t>
      </w:r>
    </w:p>
    <w:p>
      <w:pPr>
        <w:jc w:val="center"/>
        <w:rPr>
          <w:rFonts w:asciiTheme="minorEastAsia" w:hAnsiTheme="minorEastAsia"/>
          <w:b/>
          <w:bCs/>
          <w:color w:val="auto"/>
          <w:sz w:val="44"/>
          <w:szCs w:val="44"/>
        </w:rPr>
      </w:pPr>
    </w:p>
    <w:p>
      <w:pPr>
        <w:jc w:val="center"/>
        <w:rPr>
          <w:rFonts w:asciiTheme="minorEastAsia" w:hAnsiTheme="minorEastAsia"/>
          <w:b/>
          <w:bCs/>
          <w:color w:val="auto"/>
          <w:sz w:val="44"/>
          <w:szCs w:val="44"/>
        </w:rPr>
      </w:pPr>
    </w:p>
    <w:p>
      <w:pPr>
        <w:jc w:val="center"/>
        <w:rPr>
          <w:rFonts w:asciiTheme="minorEastAsia" w:hAnsiTheme="minorEastAsia"/>
          <w:b/>
          <w:bCs/>
          <w:color w:val="auto"/>
          <w:sz w:val="44"/>
          <w:szCs w:val="44"/>
        </w:rPr>
      </w:pPr>
    </w:p>
    <w:p>
      <w:pPr>
        <w:jc w:val="left"/>
        <w:rPr>
          <w:rFonts w:asciiTheme="minorEastAsia" w:hAnsiTheme="minorEastAsia"/>
          <w:b/>
          <w:bCs/>
          <w:color w:val="auto"/>
          <w:szCs w:val="21"/>
          <w:u w:val="single"/>
        </w:rPr>
      </w:pPr>
      <w:r>
        <w:rPr>
          <w:rFonts w:hint="eastAsia" w:asciiTheme="minorEastAsia" w:hAnsiTheme="minorEastAsia"/>
          <w:b/>
          <w:bCs/>
          <w:color w:val="auto"/>
          <w:szCs w:val="21"/>
        </w:rPr>
        <w:t xml:space="preserve">甲        方: </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；法定代表人:</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 xml:space="preserve">；       </w:t>
      </w:r>
    </w:p>
    <w:p>
      <w:pPr>
        <w:jc w:val="left"/>
        <w:rPr>
          <w:rFonts w:asciiTheme="minorEastAsia" w:hAnsiTheme="minorEastAsia"/>
          <w:b/>
          <w:bCs/>
          <w:color w:val="auto"/>
          <w:szCs w:val="21"/>
        </w:rPr>
      </w:pPr>
    </w:p>
    <w:p>
      <w:pPr>
        <w:jc w:val="left"/>
        <w:rPr>
          <w:rFonts w:asciiTheme="minorEastAsia" w:hAnsiTheme="minorEastAsia"/>
          <w:b/>
          <w:bCs/>
          <w:color w:val="auto"/>
          <w:szCs w:val="21"/>
        </w:rPr>
      </w:pPr>
      <w:r>
        <w:rPr>
          <w:rFonts w:hint="eastAsia" w:asciiTheme="minorEastAsia" w:hAnsiTheme="minorEastAsia"/>
          <w:b/>
          <w:bCs/>
          <w:color w:val="auto"/>
          <w:szCs w:val="21"/>
        </w:rPr>
        <w:t>住   所   地:</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；邮      编:</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 xml:space="preserve">； </w:t>
      </w:r>
    </w:p>
    <w:p>
      <w:pPr>
        <w:jc w:val="left"/>
        <w:rPr>
          <w:rFonts w:asciiTheme="minorEastAsia" w:hAnsiTheme="minorEastAsia"/>
          <w:b/>
          <w:bCs/>
          <w:color w:val="auto"/>
          <w:szCs w:val="21"/>
        </w:rPr>
      </w:pPr>
    </w:p>
    <w:p>
      <w:pPr>
        <w:jc w:val="left"/>
        <w:rPr>
          <w:rFonts w:asciiTheme="minorEastAsia" w:hAnsiTheme="minorEastAsia"/>
          <w:b/>
          <w:bCs/>
          <w:color w:val="auto"/>
          <w:szCs w:val="21"/>
        </w:rPr>
      </w:pPr>
    </w:p>
    <w:p>
      <w:pPr>
        <w:jc w:val="left"/>
        <w:rPr>
          <w:rFonts w:asciiTheme="minorEastAsia" w:hAnsiTheme="minorEastAsia"/>
          <w:b/>
          <w:bCs/>
          <w:color w:val="auto"/>
          <w:szCs w:val="21"/>
        </w:rPr>
      </w:pPr>
    </w:p>
    <w:p>
      <w:pPr>
        <w:jc w:val="left"/>
        <w:rPr>
          <w:rFonts w:asciiTheme="minorEastAsia" w:hAnsiTheme="minorEastAsia"/>
          <w:b/>
          <w:bCs/>
          <w:color w:val="auto"/>
          <w:szCs w:val="21"/>
        </w:rPr>
      </w:pPr>
    </w:p>
    <w:p>
      <w:pPr>
        <w:jc w:val="left"/>
        <w:rPr>
          <w:rFonts w:asciiTheme="minorEastAsia" w:hAnsiTheme="minorEastAsia"/>
          <w:b/>
          <w:bCs/>
          <w:color w:val="auto"/>
          <w:szCs w:val="21"/>
          <w:u w:val="single"/>
        </w:rPr>
      </w:pPr>
      <w:r>
        <w:rPr>
          <w:rFonts w:hint="eastAsia" w:asciiTheme="minorEastAsia" w:hAnsiTheme="minorEastAsia"/>
          <w:b/>
          <w:bCs/>
          <w:color w:val="auto"/>
          <w:szCs w:val="21"/>
        </w:rPr>
        <w:t xml:space="preserve">乙        方: </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；法定代表人:</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 xml:space="preserve">；       </w:t>
      </w:r>
    </w:p>
    <w:p>
      <w:pPr>
        <w:jc w:val="left"/>
        <w:rPr>
          <w:rFonts w:asciiTheme="minorEastAsia" w:hAnsiTheme="minorEastAsia"/>
          <w:b/>
          <w:bCs/>
          <w:color w:val="auto"/>
          <w:szCs w:val="21"/>
        </w:rPr>
      </w:pPr>
    </w:p>
    <w:p>
      <w:pPr>
        <w:jc w:val="left"/>
        <w:rPr>
          <w:rFonts w:asciiTheme="minorEastAsia" w:hAnsiTheme="minorEastAsia"/>
          <w:b/>
          <w:bCs/>
          <w:color w:val="auto"/>
          <w:szCs w:val="21"/>
          <w:u w:val="single"/>
        </w:rPr>
      </w:pPr>
      <w:r>
        <w:rPr>
          <w:rFonts w:hint="eastAsia" w:asciiTheme="minorEastAsia" w:hAnsiTheme="minorEastAsia"/>
          <w:b/>
          <w:bCs/>
          <w:color w:val="auto"/>
          <w:szCs w:val="21"/>
        </w:rPr>
        <w:t>住   所   地:</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；邮       编:</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 xml:space="preserve">；              </w:t>
      </w:r>
    </w:p>
    <w:p>
      <w:pPr>
        <w:jc w:val="left"/>
        <w:rPr>
          <w:rFonts w:asciiTheme="minorEastAsia" w:hAnsiTheme="minorEastAsia"/>
          <w:b/>
          <w:bCs/>
          <w:color w:val="auto"/>
          <w:szCs w:val="21"/>
        </w:rPr>
      </w:pPr>
    </w:p>
    <w:p>
      <w:pPr>
        <w:jc w:val="left"/>
        <w:rPr>
          <w:rFonts w:asciiTheme="minorEastAsia" w:hAnsiTheme="minorEastAsia"/>
          <w:b/>
          <w:bCs/>
          <w:color w:val="auto"/>
          <w:szCs w:val="21"/>
          <w:u w:val="single"/>
        </w:rPr>
      </w:pPr>
      <w:r>
        <w:rPr>
          <w:rFonts w:hint="eastAsia" w:asciiTheme="minorEastAsia" w:hAnsiTheme="minorEastAsia"/>
          <w:b/>
          <w:bCs/>
          <w:color w:val="auto"/>
          <w:szCs w:val="21"/>
        </w:rPr>
        <w:t>资 质 等 级:</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；证 书 编 号:</w:t>
      </w:r>
      <w:r>
        <w:rPr>
          <w:rFonts w:hint="eastAsia" w:asciiTheme="minorEastAsia" w:hAnsiTheme="minorEastAsia"/>
          <w:b/>
          <w:bCs/>
          <w:color w:val="auto"/>
          <w:szCs w:val="21"/>
          <w:u w:val="single"/>
        </w:rPr>
        <w:t xml:space="preserve">                      </w:t>
      </w:r>
      <w:r>
        <w:rPr>
          <w:rFonts w:hint="eastAsia" w:asciiTheme="minorEastAsia" w:hAnsiTheme="minorEastAsia"/>
          <w:b/>
          <w:bCs/>
          <w:color w:val="auto"/>
          <w:szCs w:val="21"/>
        </w:rPr>
        <w:t xml:space="preserve">；            </w:t>
      </w:r>
    </w:p>
    <w:p>
      <w:pPr>
        <w:jc w:val="left"/>
        <w:rPr>
          <w:rFonts w:asciiTheme="minorEastAsia" w:hAnsiTheme="minorEastAsia"/>
          <w:b/>
          <w:bCs/>
          <w:color w:val="auto"/>
          <w:szCs w:val="21"/>
        </w:rPr>
      </w:pPr>
    </w:p>
    <w:p>
      <w:pPr>
        <w:jc w:val="left"/>
        <w:rPr>
          <w:rFonts w:asciiTheme="minorEastAsia" w:hAnsiTheme="minorEastAsia"/>
          <w:bCs/>
          <w:color w:val="auto"/>
          <w:szCs w:val="21"/>
        </w:rPr>
      </w:pPr>
    </w:p>
    <w:p>
      <w:pPr>
        <w:spacing w:line="360" w:lineRule="auto"/>
        <w:ind w:firstLine="420"/>
        <w:jc w:val="left"/>
        <w:rPr>
          <w:rFonts w:ascii="宋体" w:hAnsi="宋体"/>
          <w:color w:val="auto"/>
          <w:szCs w:val="21"/>
        </w:rPr>
      </w:pPr>
      <w:r>
        <w:rPr>
          <w:rFonts w:hint="eastAsia" w:ascii="宋体" w:hAnsi="宋体"/>
          <w:color w:val="auto"/>
          <w:szCs w:val="21"/>
        </w:rPr>
        <w:t>根据《中华人民共和国合同法》、《中华人民共和国物权法》 、国务院《物业管理条例》等有关法律、法规的规定，在平等、公平、诚实信用基础上，就甲方以公开招标方式选聘乙方提供前期物业服务的有关事宜，订立本合同。</w:t>
      </w:r>
    </w:p>
    <w:p>
      <w:pPr>
        <w:spacing w:line="360" w:lineRule="auto"/>
        <w:ind w:firstLine="420"/>
        <w:jc w:val="left"/>
        <w:rPr>
          <w:rFonts w:ascii="宋体" w:hAnsi="宋体"/>
          <w:color w:val="auto"/>
          <w:szCs w:val="21"/>
        </w:rPr>
      </w:pPr>
      <w:r>
        <w:rPr>
          <w:rFonts w:hint="eastAsia" w:ascii="宋体" w:hAnsi="宋体"/>
          <w:color w:val="auto"/>
          <w:szCs w:val="21"/>
        </w:rPr>
        <w:t>乙方提供服务的受益人为物业管理区域内的全体业主；全体业主(以下简称“业主”)享有本合同约定的权利，履行本合同约定的义务。</w:t>
      </w:r>
    </w:p>
    <w:p>
      <w:pPr>
        <w:spacing w:line="360" w:lineRule="auto"/>
        <w:ind w:firstLine="420"/>
        <w:jc w:val="left"/>
        <w:rPr>
          <w:rFonts w:ascii="宋体" w:hAnsi="宋体"/>
          <w:color w:val="auto"/>
          <w:szCs w:val="21"/>
        </w:rPr>
      </w:pPr>
    </w:p>
    <w:p>
      <w:pPr>
        <w:jc w:val="center"/>
        <w:rPr>
          <w:rFonts w:hint="eastAsia"/>
          <w:b/>
          <w:bCs/>
          <w:color w:val="auto"/>
          <w:sz w:val="28"/>
          <w:szCs w:val="28"/>
        </w:rPr>
      </w:pPr>
    </w:p>
    <w:p>
      <w:pPr>
        <w:jc w:val="center"/>
        <w:rPr>
          <w:rFonts w:hint="eastAsia"/>
          <w:b/>
          <w:bCs/>
          <w:color w:val="auto"/>
          <w:sz w:val="28"/>
          <w:szCs w:val="28"/>
        </w:rPr>
      </w:pPr>
    </w:p>
    <w:p>
      <w:pPr>
        <w:jc w:val="center"/>
        <w:rPr>
          <w:b/>
          <w:bCs/>
          <w:color w:val="auto"/>
          <w:sz w:val="28"/>
          <w:szCs w:val="28"/>
        </w:rPr>
      </w:pPr>
      <w:r>
        <w:rPr>
          <w:rFonts w:hint="eastAsia"/>
          <w:b/>
          <w:bCs/>
          <w:color w:val="auto"/>
          <w:sz w:val="28"/>
          <w:szCs w:val="28"/>
        </w:rPr>
        <w:t>第一章  物业基本情况</w:t>
      </w:r>
    </w:p>
    <w:p>
      <w:pPr>
        <w:jc w:val="left"/>
        <w:rPr>
          <w:rFonts w:asciiTheme="minorEastAsia" w:hAnsiTheme="minorEastAsia"/>
          <w:bCs/>
          <w:color w:val="auto"/>
          <w:szCs w:val="21"/>
        </w:rPr>
      </w:pPr>
      <w:r>
        <w:rPr>
          <w:rFonts w:hint="eastAsia"/>
          <w:b/>
          <w:bCs/>
          <w:color w:val="auto"/>
          <w:sz w:val="24"/>
        </w:rPr>
        <w:t xml:space="preserve">第一条    </w:t>
      </w:r>
      <w:r>
        <w:rPr>
          <w:rFonts w:hint="eastAsia" w:asciiTheme="minorEastAsia" w:hAnsiTheme="minorEastAsia"/>
          <w:bCs/>
          <w:color w:val="auto"/>
          <w:szCs w:val="21"/>
        </w:rPr>
        <w:t>物业基本情况:</w:t>
      </w:r>
    </w:p>
    <w:p>
      <w:pPr>
        <w:spacing w:line="360" w:lineRule="auto"/>
        <w:jc w:val="left"/>
        <w:rPr>
          <w:rFonts w:ascii="宋体" w:hAnsi="宋体"/>
          <w:color w:val="auto"/>
          <w:szCs w:val="21"/>
        </w:rPr>
      </w:pPr>
      <w:r>
        <w:rPr>
          <w:rFonts w:hint="eastAsia" w:ascii="宋体" w:hAnsi="宋体"/>
          <w:color w:val="auto"/>
          <w:szCs w:val="21"/>
        </w:rPr>
        <w:t>物业名称</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物业类型</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座落位置</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建筑面积</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物业管理区域四至:</w:t>
      </w:r>
    </w:p>
    <w:p>
      <w:pPr>
        <w:spacing w:line="360" w:lineRule="auto"/>
        <w:jc w:val="left"/>
        <w:rPr>
          <w:rFonts w:ascii="宋体" w:hAnsi="宋体"/>
          <w:color w:val="auto"/>
          <w:szCs w:val="21"/>
        </w:rPr>
      </w:pPr>
      <w:r>
        <w:rPr>
          <w:rFonts w:hint="eastAsia" w:ascii="宋体" w:hAnsi="宋体"/>
          <w:color w:val="auto"/>
          <w:szCs w:val="21"/>
        </w:rPr>
        <w:t xml:space="preserve">      东至</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 xml:space="preserve">      南至</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 xml:space="preserve">      西至</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 xml:space="preserve">      北至</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(规划平面图见附件一，物业构成明细见附件二)。</w:t>
      </w:r>
    </w:p>
    <w:p>
      <w:pPr>
        <w:spacing w:line="360" w:lineRule="auto"/>
        <w:jc w:val="left"/>
        <w:rPr>
          <w:rFonts w:ascii="宋体" w:hAnsi="宋体"/>
          <w:color w:val="auto"/>
          <w:szCs w:val="21"/>
        </w:rPr>
      </w:pPr>
    </w:p>
    <w:p>
      <w:pPr>
        <w:jc w:val="center"/>
        <w:rPr>
          <w:rFonts w:ascii="宋体" w:hAnsi="宋体"/>
          <w:color w:val="auto"/>
          <w:szCs w:val="21"/>
        </w:rPr>
      </w:pPr>
      <w:r>
        <w:rPr>
          <w:rFonts w:hint="eastAsia" w:ascii="宋体" w:hAnsi="宋体"/>
          <w:color w:val="auto"/>
          <w:szCs w:val="21"/>
        </w:rPr>
        <w:t xml:space="preserve">      </w:t>
      </w:r>
      <w:r>
        <w:rPr>
          <w:rFonts w:hint="eastAsia"/>
          <w:b/>
          <w:bCs/>
          <w:color w:val="auto"/>
          <w:sz w:val="28"/>
          <w:szCs w:val="28"/>
        </w:rPr>
        <w:t>第二章  服务内容与质量</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b/>
          <w:color w:val="auto"/>
          <w:sz w:val="24"/>
        </w:rPr>
        <w:t>第二条</w:t>
      </w:r>
      <w:r>
        <w:rPr>
          <w:rFonts w:hint="eastAsia" w:ascii="宋体" w:hAnsi="宋体"/>
          <w:color w:val="auto"/>
          <w:szCs w:val="21"/>
        </w:rPr>
        <w:t>在物业管理区域内，乙方提供的前期物业管理服务包括以下内容:</w:t>
      </w:r>
    </w:p>
    <w:p>
      <w:pPr>
        <w:spacing w:line="360" w:lineRule="auto"/>
        <w:jc w:val="left"/>
        <w:rPr>
          <w:rFonts w:ascii="宋体" w:hAnsi="宋体"/>
          <w:color w:val="auto"/>
          <w:szCs w:val="21"/>
        </w:rPr>
      </w:pPr>
      <w:r>
        <w:rPr>
          <w:rFonts w:hint="eastAsia" w:ascii="宋体" w:hAnsi="宋体"/>
          <w:color w:val="auto"/>
          <w:szCs w:val="21"/>
        </w:rPr>
        <w:t>1、物业共用部位的维修、养护和管理；</w:t>
      </w:r>
    </w:p>
    <w:p>
      <w:pPr>
        <w:spacing w:line="360" w:lineRule="auto"/>
        <w:jc w:val="left"/>
        <w:rPr>
          <w:rFonts w:ascii="宋体" w:hAnsi="宋体"/>
          <w:color w:val="auto"/>
          <w:szCs w:val="21"/>
        </w:rPr>
      </w:pPr>
      <w:r>
        <w:rPr>
          <w:rFonts w:hint="eastAsia" w:ascii="宋体" w:hAnsi="宋体"/>
          <w:color w:val="auto"/>
          <w:szCs w:val="21"/>
        </w:rPr>
        <w:t>2、物业共用设施设备的运行、维修、养护和管理；</w:t>
      </w:r>
    </w:p>
    <w:p>
      <w:pPr>
        <w:spacing w:line="360" w:lineRule="auto"/>
        <w:jc w:val="left"/>
        <w:rPr>
          <w:rFonts w:ascii="宋体" w:hAnsi="宋体"/>
          <w:color w:val="auto"/>
          <w:szCs w:val="21"/>
        </w:rPr>
      </w:pPr>
      <w:r>
        <w:rPr>
          <w:rFonts w:hint="eastAsia" w:ascii="宋体" w:hAnsi="宋体"/>
          <w:color w:val="auto"/>
          <w:szCs w:val="21"/>
        </w:rPr>
        <w:t>3、物业共用部位和相关场地的清洁卫生，垃圾的收集、清运及雨、污水管道的疏通；</w:t>
      </w:r>
    </w:p>
    <w:p>
      <w:pPr>
        <w:spacing w:line="360" w:lineRule="auto"/>
        <w:jc w:val="left"/>
        <w:rPr>
          <w:rFonts w:ascii="宋体" w:hAnsi="宋体"/>
          <w:color w:val="auto"/>
          <w:szCs w:val="21"/>
        </w:rPr>
      </w:pPr>
      <w:r>
        <w:rPr>
          <w:rFonts w:hint="eastAsia" w:ascii="宋体" w:hAnsi="宋体"/>
          <w:color w:val="auto"/>
          <w:szCs w:val="21"/>
        </w:rPr>
        <w:t>4、公共绿化的养护和管理；</w:t>
      </w:r>
    </w:p>
    <w:p>
      <w:pPr>
        <w:spacing w:line="360" w:lineRule="auto"/>
        <w:jc w:val="left"/>
        <w:rPr>
          <w:rFonts w:ascii="宋体" w:hAnsi="宋体"/>
          <w:color w:val="auto"/>
          <w:szCs w:val="21"/>
        </w:rPr>
      </w:pPr>
      <w:r>
        <w:rPr>
          <w:rFonts w:hint="eastAsia" w:ascii="宋体" w:hAnsi="宋体"/>
          <w:color w:val="auto"/>
          <w:szCs w:val="21"/>
        </w:rPr>
        <w:t>5、车辆通行管理；</w:t>
      </w:r>
    </w:p>
    <w:p>
      <w:pPr>
        <w:spacing w:line="360" w:lineRule="auto"/>
        <w:jc w:val="left"/>
        <w:rPr>
          <w:rFonts w:ascii="宋体" w:hAnsi="宋体"/>
          <w:color w:val="auto"/>
          <w:szCs w:val="21"/>
        </w:rPr>
      </w:pPr>
      <w:r>
        <w:rPr>
          <w:rFonts w:hint="eastAsia" w:ascii="宋体" w:hAnsi="宋体"/>
          <w:color w:val="auto"/>
          <w:szCs w:val="21"/>
        </w:rPr>
        <w:t>6、公共秩序维护、安全防范等事项的协助管理；</w:t>
      </w:r>
    </w:p>
    <w:p>
      <w:pPr>
        <w:spacing w:line="360" w:lineRule="auto"/>
        <w:jc w:val="left"/>
        <w:rPr>
          <w:rFonts w:ascii="宋体" w:hAnsi="宋体"/>
          <w:color w:val="auto"/>
          <w:szCs w:val="21"/>
        </w:rPr>
      </w:pPr>
      <w:r>
        <w:rPr>
          <w:rFonts w:hint="eastAsia" w:ascii="宋体" w:hAnsi="宋体"/>
          <w:color w:val="auto"/>
          <w:szCs w:val="21"/>
        </w:rPr>
        <w:t>7、社区文化活动；</w:t>
      </w:r>
    </w:p>
    <w:p>
      <w:pPr>
        <w:spacing w:line="360" w:lineRule="auto"/>
        <w:jc w:val="left"/>
        <w:rPr>
          <w:rFonts w:ascii="宋体" w:hAnsi="宋体"/>
          <w:color w:val="auto"/>
          <w:szCs w:val="21"/>
        </w:rPr>
      </w:pPr>
      <w:r>
        <w:rPr>
          <w:rFonts w:hint="eastAsia" w:ascii="宋体" w:hAnsi="宋体"/>
          <w:color w:val="auto"/>
          <w:szCs w:val="21"/>
        </w:rPr>
        <w:t>8、物业档案资料管理。</w:t>
      </w:r>
    </w:p>
    <w:p>
      <w:pPr>
        <w:spacing w:line="360" w:lineRule="auto"/>
        <w:jc w:val="left"/>
        <w:rPr>
          <w:rFonts w:ascii="宋体" w:hAnsi="宋体"/>
          <w:color w:val="auto"/>
          <w:szCs w:val="21"/>
        </w:rPr>
      </w:pPr>
      <w:r>
        <w:rPr>
          <w:rFonts w:hint="eastAsia" w:ascii="宋体" w:hAnsi="宋体"/>
          <w:color w:val="auto"/>
          <w:szCs w:val="21"/>
        </w:rPr>
        <w:t>物业共用部位共用设施设备的界定以省建设厅文件为准。</w:t>
      </w:r>
    </w:p>
    <w:p>
      <w:pPr>
        <w:spacing w:line="360" w:lineRule="auto"/>
        <w:jc w:val="left"/>
        <w:rPr>
          <w:rFonts w:ascii="宋体" w:hAnsi="宋体"/>
          <w:color w:val="auto"/>
          <w:szCs w:val="21"/>
        </w:rPr>
      </w:pPr>
      <w:r>
        <w:rPr>
          <w:rFonts w:hint="eastAsia" w:ascii="宋体" w:hAnsi="宋体"/>
          <w:b/>
          <w:color w:val="auto"/>
          <w:sz w:val="24"/>
        </w:rPr>
        <w:t xml:space="preserve">第三条   </w:t>
      </w:r>
      <w:r>
        <w:rPr>
          <w:rFonts w:hint="eastAsia" w:ascii="宋体" w:hAnsi="宋体"/>
          <w:color w:val="auto"/>
          <w:szCs w:val="21"/>
        </w:rPr>
        <w:t>在物业管理区域内，乙方提供的其他服务包括以下事项:</w:t>
      </w:r>
    </w:p>
    <w:p>
      <w:pPr>
        <w:spacing w:line="360" w:lineRule="auto"/>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 xml:space="preserve">                                                                 </w:t>
      </w:r>
      <w:r>
        <w:rPr>
          <w:rFonts w:hint="eastAsia" w:ascii="宋体" w:hAnsi="宋体"/>
          <w:color w:val="auto"/>
          <w:szCs w:val="21"/>
        </w:rPr>
        <w:t>；</w:t>
      </w:r>
    </w:p>
    <w:p>
      <w:pPr>
        <w:spacing w:line="360" w:lineRule="auto"/>
        <w:jc w:val="left"/>
        <w:rPr>
          <w:rFonts w:ascii="宋体" w:hAnsi="宋体"/>
          <w:b/>
          <w:color w:val="auto"/>
          <w:sz w:val="24"/>
        </w:rPr>
      </w:pPr>
      <w:r>
        <w:rPr>
          <w:rFonts w:hint="eastAsia" w:ascii="宋体" w:hAnsi="宋体"/>
          <w:b/>
          <w:color w:val="auto"/>
          <w:sz w:val="24"/>
        </w:rPr>
        <w:t xml:space="preserve">第四条   </w:t>
      </w:r>
      <w:r>
        <w:rPr>
          <w:rFonts w:hint="eastAsia" w:ascii="宋体" w:hAnsi="宋体"/>
          <w:color w:val="auto"/>
          <w:szCs w:val="21"/>
        </w:rPr>
        <w:t>乙方提供的前期物业管理服务应达到约定的质量标准(前期物业管理服务质量标准见附件三)。</w:t>
      </w:r>
    </w:p>
    <w:p>
      <w:pPr>
        <w:spacing w:line="360" w:lineRule="auto"/>
        <w:jc w:val="left"/>
        <w:rPr>
          <w:rFonts w:ascii="宋体" w:hAnsi="宋体"/>
          <w:color w:val="auto"/>
          <w:szCs w:val="21"/>
        </w:rPr>
      </w:pPr>
      <w:r>
        <w:rPr>
          <w:rFonts w:hint="eastAsia" w:ascii="宋体" w:hAnsi="宋体"/>
          <w:b/>
          <w:color w:val="auto"/>
          <w:sz w:val="24"/>
        </w:rPr>
        <w:t>第五条</w:t>
      </w:r>
      <w:r>
        <w:rPr>
          <w:rFonts w:hint="eastAsia" w:ascii="宋体" w:hAnsi="宋体"/>
          <w:color w:val="auto"/>
          <w:szCs w:val="21"/>
        </w:rPr>
        <w:t xml:space="preserve">   单个业主可委托乙方对其物业的专有部分提供维修养护等服务，服务内容和费用由双方另行商定。</w:t>
      </w:r>
    </w:p>
    <w:p>
      <w:pPr>
        <w:spacing w:line="360" w:lineRule="auto"/>
        <w:jc w:val="center"/>
        <w:rPr>
          <w:rFonts w:ascii="宋体" w:hAnsi="宋体"/>
          <w:color w:val="auto"/>
          <w:szCs w:val="21"/>
        </w:rPr>
      </w:pPr>
      <w:r>
        <w:rPr>
          <w:rFonts w:hint="eastAsia"/>
          <w:b/>
          <w:bCs/>
          <w:color w:val="auto"/>
          <w:sz w:val="28"/>
          <w:szCs w:val="28"/>
        </w:rPr>
        <w:t>第三章  服务费用</w:t>
      </w:r>
    </w:p>
    <w:p>
      <w:pPr>
        <w:spacing w:line="360" w:lineRule="auto"/>
        <w:jc w:val="left"/>
        <w:rPr>
          <w:rFonts w:ascii="宋体" w:hAnsi="宋体"/>
          <w:color w:val="auto"/>
          <w:szCs w:val="21"/>
        </w:rPr>
      </w:pPr>
      <w:r>
        <w:rPr>
          <w:rFonts w:hint="eastAsia" w:ascii="宋体" w:hAnsi="宋体"/>
          <w:b/>
          <w:color w:val="auto"/>
          <w:sz w:val="24"/>
        </w:rPr>
        <w:t>第六条</w:t>
      </w:r>
      <w:r>
        <w:rPr>
          <w:rFonts w:hint="eastAsia" w:ascii="宋体" w:hAnsi="宋体"/>
          <w:color w:val="auto"/>
          <w:szCs w:val="21"/>
        </w:rPr>
        <w:t xml:space="preserve">  本物业管理区域物业服务收费选择包干制。</w:t>
      </w:r>
    </w:p>
    <w:p>
      <w:pPr>
        <w:spacing w:line="360" w:lineRule="auto"/>
        <w:jc w:val="left"/>
        <w:rPr>
          <w:rFonts w:ascii="宋体" w:hAnsi="宋体"/>
          <w:color w:val="auto"/>
          <w:szCs w:val="21"/>
        </w:rPr>
      </w:pPr>
      <w:r>
        <w:rPr>
          <w:rFonts w:hint="eastAsia" w:ascii="宋体" w:hAnsi="宋体"/>
          <w:color w:val="auto"/>
          <w:szCs w:val="21"/>
        </w:rPr>
        <w:t>物业服务费用由业主按共拥有物业的建筑面积交纳，具体标准如下:</w:t>
      </w:r>
    </w:p>
    <w:p>
      <w:pPr>
        <w:spacing w:line="360" w:lineRule="auto"/>
        <w:jc w:val="left"/>
        <w:rPr>
          <w:rFonts w:ascii="宋体" w:hAnsi="宋体"/>
          <w:color w:val="auto"/>
          <w:szCs w:val="21"/>
        </w:rPr>
      </w:pPr>
      <w:r>
        <w:rPr>
          <w:rFonts w:hint="eastAsia" w:ascii="宋体" w:hAnsi="宋体"/>
          <w:color w:val="auto"/>
          <w:szCs w:val="21"/>
        </w:rPr>
        <w:t>多层住宅:</w:t>
      </w:r>
      <w:r>
        <w:rPr>
          <w:rFonts w:hint="eastAsia" w:ascii="宋体" w:hAnsi="宋体"/>
          <w:color w:val="auto"/>
          <w:szCs w:val="21"/>
          <w:u w:val="single"/>
        </w:rPr>
        <w:t xml:space="preserve">           </w:t>
      </w:r>
      <w:r>
        <w:rPr>
          <w:rFonts w:hint="eastAsia" w:ascii="宋体" w:hAnsi="宋体"/>
          <w:color w:val="auto"/>
          <w:szCs w:val="21"/>
        </w:rPr>
        <w:t xml:space="preserve">  元/月.平方米；</w:t>
      </w:r>
    </w:p>
    <w:p>
      <w:pPr>
        <w:spacing w:line="360" w:lineRule="auto"/>
        <w:jc w:val="left"/>
        <w:rPr>
          <w:rFonts w:ascii="宋体" w:hAnsi="宋体"/>
          <w:color w:val="auto"/>
          <w:szCs w:val="21"/>
        </w:rPr>
      </w:pPr>
      <w:r>
        <w:rPr>
          <w:rFonts w:hint="eastAsia" w:ascii="宋体" w:hAnsi="宋体"/>
          <w:color w:val="auto"/>
          <w:szCs w:val="21"/>
        </w:rPr>
        <w:t>高层住宅:</w:t>
      </w:r>
      <w:r>
        <w:rPr>
          <w:rFonts w:hint="eastAsia" w:ascii="宋体" w:hAnsi="宋体"/>
          <w:color w:val="auto"/>
          <w:szCs w:val="21"/>
          <w:u w:val="single"/>
        </w:rPr>
        <w:t xml:space="preserve">           </w:t>
      </w:r>
      <w:r>
        <w:rPr>
          <w:rFonts w:hint="eastAsia" w:ascii="宋体" w:hAnsi="宋体"/>
          <w:color w:val="auto"/>
          <w:szCs w:val="21"/>
        </w:rPr>
        <w:t xml:space="preserve">  元/月.平方米；</w:t>
      </w:r>
    </w:p>
    <w:p>
      <w:pPr>
        <w:spacing w:line="360" w:lineRule="auto"/>
        <w:jc w:val="left"/>
        <w:rPr>
          <w:rFonts w:ascii="宋体" w:hAnsi="宋体"/>
          <w:color w:val="auto"/>
          <w:szCs w:val="21"/>
        </w:rPr>
      </w:pPr>
      <w:r>
        <w:rPr>
          <w:rFonts w:hint="eastAsia" w:ascii="宋体" w:hAnsi="宋体"/>
          <w:color w:val="auto"/>
          <w:szCs w:val="21"/>
        </w:rPr>
        <w:t>别墅:</w:t>
      </w:r>
      <w:r>
        <w:rPr>
          <w:rFonts w:hint="eastAsia" w:ascii="宋体" w:hAnsi="宋体"/>
          <w:color w:val="auto"/>
          <w:szCs w:val="21"/>
          <w:u w:val="single"/>
        </w:rPr>
        <w:t xml:space="preserve">           </w:t>
      </w:r>
      <w:r>
        <w:rPr>
          <w:rFonts w:hint="eastAsia" w:ascii="宋体" w:hAnsi="宋体"/>
          <w:color w:val="auto"/>
          <w:szCs w:val="21"/>
        </w:rPr>
        <w:t xml:space="preserve">  元/月.平方米；</w:t>
      </w:r>
    </w:p>
    <w:p>
      <w:pPr>
        <w:spacing w:line="360" w:lineRule="auto"/>
        <w:jc w:val="left"/>
        <w:rPr>
          <w:rFonts w:ascii="宋体" w:hAnsi="宋体"/>
          <w:color w:val="auto"/>
          <w:szCs w:val="21"/>
        </w:rPr>
      </w:pPr>
      <w:r>
        <w:rPr>
          <w:rFonts w:hint="eastAsia" w:ascii="宋体" w:hAnsi="宋体"/>
          <w:color w:val="auto"/>
          <w:szCs w:val="21"/>
        </w:rPr>
        <w:t>办公楼:</w:t>
      </w:r>
      <w:r>
        <w:rPr>
          <w:rFonts w:hint="eastAsia" w:ascii="宋体" w:hAnsi="宋体"/>
          <w:color w:val="auto"/>
          <w:szCs w:val="21"/>
          <w:u w:val="single"/>
        </w:rPr>
        <w:t xml:space="preserve">           </w:t>
      </w:r>
      <w:r>
        <w:rPr>
          <w:rFonts w:hint="eastAsia" w:ascii="宋体" w:hAnsi="宋体"/>
          <w:color w:val="auto"/>
          <w:szCs w:val="21"/>
        </w:rPr>
        <w:t xml:space="preserve">  元/月.平方米；</w:t>
      </w:r>
    </w:p>
    <w:p>
      <w:pPr>
        <w:spacing w:line="360" w:lineRule="auto"/>
        <w:jc w:val="left"/>
        <w:rPr>
          <w:rFonts w:ascii="宋体" w:hAnsi="宋体"/>
          <w:color w:val="auto"/>
          <w:szCs w:val="21"/>
        </w:rPr>
      </w:pPr>
      <w:r>
        <w:rPr>
          <w:rFonts w:hint="eastAsia" w:ascii="宋体" w:hAnsi="宋体"/>
          <w:color w:val="auto"/>
          <w:szCs w:val="21"/>
        </w:rPr>
        <w:t>商业物业:</w:t>
      </w:r>
      <w:r>
        <w:rPr>
          <w:rFonts w:hint="eastAsia" w:ascii="宋体" w:hAnsi="宋体"/>
          <w:color w:val="auto"/>
          <w:szCs w:val="21"/>
          <w:u w:val="single"/>
        </w:rPr>
        <w:t xml:space="preserve">           </w:t>
      </w:r>
      <w:r>
        <w:rPr>
          <w:rFonts w:hint="eastAsia" w:ascii="宋体" w:hAnsi="宋体"/>
          <w:color w:val="auto"/>
          <w:szCs w:val="21"/>
        </w:rPr>
        <w:t xml:space="preserve">  元/月.平方米；</w:t>
      </w:r>
    </w:p>
    <w:p>
      <w:pPr>
        <w:spacing w:line="360" w:lineRule="auto"/>
        <w:jc w:val="left"/>
        <w:rPr>
          <w:rFonts w:ascii="宋体" w:hAnsi="宋体"/>
          <w:color w:val="auto"/>
          <w:szCs w:val="21"/>
        </w:rPr>
      </w:pPr>
      <w:r>
        <w:rPr>
          <w:rFonts w:hint="eastAsia" w:ascii="宋体" w:hAnsi="宋体"/>
          <w:color w:val="auto"/>
          <w:szCs w:val="21"/>
        </w:rPr>
        <w:t>物业:</w:t>
      </w:r>
      <w:r>
        <w:rPr>
          <w:rFonts w:hint="eastAsia" w:ascii="宋体" w:hAnsi="宋体"/>
          <w:color w:val="auto"/>
          <w:szCs w:val="21"/>
          <w:u w:val="single"/>
        </w:rPr>
        <w:t xml:space="preserve">           </w:t>
      </w:r>
      <w:r>
        <w:rPr>
          <w:rFonts w:hint="eastAsia" w:ascii="宋体" w:hAnsi="宋体"/>
          <w:color w:val="auto"/>
          <w:szCs w:val="21"/>
        </w:rPr>
        <w:t xml:space="preserve">  元/月.平方米。</w:t>
      </w:r>
    </w:p>
    <w:p>
      <w:pPr>
        <w:spacing w:line="360" w:lineRule="auto"/>
        <w:jc w:val="left"/>
        <w:rPr>
          <w:rFonts w:ascii="宋体" w:hAnsi="宋体"/>
          <w:color w:val="auto"/>
          <w:szCs w:val="21"/>
        </w:rPr>
      </w:pPr>
      <w:r>
        <w:rPr>
          <w:rFonts w:hint="eastAsia" w:ascii="宋体" w:hAnsi="宋体"/>
          <w:color w:val="auto"/>
          <w:szCs w:val="21"/>
        </w:rPr>
        <w:t>物业服务费用主要用于以下开支:</w:t>
      </w:r>
    </w:p>
    <w:p>
      <w:pPr>
        <w:spacing w:line="360" w:lineRule="auto"/>
        <w:jc w:val="left"/>
        <w:rPr>
          <w:rFonts w:ascii="宋体" w:hAnsi="宋体"/>
          <w:color w:val="auto"/>
          <w:szCs w:val="21"/>
        </w:rPr>
      </w:pPr>
      <w:r>
        <w:rPr>
          <w:rFonts w:hint="eastAsia" w:ascii="宋体" w:hAnsi="宋体"/>
          <w:color w:val="auto"/>
          <w:szCs w:val="21"/>
        </w:rPr>
        <w:t>(1)管理服务人员的工资、社会保险和按规定提取的福利费等；</w:t>
      </w:r>
    </w:p>
    <w:p>
      <w:pPr>
        <w:spacing w:line="360" w:lineRule="auto"/>
        <w:jc w:val="left"/>
        <w:rPr>
          <w:rFonts w:ascii="宋体" w:hAnsi="宋体"/>
          <w:color w:val="auto"/>
          <w:szCs w:val="21"/>
        </w:rPr>
      </w:pPr>
      <w:r>
        <w:rPr>
          <w:rFonts w:hint="eastAsia" w:ascii="宋体" w:hAnsi="宋体"/>
          <w:color w:val="auto"/>
          <w:szCs w:val="21"/>
        </w:rPr>
        <w:t>(2)物业共用部位、共用设施设备的日常运行、维护费用；</w:t>
      </w:r>
    </w:p>
    <w:p>
      <w:pPr>
        <w:spacing w:line="360" w:lineRule="auto"/>
        <w:jc w:val="left"/>
        <w:rPr>
          <w:rFonts w:ascii="宋体" w:hAnsi="宋体"/>
          <w:color w:val="auto"/>
          <w:szCs w:val="21"/>
        </w:rPr>
      </w:pPr>
      <w:r>
        <w:rPr>
          <w:rFonts w:hint="eastAsia" w:ascii="宋体" w:hAnsi="宋体"/>
          <w:color w:val="auto"/>
          <w:szCs w:val="21"/>
        </w:rPr>
        <w:t>(3)物业管理区域清洁卫生费用；</w:t>
      </w:r>
    </w:p>
    <w:p>
      <w:pPr>
        <w:spacing w:line="360" w:lineRule="auto"/>
        <w:jc w:val="left"/>
        <w:rPr>
          <w:rFonts w:ascii="宋体" w:hAnsi="宋体"/>
          <w:color w:val="auto"/>
          <w:szCs w:val="21"/>
        </w:rPr>
      </w:pPr>
      <w:r>
        <w:rPr>
          <w:rFonts w:hint="eastAsia" w:ascii="宋体" w:hAnsi="宋体"/>
          <w:color w:val="auto"/>
          <w:szCs w:val="21"/>
        </w:rPr>
        <w:t>(4)物业管理区域绿化养护费用；</w:t>
      </w:r>
    </w:p>
    <w:p>
      <w:pPr>
        <w:spacing w:line="360" w:lineRule="auto"/>
        <w:jc w:val="left"/>
        <w:rPr>
          <w:rFonts w:ascii="宋体" w:hAnsi="宋体"/>
          <w:color w:val="auto"/>
          <w:szCs w:val="21"/>
        </w:rPr>
      </w:pPr>
      <w:r>
        <w:rPr>
          <w:rFonts w:hint="eastAsia" w:ascii="宋体" w:hAnsi="宋体"/>
          <w:color w:val="auto"/>
          <w:szCs w:val="21"/>
        </w:rPr>
        <w:t>(5)物业管理区城秩序维护费用；</w:t>
      </w:r>
    </w:p>
    <w:p>
      <w:pPr>
        <w:spacing w:line="360" w:lineRule="auto"/>
        <w:jc w:val="left"/>
        <w:rPr>
          <w:rFonts w:ascii="宋体" w:hAnsi="宋体"/>
          <w:color w:val="auto"/>
          <w:szCs w:val="21"/>
        </w:rPr>
      </w:pPr>
      <w:r>
        <w:rPr>
          <w:rFonts w:hint="eastAsia" w:ascii="宋体" w:hAnsi="宋体"/>
          <w:color w:val="auto"/>
          <w:szCs w:val="21"/>
        </w:rPr>
        <w:t>(6)办公费用；</w:t>
      </w:r>
    </w:p>
    <w:p>
      <w:pPr>
        <w:spacing w:line="360" w:lineRule="auto"/>
        <w:jc w:val="left"/>
        <w:rPr>
          <w:rFonts w:ascii="宋体" w:hAnsi="宋体"/>
          <w:color w:val="auto"/>
          <w:szCs w:val="21"/>
        </w:rPr>
      </w:pPr>
      <w:r>
        <w:rPr>
          <w:rFonts w:hint="eastAsia" w:ascii="宋体" w:hAnsi="宋体"/>
          <w:color w:val="auto"/>
          <w:szCs w:val="21"/>
        </w:rPr>
        <w:t>(7)物业管理企业固定资产折旧；</w:t>
      </w:r>
    </w:p>
    <w:p>
      <w:pPr>
        <w:spacing w:line="360" w:lineRule="auto"/>
        <w:jc w:val="left"/>
        <w:rPr>
          <w:rFonts w:ascii="宋体" w:hAnsi="宋体"/>
          <w:color w:val="auto"/>
          <w:szCs w:val="21"/>
        </w:rPr>
      </w:pPr>
      <w:r>
        <w:rPr>
          <w:rFonts w:hint="eastAsia" w:ascii="宋体" w:hAnsi="宋体"/>
          <w:color w:val="auto"/>
          <w:szCs w:val="21"/>
        </w:rPr>
        <w:t>(8)物业共用部位、共用设施设备及公众责任保险费用；</w:t>
      </w:r>
    </w:p>
    <w:p>
      <w:pPr>
        <w:spacing w:line="360" w:lineRule="auto"/>
        <w:jc w:val="left"/>
        <w:rPr>
          <w:rFonts w:ascii="宋体" w:hAnsi="宋体"/>
          <w:color w:val="auto"/>
          <w:szCs w:val="21"/>
        </w:rPr>
      </w:pPr>
      <w:r>
        <w:rPr>
          <w:rFonts w:hint="eastAsia" w:ascii="宋体" w:hAnsi="宋体"/>
          <w:color w:val="auto"/>
          <w:szCs w:val="21"/>
        </w:rPr>
        <w:t>(9)法定税费；</w:t>
      </w:r>
    </w:p>
    <w:p>
      <w:pPr>
        <w:spacing w:line="360" w:lineRule="auto"/>
        <w:jc w:val="left"/>
        <w:rPr>
          <w:rFonts w:ascii="宋体" w:hAnsi="宋体"/>
          <w:color w:val="auto"/>
          <w:szCs w:val="21"/>
        </w:rPr>
      </w:pPr>
      <w:r>
        <w:rPr>
          <w:rFonts w:hint="eastAsia" w:ascii="宋体" w:hAnsi="宋体"/>
          <w:color w:val="auto"/>
          <w:szCs w:val="21"/>
        </w:rPr>
        <w:t>(10)物业管理企业的利润；</w:t>
      </w:r>
    </w:p>
    <w:p>
      <w:pPr>
        <w:spacing w:line="360" w:lineRule="auto"/>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乙方按照上述标准收取物业服务费用，并按本合同约定的服务内容和质量标准提供服务，盈余或亏损由乙方享有或承担。</w:t>
      </w: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4"/>
        </w:rPr>
        <w:t xml:space="preserve">第七条  </w:t>
      </w:r>
      <w:r>
        <w:rPr>
          <w:rFonts w:hint="eastAsia" w:ascii="宋体" w:hAnsi="宋体"/>
          <w:color w:val="auto"/>
          <w:szCs w:val="21"/>
        </w:rPr>
        <w:t>业主应于物业交付之日起交的物业服务费用(物业服务资金)，物业交付前产生的物业服务费由甲方支付。</w:t>
      </w:r>
    </w:p>
    <w:p>
      <w:pPr>
        <w:spacing w:line="360" w:lineRule="auto"/>
        <w:jc w:val="left"/>
        <w:rPr>
          <w:rFonts w:ascii="宋体" w:hAnsi="宋体"/>
          <w:color w:val="auto"/>
          <w:szCs w:val="21"/>
        </w:rPr>
      </w:pPr>
      <w:r>
        <w:rPr>
          <w:rFonts w:hint="eastAsia" w:ascii="宋体" w:hAnsi="宋体"/>
          <w:color w:val="auto"/>
          <w:szCs w:val="21"/>
        </w:rPr>
        <w:t xml:space="preserve">    纳入物业管理范围的已竣工但尚未出售，或者因甲方原因未能按时交给物业买受人的物业，其物业服务费用(物业服务资金)由甲方全额交纳。</w:t>
      </w:r>
    </w:p>
    <w:p>
      <w:pPr>
        <w:spacing w:line="360" w:lineRule="auto"/>
        <w:jc w:val="left"/>
        <w:rPr>
          <w:rFonts w:ascii="宋体" w:hAnsi="宋体"/>
          <w:color w:val="auto"/>
          <w:szCs w:val="21"/>
        </w:rPr>
      </w:pPr>
      <w:r>
        <w:rPr>
          <w:rFonts w:hint="eastAsia" w:ascii="宋体" w:hAnsi="宋体"/>
          <w:color w:val="auto"/>
          <w:szCs w:val="21"/>
        </w:rPr>
        <w:t xml:space="preserve">    业主与物业使用人约定由物业使用人交纳物业服务费用(物业服务资金)的，从其约定，业主负连带交纳责任。业主与物业使用人之间的交费约定，业主应及时书面告知乙方。</w:t>
      </w:r>
    </w:p>
    <w:p>
      <w:pPr>
        <w:spacing w:line="360" w:lineRule="auto"/>
        <w:ind w:firstLine="420" w:firstLineChars="200"/>
        <w:jc w:val="left"/>
        <w:rPr>
          <w:rFonts w:ascii="宋体" w:hAnsi="宋体"/>
          <w:color w:val="auto"/>
          <w:szCs w:val="21"/>
        </w:rPr>
      </w:pPr>
      <w:r>
        <w:rPr>
          <w:rFonts w:hint="eastAsia" w:ascii="宋体" w:hAnsi="宋体"/>
          <w:color w:val="auto"/>
          <w:szCs w:val="21"/>
        </w:rPr>
        <w:t>物业服务费用(物业服务资金)按年交纳，业主或物业使用人应在每一收费年度的首月(每次缴费的具体时间)履行交纳义务。</w:t>
      </w:r>
    </w:p>
    <w:p>
      <w:pPr>
        <w:spacing w:line="360" w:lineRule="auto"/>
        <w:jc w:val="left"/>
        <w:rPr>
          <w:rFonts w:ascii="宋体" w:hAnsi="宋体"/>
          <w:color w:val="auto"/>
          <w:szCs w:val="21"/>
        </w:rPr>
      </w:pPr>
      <w:r>
        <w:rPr>
          <w:rFonts w:hint="eastAsia" w:ascii="宋体" w:hAnsi="宋体"/>
          <w:color w:val="auto"/>
          <w:szCs w:val="21"/>
        </w:rPr>
        <w:t xml:space="preserve">    物业服务收费的其他未尽事宜遵照《湖南省物业服务收费管理办法》执行。</w:t>
      </w: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4"/>
        </w:rPr>
        <w:t xml:space="preserve">第八条  </w:t>
      </w:r>
      <w:r>
        <w:rPr>
          <w:rFonts w:hint="eastAsia" w:ascii="宋体" w:hAnsi="宋体"/>
          <w:color w:val="auto"/>
          <w:szCs w:val="21"/>
        </w:rPr>
        <w:t>物业服务费用实行酬金制方式计费的，乙方应向全体业主公布物业管理年度计划和物业服务资金年度预决算，并每年向全体业主公布物业服务资金的收支情况。</w:t>
      </w:r>
    </w:p>
    <w:p>
      <w:pPr>
        <w:spacing w:line="360" w:lineRule="auto"/>
        <w:jc w:val="left"/>
        <w:rPr>
          <w:rFonts w:ascii="宋体" w:hAnsi="宋体"/>
          <w:color w:val="auto"/>
          <w:szCs w:val="21"/>
        </w:rPr>
      </w:pPr>
    </w:p>
    <w:p>
      <w:pPr>
        <w:jc w:val="center"/>
        <w:rPr>
          <w:rFonts w:ascii="宋体" w:hAnsi="宋体"/>
          <w:color w:val="auto"/>
          <w:szCs w:val="21"/>
        </w:rPr>
      </w:pPr>
      <w:r>
        <w:rPr>
          <w:rFonts w:hint="eastAsia" w:ascii="宋体" w:hAnsi="宋体"/>
          <w:color w:val="auto"/>
          <w:szCs w:val="21"/>
        </w:rPr>
        <w:t xml:space="preserve">      </w:t>
      </w:r>
      <w:r>
        <w:rPr>
          <w:rFonts w:hint="eastAsia"/>
          <w:b/>
          <w:bCs/>
          <w:color w:val="auto"/>
          <w:sz w:val="28"/>
          <w:szCs w:val="28"/>
        </w:rPr>
        <w:t>第四章  物业的经营与管理</w:t>
      </w: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4"/>
        </w:rPr>
        <w:t>第九条</w:t>
      </w:r>
      <w:r>
        <w:rPr>
          <w:rFonts w:hint="eastAsia" w:ascii="宋体" w:hAnsi="宋体"/>
          <w:color w:val="auto"/>
          <w:szCs w:val="21"/>
        </w:rPr>
        <w:t xml:space="preserve">  停车物业服务费执行政府指导价，按市物价局批准的标准收取。</w:t>
      </w: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4"/>
        </w:rPr>
        <w:t>第十条</w:t>
      </w:r>
      <w:r>
        <w:rPr>
          <w:rFonts w:hint="eastAsia" w:ascii="宋体" w:hAnsi="宋体"/>
          <w:color w:val="auto"/>
          <w:szCs w:val="21"/>
        </w:rPr>
        <w:t xml:space="preserve">  甲方自有车位委托乙方收取停车场地占用费的，按场地占用费的20%提取佣金。</w:t>
      </w: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4"/>
        </w:rPr>
        <w:t xml:space="preserve">第十一条  </w:t>
      </w:r>
      <w:r>
        <w:rPr>
          <w:rFonts w:hint="eastAsia" w:ascii="宋体" w:hAnsi="宋体"/>
          <w:color w:val="auto"/>
          <w:szCs w:val="21"/>
        </w:rPr>
        <w:t>车主委托乙方提供车辆保管服务的，双方应签订书面的停车管理服务协议，明确双方的权利义务。</w:t>
      </w:r>
    </w:p>
    <w:p>
      <w:pPr>
        <w:spacing w:line="360" w:lineRule="auto"/>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4"/>
        </w:rPr>
        <w:t xml:space="preserve">第十二条  </w:t>
      </w:r>
      <w:r>
        <w:rPr>
          <w:rFonts w:hint="eastAsia" w:ascii="宋体" w:hAnsi="宋体"/>
          <w:color w:val="auto"/>
          <w:szCs w:val="21"/>
        </w:rPr>
        <w:t>本物业管理区域内属于全体业主所有的停车场、会所及其他物业共用部位、公用设备设施统一委托乙方经营，经营收入除去乙方成本后，依照法律规定进行分配。</w:t>
      </w:r>
    </w:p>
    <w:p>
      <w:pPr>
        <w:spacing w:line="360" w:lineRule="auto"/>
        <w:jc w:val="left"/>
        <w:rPr>
          <w:rFonts w:ascii="宋体" w:hAnsi="宋体"/>
          <w:color w:val="auto"/>
          <w:szCs w:val="21"/>
        </w:rPr>
      </w:pPr>
    </w:p>
    <w:p>
      <w:pPr>
        <w:jc w:val="center"/>
        <w:rPr>
          <w:b/>
          <w:bCs/>
          <w:color w:val="auto"/>
          <w:sz w:val="28"/>
          <w:szCs w:val="28"/>
        </w:rPr>
      </w:pPr>
      <w:r>
        <w:rPr>
          <w:rFonts w:hint="eastAsia" w:ascii="宋体" w:hAnsi="宋体"/>
          <w:color w:val="auto"/>
          <w:szCs w:val="21"/>
        </w:rPr>
        <w:t xml:space="preserve">      </w:t>
      </w:r>
      <w:r>
        <w:rPr>
          <w:rFonts w:hint="eastAsia"/>
          <w:b/>
          <w:bCs/>
          <w:color w:val="auto"/>
          <w:sz w:val="28"/>
          <w:szCs w:val="28"/>
        </w:rPr>
        <w:t>第五章  物业的承接验收</w:t>
      </w:r>
    </w:p>
    <w:p>
      <w:pPr>
        <w:jc w:val="center"/>
        <w:rPr>
          <w:b/>
          <w:bCs/>
          <w:color w:val="auto"/>
          <w:sz w:val="28"/>
          <w:szCs w:val="28"/>
        </w:rPr>
      </w:pPr>
    </w:p>
    <w:p>
      <w:pPr>
        <w:spacing w:line="360" w:lineRule="auto"/>
        <w:ind w:firstLine="482" w:firstLineChars="200"/>
        <w:jc w:val="left"/>
        <w:rPr>
          <w:rFonts w:ascii="宋体" w:hAnsi="宋体"/>
          <w:color w:val="auto"/>
          <w:szCs w:val="21"/>
        </w:rPr>
      </w:pPr>
      <w:r>
        <w:rPr>
          <w:rFonts w:hint="eastAsia" w:ascii="宋体" w:hAnsi="宋体"/>
          <w:b/>
          <w:color w:val="auto"/>
          <w:sz w:val="24"/>
        </w:rPr>
        <w:t>第十三条</w:t>
      </w:r>
      <w:r>
        <w:rPr>
          <w:rFonts w:hint="eastAsia" w:ascii="宋体" w:hAnsi="宋体"/>
          <w:color w:val="auto"/>
          <w:szCs w:val="21"/>
        </w:rPr>
        <w:t xml:space="preserve">  乙方承接物业时，甲方应配合乙方对物业共用部位、共用设施设备进行查验。</w:t>
      </w:r>
    </w:p>
    <w:p>
      <w:pPr>
        <w:spacing w:line="360" w:lineRule="auto"/>
        <w:ind w:firstLine="482" w:firstLineChars="200"/>
        <w:jc w:val="left"/>
        <w:rPr>
          <w:rFonts w:ascii="宋体" w:hAnsi="宋体"/>
          <w:color w:val="auto"/>
          <w:szCs w:val="21"/>
        </w:rPr>
      </w:pPr>
      <w:r>
        <w:rPr>
          <w:rFonts w:hint="eastAsia" w:ascii="宋体" w:hAnsi="宋体"/>
          <w:b/>
          <w:color w:val="auto"/>
          <w:sz w:val="24"/>
        </w:rPr>
        <w:t>第十四条</w:t>
      </w:r>
      <w:r>
        <w:rPr>
          <w:rFonts w:hint="eastAsia" w:ascii="宋体" w:hAnsi="宋体"/>
          <w:color w:val="auto"/>
          <w:szCs w:val="21"/>
        </w:rPr>
        <w:t xml:space="preserve">  甲乙双方确认查验过的物业共用部位、共用设施设备存在的问题甲方应积极予以整改。</w:t>
      </w:r>
    </w:p>
    <w:p>
      <w:pPr>
        <w:spacing w:line="360" w:lineRule="auto"/>
        <w:ind w:firstLine="482" w:firstLineChars="200"/>
        <w:jc w:val="left"/>
        <w:rPr>
          <w:rFonts w:ascii="宋体" w:hAnsi="宋体"/>
          <w:color w:val="auto"/>
          <w:szCs w:val="21"/>
        </w:rPr>
      </w:pPr>
      <w:r>
        <w:rPr>
          <w:rFonts w:hint="eastAsia" w:ascii="宋体" w:hAnsi="宋体"/>
          <w:b/>
          <w:color w:val="auto"/>
          <w:sz w:val="24"/>
        </w:rPr>
        <w:t>第十五条</w:t>
      </w:r>
      <w:r>
        <w:rPr>
          <w:rFonts w:hint="eastAsia" w:ascii="宋体" w:hAnsi="宋体"/>
          <w:color w:val="auto"/>
          <w:szCs w:val="21"/>
        </w:rPr>
        <w:t xml:space="preserve">  物业承接查验的其他事项遵照建设部有关规章执行。</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第十六条  </w:t>
      </w:r>
      <w:r>
        <w:rPr>
          <w:rFonts w:hint="eastAsia" w:ascii="宋体" w:hAnsi="宋体"/>
          <w:color w:val="auto"/>
          <w:szCs w:val="21"/>
        </w:rPr>
        <w:t>乙方承接物业时， 甲方应向乙方移交下列资料:</w:t>
      </w:r>
    </w:p>
    <w:p>
      <w:pPr>
        <w:spacing w:line="360" w:lineRule="auto"/>
        <w:ind w:firstLine="630" w:firstLineChars="300"/>
        <w:jc w:val="left"/>
        <w:rPr>
          <w:rFonts w:ascii="宋体" w:hAnsi="宋体"/>
          <w:color w:val="auto"/>
          <w:szCs w:val="21"/>
        </w:rPr>
      </w:pPr>
      <w:r>
        <w:rPr>
          <w:rFonts w:hint="eastAsia" w:ascii="宋体" w:hAnsi="宋体"/>
          <w:color w:val="auto"/>
          <w:szCs w:val="21"/>
        </w:rPr>
        <w:t>1、竣工总平面图，单体建筑、结构、设备竣工图，配套设施、地下管网工程竣工图等竣工验收资料；</w:t>
      </w:r>
    </w:p>
    <w:p>
      <w:pPr>
        <w:spacing w:line="360" w:lineRule="auto"/>
        <w:ind w:firstLine="630" w:firstLineChars="300"/>
        <w:jc w:val="left"/>
        <w:rPr>
          <w:rFonts w:ascii="宋体" w:hAnsi="宋体"/>
          <w:color w:val="auto"/>
          <w:szCs w:val="21"/>
        </w:rPr>
      </w:pPr>
      <w:r>
        <w:rPr>
          <w:rFonts w:hint="eastAsia" w:ascii="宋体" w:hAnsi="宋体"/>
          <w:color w:val="auto"/>
          <w:szCs w:val="21"/>
        </w:rPr>
        <w:t>2、设施设备的安装、使用和维护保养等技术资料；</w:t>
      </w:r>
    </w:p>
    <w:p>
      <w:pPr>
        <w:spacing w:line="360" w:lineRule="auto"/>
        <w:ind w:firstLine="630" w:firstLineChars="300"/>
        <w:jc w:val="left"/>
        <w:rPr>
          <w:rFonts w:ascii="宋体" w:hAnsi="宋体"/>
          <w:color w:val="auto"/>
          <w:szCs w:val="21"/>
        </w:rPr>
      </w:pPr>
      <w:r>
        <w:rPr>
          <w:rFonts w:hint="eastAsia" w:ascii="宋体" w:hAnsi="宋体"/>
          <w:color w:val="auto"/>
          <w:szCs w:val="21"/>
        </w:rPr>
        <w:t>3、物业质量保修文件和物业使用说明文件；</w:t>
      </w:r>
    </w:p>
    <w:p>
      <w:pPr>
        <w:spacing w:line="360" w:lineRule="auto"/>
        <w:ind w:firstLine="630" w:firstLineChars="300"/>
        <w:jc w:val="left"/>
        <w:rPr>
          <w:rFonts w:ascii="宋体" w:hAnsi="宋体"/>
          <w:color w:val="auto"/>
          <w:szCs w:val="21"/>
        </w:rPr>
      </w:pPr>
      <w:r>
        <w:rPr>
          <w:rFonts w:hint="eastAsia" w:ascii="宋体" w:hAnsi="宋体"/>
          <w:color w:val="auto"/>
          <w:szCs w:val="21"/>
        </w:rPr>
        <w:t>4、法律法规规定的其他资料。</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第十七条  </w:t>
      </w:r>
      <w:r>
        <w:rPr>
          <w:rFonts w:hint="eastAsia" w:ascii="宋体" w:hAnsi="宋体"/>
          <w:color w:val="auto"/>
          <w:szCs w:val="21"/>
        </w:rPr>
        <w:t>甲方保证交付使用的物业符合国家规定的验收标准，按照国家规定的保修期限和保修范围承担物业的保修责任。</w:t>
      </w:r>
    </w:p>
    <w:p>
      <w:pPr>
        <w:spacing w:line="360" w:lineRule="auto"/>
        <w:ind w:firstLine="630" w:firstLineChars="300"/>
        <w:jc w:val="left"/>
        <w:rPr>
          <w:rFonts w:ascii="宋体" w:hAnsi="宋体"/>
          <w:color w:val="auto"/>
          <w:szCs w:val="21"/>
        </w:rPr>
      </w:pPr>
    </w:p>
    <w:p>
      <w:pPr>
        <w:jc w:val="center"/>
        <w:rPr>
          <w:rFonts w:ascii="宋体" w:hAnsi="宋体"/>
          <w:color w:val="auto"/>
          <w:szCs w:val="21"/>
        </w:rPr>
      </w:pPr>
      <w:r>
        <w:rPr>
          <w:rFonts w:hint="eastAsia" w:ascii="宋体" w:hAnsi="宋体"/>
          <w:color w:val="auto"/>
          <w:szCs w:val="21"/>
        </w:rPr>
        <w:t xml:space="preserve">      </w:t>
      </w:r>
      <w:r>
        <w:rPr>
          <w:rFonts w:hint="eastAsia"/>
          <w:b/>
          <w:bCs/>
          <w:color w:val="auto"/>
          <w:sz w:val="28"/>
          <w:szCs w:val="28"/>
        </w:rPr>
        <w:t>第六章  物业的使用与维护</w:t>
      </w:r>
    </w:p>
    <w:p>
      <w:pPr>
        <w:spacing w:line="360" w:lineRule="auto"/>
        <w:ind w:firstLine="630" w:firstLineChars="300"/>
        <w:jc w:val="left"/>
        <w:rPr>
          <w:rFonts w:ascii="宋体" w:hAnsi="宋体"/>
          <w:color w:val="auto"/>
          <w:szCs w:val="21"/>
        </w:rPr>
      </w:pP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第十八条  </w:t>
      </w:r>
      <w:r>
        <w:rPr>
          <w:rFonts w:hint="eastAsia" w:ascii="宋体" w:hAnsi="宋体"/>
          <w:color w:val="auto"/>
          <w:szCs w:val="21"/>
        </w:rPr>
        <w:t>业主大会成立前， 乙方应配合甲方制定本物业管理区域内物业共用部位和共用设施设备的使用、公共秩序和环境卫生的维护等方面的规章制度。</w:t>
      </w:r>
    </w:p>
    <w:p>
      <w:pPr>
        <w:spacing w:line="360" w:lineRule="auto"/>
        <w:ind w:firstLine="525" w:firstLineChars="250"/>
        <w:jc w:val="left"/>
        <w:rPr>
          <w:rFonts w:ascii="宋体" w:hAnsi="宋体"/>
          <w:color w:val="auto"/>
          <w:szCs w:val="21"/>
        </w:rPr>
      </w:pPr>
      <w:r>
        <w:rPr>
          <w:rFonts w:hint="eastAsia" w:ascii="宋体" w:hAnsi="宋体"/>
          <w:color w:val="auto"/>
          <w:szCs w:val="21"/>
        </w:rPr>
        <w:t>乙方根据规章制度提供管理服务时，甲方、业主和物业使用人应给予必要配合。</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第十九条  </w:t>
      </w:r>
      <w:r>
        <w:rPr>
          <w:rFonts w:hint="eastAsia" w:ascii="宋体" w:hAnsi="宋体"/>
          <w:color w:val="auto"/>
          <w:szCs w:val="21"/>
        </w:rPr>
        <w:t>乙方可采取规劝、</w:t>
      </w:r>
      <w:r>
        <w:rPr>
          <w:rFonts w:hint="eastAsia" w:ascii="宋体" w:hAnsi="宋体"/>
          <w:color w:val="auto"/>
          <w:szCs w:val="21"/>
          <w:u w:val="single"/>
        </w:rPr>
        <w:t>诉讼</w:t>
      </w:r>
      <w:r>
        <w:rPr>
          <w:rFonts w:hint="eastAsia" w:ascii="宋体" w:hAnsi="宋体"/>
          <w:color w:val="auto"/>
          <w:szCs w:val="21"/>
        </w:rPr>
        <w:t>等必要措施，制止业主、物业使用人违反本临时公约和物业管理区域内物业管理规章制度的行为。</w:t>
      </w:r>
    </w:p>
    <w:p>
      <w:pPr>
        <w:spacing w:line="360" w:lineRule="auto"/>
        <w:ind w:firstLine="482" w:firstLineChars="200"/>
        <w:jc w:val="left"/>
        <w:rPr>
          <w:rFonts w:ascii="宋体" w:hAnsi="宋体"/>
          <w:color w:val="auto"/>
          <w:szCs w:val="21"/>
        </w:rPr>
      </w:pPr>
      <w:r>
        <w:rPr>
          <w:rFonts w:hint="eastAsia" w:ascii="宋体" w:hAnsi="宋体"/>
          <w:b/>
          <w:color w:val="auto"/>
          <w:sz w:val="24"/>
        </w:rPr>
        <w:t>第二十条</w:t>
      </w:r>
      <w:r>
        <w:rPr>
          <w:rFonts w:hint="eastAsia" w:ascii="宋体" w:hAnsi="宋体"/>
          <w:color w:val="auto"/>
          <w:szCs w:val="21"/>
        </w:rPr>
        <w:t xml:space="preserve">  乙方应及时向全体业主通告本物业管理区域内有关物业管理的重大事项，及时处理业主和物业使用人的投诉，接受甲方、业主和物业使用人的监督。</w:t>
      </w:r>
    </w:p>
    <w:p>
      <w:pPr>
        <w:spacing w:line="360" w:lineRule="auto"/>
        <w:ind w:firstLine="482" w:firstLineChars="200"/>
        <w:jc w:val="left"/>
        <w:rPr>
          <w:rFonts w:ascii="宋体" w:hAnsi="宋体"/>
          <w:color w:val="auto"/>
          <w:szCs w:val="21"/>
        </w:rPr>
      </w:pPr>
      <w:r>
        <w:rPr>
          <w:rFonts w:hint="eastAsia" w:ascii="宋体" w:hAnsi="宋体"/>
          <w:b/>
          <w:color w:val="auto"/>
          <w:sz w:val="24"/>
        </w:rPr>
        <w:t>第二十一条</w:t>
      </w:r>
      <w:r>
        <w:rPr>
          <w:rFonts w:hint="eastAsia" w:ascii="宋体" w:hAnsi="宋体"/>
          <w:color w:val="auto"/>
          <w:szCs w:val="21"/>
        </w:rPr>
        <w:t xml:space="preserve">  因维修物业或者公共利益，甲方确需临时占用、挖掘本物业管理区域内道路、场地的，应征得相关业主和乙方的同意；乙方确需临时占用、挖掘本物业管理区城内道路、场地的， 应征得相关业主和甲方的同意。</w:t>
      </w:r>
    </w:p>
    <w:p>
      <w:pPr>
        <w:spacing w:line="360" w:lineRule="auto"/>
        <w:ind w:firstLine="525" w:firstLineChars="250"/>
        <w:jc w:val="left"/>
        <w:rPr>
          <w:rFonts w:ascii="宋体" w:hAnsi="宋体"/>
          <w:color w:val="auto"/>
          <w:szCs w:val="21"/>
        </w:rPr>
      </w:pPr>
      <w:r>
        <w:rPr>
          <w:rFonts w:hint="eastAsia" w:ascii="宋体" w:hAnsi="宋体"/>
          <w:color w:val="auto"/>
          <w:szCs w:val="21"/>
        </w:rPr>
        <w:t>临时占用、挖掘本物业管理区域内道路、场地的，应在约定期限内恢复原状。</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第二十二条  </w:t>
      </w:r>
      <w:r>
        <w:rPr>
          <w:rFonts w:hint="eastAsia" w:ascii="宋体" w:hAnsi="宋体"/>
          <w:color w:val="auto"/>
          <w:szCs w:val="21"/>
        </w:rPr>
        <w:t>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spacing w:line="360" w:lineRule="auto"/>
        <w:ind w:firstLine="482" w:firstLineChars="200"/>
        <w:jc w:val="left"/>
        <w:rPr>
          <w:rFonts w:ascii="宋体" w:hAnsi="宋体"/>
          <w:color w:val="auto"/>
          <w:szCs w:val="21"/>
        </w:rPr>
      </w:pPr>
      <w:r>
        <w:rPr>
          <w:rFonts w:hint="eastAsia" w:ascii="宋体" w:hAnsi="宋体"/>
          <w:b/>
          <w:color w:val="auto"/>
          <w:sz w:val="24"/>
        </w:rPr>
        <w:t>第二十三条</w:t>
      </w:r>
      <w:r>
        <w:rPr>
          <w:rFonts w:hint="eastAsia" w:ascii="宋体" w:hAnsi="宋体"/>
          <w:color w:val="auto"/>
          <w:szCs w:val="21"/>
        </w:rPr>
        <w:t xml:space="preserve">  甲方应于按有关规定向乙方提供能够直接投入使用的物业管理用房，物业管理用房建筑面积应符合市房产局有关规定。</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第二十四条  </w:t>
      </w:r>
      <w:r>
        <w:rPr>
          <w:rFonts w:hint="eastAsia" w:ascii="宋体" w:hAnsi="宋体"/>
          <w:color w:val="auto"/>
          <w:szCs w:val="21"/>
        </w:rPr>
        <w:t>物业管理用房属全体业主所有，乙方在本合同期限内无偿使用，但不得改变其用途。</w:t>
      </w:r>
    </w:p>
    <w:p>
      <w:pPr>
        <w:spacing w:line="360" w:lineRule="auto"/>
        <w:ind w:firstLine="525" w:firstLineChars="250"/>
        <w:jc w:val="left"/>
        <w:rPr>
          <w:rFonts w:ascii="宋体" w:hAnsi="宋体"/>
          <w:color w:val="auto"/>
          <w:szCs w:val="21"/>
        </w:rPr>
      </w:pPr>
    </w:p>
    <w:p>
      <w:pPr>
        <w:jc w:val="center"/>
        <w:rPr>
          <w:b/>
          <w:bCs/>
          <w:color w:val="auto"/>
          <w:sz w:val="28"/>
          <w:szCs w:val="28"/>
        </w:rPr>
      </w:pPr>
      <w:r>
        <w:rPr>
          <w:rFonts w:hint="eastAsia"/>
          <w:b/>
          <w:bCs/>
          <w:color w:val="auto"/>
          <w:sz w:val="28"/>
          <w:szCs w:val="28"/>
        </w:rPr>
        <w:t>第七章专项维修资金</w:t>
      </w:r>
    </w:p>
    <w:p>
      <w:pPr>
        <w:jc w:val="center"/>
        <w:rPr>
          <w:b/>
          <w:bCs/>
          <w:color w:val="auto"/>
          <w:sz w:val="28"/>
          <w:szCs w:val="28"/>
        </w:rPr>
      </w:pP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第二十五条  </w:t>
      </w:r>
      <w:r>
        <w:rPr>
          <w:rFonts w:hint="eastAsia" w:ascii="宋体" w:hAnsi="宋体"/>
          <w:color w:val="auto"/>
          <w:szCs w:val="21"/>
        </w:rPr>
        <w:t>专项维修资金的缴存遵照有关法规规章和政策文件执行。</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第二十六条  </w:t>
      </w:r>
      <w:r>
        <w:rPr>
          <w:rFonts w:hint="eastAsia" w:ascii="宋体" w:hAnsi="宋体"/>
          <w:color w:val="auto"/>
          <w:szCs w:val="21"/>
        </w:rPr>
        <w:t>专项维修资金的管理道照有关法规规章和政策文件执行。</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第二十七条  </w:t>
      </w:r>
      <w:r>
        <w:rPr>
          <w:rFonts w:hint="eastAsia" w:ascii="宋体" w:hAnsi="宋体"/>
          <w:color w:val="auto"/>
          <w:szCs w:val="21"/>
        </w:rPr>
        <w:t>专项维修资金的使用遵照有关法规规章和政策文件执行。</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第二十八条  </w:t>
      </w:r>
      <w:r>
        <w:rPr>
          <w:rFonts w:hint="eastAsia" w:ascii="宋体" w:hAnsi="宋体"/>
          <w:color w:val="auto"/>
          <w:szCs w:val="21"/>
        </w:rPr>
        <w:t>专项维修资金的续筹遵照有关法规规章和政策文件执行。</w:t>
      </w:r>
    </w:p>
    <w:p>
      <w:pPr>
        <w:spacing w:line="360" w:lineRule="auto"/>
        <w:ind w:firstLine="525" w:firstLineChars="250"/>
        <w:jc w:val="left"/>
        <w:rPr>
          <w:rFonts w:ascii="宋体" w:hAnsi="宋体"/>
          <w:color w:val="auto"/>
          <w:szCs w:val="21"/>
        </w:rPr>
      </w:pPr>
    </w:p>
    <w:p>
      <w:pPr>
        <w:jc w:val="center"/>
        <w:rPr>
          <w:b/>
          <w:bCs/>
          <w:color w:val="auto"/>
          <w:sz w:val="28"/>
          <w:szCs w:val="28"/>
        </w:rPr>
      </w:pPr>
      <w:r>
        <w:rPr>
          <w:rFonts w:hint="eastAsia"/>
          <w:b/>
          <w:bCs/>
          <w:color w:val="auto"/>
          <w:sz w:val="28"/>
          <w:szCs w:val="28"/>
        </w:rPr>
        <w:t>第八章违约责任</w:t>
      </w:r>
    </w:p>
    <w:p>
      <w:pPr>
        <w:spacing w:line="360" w:lineRule="auto"/>
        <w:ind w:firstLine="482" w:firstLineChars="200"/>
        <w:jc w:val="left"/>
        <w:rPr>
          <w:rFonts w:ascii="宋体" w:hAnsi="宋体"/>
          <w:color w:val="auto"/>
          <w:szCs w:val="21"/>
        </w:rPr>
      </w:pPr>
      <w:r>
        <w:rPr>
          <w:rFonts w:hint="eastAsia" w:ascii="宋体" w:hAnsi="宋体"/>
          <w:b/>
          <w:color w:val="auto"/>
          <w:sz w:val="24"/>
        </w:rPr>
        <w:t>第二十九条</w:t>
      </w:r>
      <w:r>
        <w:rPr>
          <w:rFonts w:hint="eastAsia" w:ascii="宋体" w:hAnsi="宋体"/>
          <w:color w:val="auto"/>
          <w:szCs w:val="21"/>
        </w:rPr>
        <w:t xml:space="preserve">  甲方违反本合同第十三条、 第十四条、第十五条的约定，致使乙方的管理服务无法达到本合同第二条、第三条、第四条约定的服务内容和质量标准的，由甲方赔偿由此给业主和物业使用人造成的损失。</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第三十条  </w:t>
      </w:r>
      <w:r>
        <w:rPr>
          <w:rFonts w:hint="eastAsia" w:ascii="宋体" w:hAnsi="宋体"/>
          <w:color w:val="auto"/>
          <w:szCs w:val="21"/>
        </w:rPr>
        <w:t>除前条规定情况外，乙方的管理服务达不到本合同第二条、第三条、第四条约定的服务内容和质量标准，应限期整改，造成甲方、业主损失的应予赔偿。</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第三十一条  </w:t>
      </w:r>
      <w:r>
        <w:rPr>
          <w:rFonts w:hint="eastAsia" w:ascii="宋体" w:hAnsi="宋体"/>
          <w:color w:val="auto"/>
          <w:szCs w:val="21"/>
        </w:rPr>
        <w:t>甲方、业主或物业使用人违反本合同第六条、第七条的约定，未能按时足额交纳物业服务费用(物业服务资金)的，每逾期一日，按欠交金额0.3%的标准向乙方支付违约金。</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第三十二条  </w:t>
      </w:r>
      <w:r>
        <w:rPr>
          <w:rFonts w:hint="eastAsia" w:ascii="宋体" w:hAnsi="宋体"/>
          <w:color w:val="auto"/>
          <w:szCs w:val="21"/>
        </w:rPr>
        <w:t>乙方违反本合同第六条、第七条的约定，擅自提高物业服务费用标准的，业主和物业使用人就超额部分有权拒绝交纳；乙方已经收取的，业主和物业使用人有权要求乙方双倍返还。</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第三十三条  </w:t>
      </w:r>
      <w:r>
        <w:rPr>
          <w:rFonts w:hint="eastAsia" w:ascii="宋体" w:hAnsi="宋体"/>
          <w:color w:val="auto"/>
          <w:szCs w:val="21"/>
        </w:rPr>
        <w:t>甲方违反本合同第十七条的约定，拒绝或拖延履行保修义务的，业主、物业使用人可以自行或委托乙方修复，修复费用及造成的其他损失由甲方承担。</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第三十四条  </w:t>
      </w:r>
      <w:r>
        <w:rPr>
          <w:rFonts w:hint="eastAsia" w:ascii="宋体" w:hAnsi="宋体"/>
          <w:color w:val="auto"/>
          <w:szCs w:val="21"/>
        </w:rPr>
        <w:t>以下情况乙方不承担责任:</w:t>
      </w:r>
    </w:p>
    <w:p>
      <w:pPr>
        <w:spacing w:line="360" w:lineRule="auto"/>
        <w:ind w:firstLine="525" w:firstLineChars="250"/>
        <w:jc w:val="left"/>
        <w:rPr>
          <w:rFonts w:ascii="宋体" w:hAnsi="宋体"/>
          <w:color w:val="auto"/>
          <w:szCs w:val="21"/>
        </w:rPr>
      </w:pPr>
      <w:r>
        <w:rPr>
          <w:rFonts w:hint="eastAsia" w:ascii="宋体" w:hAnsi="宋体"/>
          <w:color w:val="auto"/>
          <w:szCs w:val="21"/>
        </w:rPr>
        <w:t>1、因不可抗力导致物业管理服务中断的；</w:t>
      </w:r>
    </w:p>
    <w:p>
      <w:pPr>
        <w:spacing w:line="360" w:lineRule="auto"/>
        <w:ind w:firstLine="525" w:firstLineChars="250"/>
        <w:jc w:val="left"/>
        <w:rPr>
          <w:rFonts w:ascii="宋体" w:hAnsi="宋体"/>
          <w:color w:val="auto"/>
          <w:szCs w:val="21"/>
        </w:rPr>
      </w:pPr>
      <w:r>
        <w:rPr>
          <w:rFonts w:hint="eastAsia" w:ascii="宋体" w:hAnsi="宋体"/>
          <w:color w:val="auto"/>
          <w:szCs w:val="21"/>
        </w:rPr>
        <w:t>2、乙方已履行本合同约定义务，但因物业本身固有瑕疵造成损失的；</w:t>
      </w:r>
    </w:p>
    <w:p>
      <w:pPr>
        <w:spacing w:line="360" w:lineRule="auto"/>
        <w:ind w:firstLine="525" w:firstLineChars="250"/>
        <w:jc w:val="left"/>
        <w:rPr>
          <w:rFonts w:ascii="宋体" w:hAnsi="宋体"/>
          <w:color w:val="auto"/>
          <w:szCs w:val="21"/>
        </w:rPr>
      </w:pPr>
      <w:r>
        <w:rPr>
          <w:rFonts w:hint="eastAsia" w:ascii="宋体" w:hAnsi="宋体"/>
          <w:color w:val="auto"/>
          <w:szCs w:val="21"/>
        </w:rPr>
        <w:t>3、因维修养护物业共用部位、共用设施设备需要且事先已告知业主和物业使用人，暂时停水、停电、停止共用设施设备使用等造成损失的；</w:t>
      </w:r>
    </w:p>
    <w:p>
      <w:pPr>
        <w:spacing w:line="360" w:lineRule="auto"/>
        <w:ind w:firstLine="525" w:firstLineChars="250"/>
        <w:jc w:val="left"/>
        <w:rPr>
          <w:rFonts w:ascii="宋体" w:hAnsi="宋体"/>
          <w:color w:val="auto"/>
          <w:szCs w:val="21"/>
        </w:rPr>
      </w:pPr>
      <w:r>
        <w:rPr>
          <w:rFonts w:hint="eastAsia" w:ascii="宋体" w:hAnsi="宋体"/>
          <w:color w:val="auto"/>
          <w:szCs w:val="21"/>
        </w:rPr>
        <w:t>4、因非乙方责任出现供水、供电、供气、供热、通讯、有线电视及其他共用设施设备运行障碍造成损失的；</w:t>
      </w:r>
    </w:p>
    <w:p>
      <w:pPr>
        <w:spacing w:line="360" w:lineRule="auto"/>
        <w:ind w:firstLine="525" w:firstLineChars="250"/>
        <w:jc w:val="left"/>
        <w:rPr>
          <w:rFonts w:ascii="宋体" w:hAnsi="宋体"/>
          <w:color w:val="auto"/>
          <w:szCs w:val="21"/>
        </w:rPr>
      </w:pPr>
      <w:r>
        <w:rPr>
          <w:rFonts w:hint="eastAsia" w:ascii="宋体" w:hAnsi="宋体"/>
          <w:color w:val="auto"/>
          <w:szCs w:val="21"/>
        </w:rPr>
        <w:t>5、法律法规規定的其他免责情形。</w:t>
      </w:r>
    </w:p>
    <w:p>
      <w:pPr>
        <w:spacing w:line="360" w:lineRule="auto"/>
        <w:ind w:firstLine="420" w:firstLineChars="200"/>
        <w:jc w:val="left"/>
        <w:rPr>
          <w:rFonts w:ascii="宋体" w:hAnsi="宋体"/>
          <w:color w:val="auto"/>
          <w:szCs w:val="21"/>
        </w:rPr>
      </w:pPr>
    </w:p>
    <w:p>
      <w:pPr>
        <w:jc w:val="center"/>
        <w:rPr>
          <w:b/>
          <w:bCs/>
          <w:color w:val="auto"/>
          <w:sz w:val="28"/>
          <w:szCs w:val="28"/>
        </w:rPr>
      </w:pPr>
      <w:r>
        <w:rPr>
          <w:rFonts w:hint="eastAsia"/>
          <w:b/>
          <w:bCs/>
          <w:color w:val="auto"/>
          <w:sz w:val="28"/>
          <w:szCs w:val="28"/>
        </w:rPr>
        <w:t>第九章其他事项</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第三十五条  </w:t>
      </w:r>
      <w:r>
        <w:rPr>
          <w:rFonts w:hint="eastAsia" w:ascii="宋体" w:hAnsi="宋体"/>
          <w:color w:val="auto"/>
          <w:szCs w:val="21"/>
        </w:rPr>
        <w:t>本合同约定的物业服务期限自接管之日起，期限为</w:t>
      </w:r>
      <w:r>
        <w:rPr>
          <w:rFonts w:hint="eastAsia" w:ascii="宋体" w:hAnsi="宋体"/>
          <w:color w:val="auto"/>
          <w:szCs w:val="21"/>
          <w:lang w:eastAsia="zh-CN"/>
        </w:rPr>
        <w:t>3年</w:t>
      </w:r>
      <w:r>
        <w:rPr>
          <w:rFonts w:hint="eastAsia" w:ascii="宋体" w:hAnsi="宋体"/>
          <w:color w:val="auto"/>
          <w:szCs w:val="21"/>
        </w:rPr>
        <w:t>，但在本合同期限内，业主委员会代表全体业主与物业管理企业签订的物业服务合同生效时，本合同自动终止。</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第三十六条  </w:t>
      </w:r>
      <w:r>
        <w:rPr>
          <w:rFonts w:hint="eastAsia" w:ascii="宋体" w:hAnsi="宋体"/>
          <w:color w:val="auto"/>
          <w:szCs w:val="21"/>
        </w:rPr>
        <w:t>本合同期满前3月，业主大会尚未成立的，甲、乙双方应就延长本合同期限达成协议；双方未能达成协议的，甲方应在本合同期满前选聘新的物业管理企业。</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第三十七条  </w:t>
      </w:r>
      <w:r>
        <w:rPr>
          <w:rFonts w:hint="eastAsia" w:ascii="宋体" w:hAnsi="宋体"/>
          <w:color w:val="auto"/>
          <w:szCs w:val="21"/>
        </w:rPr>
        <w:t>本合同终止时，乙方应将物业管理用房、物业管理相关资料等属于全体业主所有的财物及时完整地移交给业主委员会；业主委员会尚未成立的，移交给甲方代管。</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第三十八条  </w:t>
      </w:r>
      <w:r>
        <w:rPr>
          <w:rFonts w:hint="eastAsia" w:ascii="宋体" w:hAnsi="宋体"/>
          <w:color w:val="auto"/>
          <w:szCs w:val="21"/>
        </w:rPr>
        <w:t>甲方与物业买受人签订的物业买卖合同，应当包含本合同约定的内容；物业买受人签订物业买卖合同，即为对接受本合同内容的承诺。</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第三十九条  </w:t>
      </w:r>
      <w:r>
        <w:rPr>
          <w:rFonts w:hint="eastAsia" w:ascii="宋体" w:hAnsi="宋体"/>
          <w:color w:val="auto"/>
          <w:szCs w:val="21"/>
        </w:rPr>
        <w:t>业主可与物业使用人就本合同的权利义务进行约定，但物业使用人违反本合同约定的，业主应承担连带责任。</w:t>
      </w:r>
    </w:p>
    <w:p>
      <w:pPr>
        <w:spacing w:line="360" w:lineRule="auto"/>
        <w:ind w:firstLine="482" w:firstLineChars="200"/>
        <w:jc w:val="left"/>
        <w:rPr>
          <w:rFonts w:ascii="宋体" w:hAnsi="宋体"/>
          <w:color w:val="auto"/>
          <w:szCs w:val="21"/>
        </w:rPr>
      </w:pPr>
      <w:r>
        <w:rPr>
          <w:rFonts w:hint="eastAsia" w:ascii="宋体" w:hAnsi="宋体"/>
          <w:b/>
          <w:color w:val="auto"/>
          <w:sz w:val="24"/>
        </w:rPr>
        <w:t>第四十条</w:t>
      </w:r>
      <w:r>
        <w:rPr>
          <w:rFonts w:hint="eastAsia" w:ascii="宋体" w:hAnsi="宋体"/>
          <w:color w:val="auto"/>
          <w:szCs w:val="21"/>
        </w:rPr>
        <w:t xml:space="preserve">  甲方的《招标文件》、乙方的《投标文件》是本合同的附件，乙方承诺将履行《招标文件》、《投标文件》 中的全部内容。如《招标文件》、《投标文件》与本合同相冲突，则以本合同的约定为准。</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第四十一条  </w:t>
      </w:r>
      <w:r>
        <w:rPr>
          <w:rFonts w:hint="eastAsia" w:ascii="宋体" w:hAnsi="宋体"/>
          <w:color w:val="auto"/>
          <w:szCs w:val="21"/>
        </w:rPr>
        <w:t>本合同的附件为本合同不可分割的组成部分，与本合同具有同等法律效力。</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第四十二条  </w:t>
      </w:r>
      <w:r>
        <w:rPr>
          <w:rFonts w:hint="eastAsia" w:ascii="宋体" w:hAnsi="宋体"/>
          <w:color w:val="auto"/>
          <w:szCs w:val="21"/>
        </w:rPr>
        <w:t>本合同未尽事宜，双方可另行以书面形式签订补充协议，补充协议与本合同存在冲突的，以本合同为准。</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第四十三条  </w:t>
      </w:r>
      <w:r>
        <w:rPr>
          <w:rFonts w:hint="eastAsia" w:ascii="宋体" w:hAnsi="宋体"/>
          <w:color w:val="auto"/>
          <w:szCs w:val="21"/>
        </w:rPr>
        <w:t>本合同在履行中发生争议，由双方协商解决，协商不成，双方可选择向人民法院提起诉讼。</w:t>
      </w:r>
    </w:p>
    <w:p>
      <w:pPr>
        <w:spacing w:line="360" w:lineRule="auto"/>
        <w:ind w:firstLine="482" w:firstLineChars="200"/>
        <w:jc w:val="left"/>
        <w:rPr>
          <w:rFonts w:ascii="宋体" w:hAnsi="宋体"/>
          <w:color w:val="auto"/>
          <w:szCs w:val="21"/>
        </w:rPr>
      </w:pPr>
      <w:r>
        <w:rPr>
          <w:rFonts w:hint="eastAsia" w:ascii="宋体" w:hAnsi="宋体"/>
          <w:b/>
          <w:color w:val="auto"/>
          <w:sz w:val="24"/>
        </w:rPr>
        <w:t xml:space="preserve">第四十四条本  </w:t>
      </w:r>
      <w:r>
        <w:rPr>
          <w:rFonts w:hint="eastAsia" w:ascii="宋体" w:hAnsi="宋体"/>
          <w:color w:val="auto"/>
          <w:szCs w:val="21"/>
        </w:rPr>
        <w:t>合同一式四份，甲方二份，乙方一份，房地产行政主管部门一份。第四十五条本合同自双方法定代表人签字并加盖公章后生效。</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甲方(签章) :                             乙方(签章) :</w:t>
      </w:r>
    </w:p>
    <w:p>
      <w:pPr>
        <w:spacing w:line="360" w:lineRule="auto"/>
        <w:ind w:firstLine="420" w:firstLineChars="200"/>
        <w:jc w:val="left"/>
        <w:rPr>
          <w:rFonts w:ascii="宋体" w:hAnsi="宋体"/>
          <w:color w:val="auto"/>
          <w:szCs w:val="21"/>
        </w:rPr>
      </w:pPr>
      <w:r>
        <w:rPr>
          <w:rFonts w:hint="eastAsia" w:ascii="宋体" w:hAnsi="宋体"/>
          <w:color w:val="auto"/>
          <w:szCs w:val="21"/>
        </w:rPr>
        <w:t>法定代表人:                              法定代表人:</w:t>
      </w:r>
    </w:p>
    <w:p>
      <w:pPr>
        <w:spacing w:line="360" w:lineRule="auto"/>
        <w:ind w:firstLine="420" w:firstLineChars="200"/>
        <w:jc w:val="left"/>
        <w:rPr>
          <w:rFonts w:ascii="宋体" w:hAnsi="宋体"/>
          <w:color w:val="auto"/>
          <w:szCs w:val="21"/>
        </w:rPr>
      </w:pPr>
      <w:r>
        <w:rPr>
          <w:rFonts w:hint="eastAsia" w:ascii="宋体" w:hAnsi="宋体"/>
          <w:color w:val="auto"/>
          <w:szCs w:val="21"/>
        </w:rPr>
        <w:t>联系电话:                                联系电话:</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鉴证人(签章) :</w:t>
      </w:r>
    </w:p>
    <w:p>
      <w:pPr>
        <w:spacing w:line="360" w:lineRule="auto"/>
        <w:ind w:firstLine="5880" w:firstLineChars="2800"/>
        <w:jc w:val="lef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 w:val="28"/>
          <w:szCs w:val="28"/>
        </w:rPr>
      </w:pPr>
      <w:r>
        <w:rPr>
          <w:rFonts w:hint="eastAsia" w:ascii="宋体" w:hAnsi="宋体"/>
          <w:color w:val="auto"/>
          <w:sz w:val="28"/>
          <w:szCs w:val="28"/>
        </w:rPr>
        <w:t>附件一：</w:t>
      </w:r>
    </w:p>
    <w:p>
      <w:pPr>
        <w:spacing w:line="360" w:lineRule="auto"/>
        <w:jc w:val="center"/>
        <w:rPr>
          <w:rFonts w:ascii="宋体" w:hAnsi="宋体"/>
          <w:b/>
          <w:color w:val="auto"/>
          <w:sz w:val="32"/>
          <w:szCs w:val="32"/>
        </w:rPr>
      </w:pPr>
      <w:r>
        <w:rPr>
          <w:rFonts w:hint="eastAsia" w:ascii="宋体" w:hAnsi="宋体"/>
          <w:b/>
          <w:color w:val="auto"/>
          <w:sz w:val="32"/>
          <w:szCs w:val="32"/>
        </w:rPr>
        <w:t>规划平面图</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pacing w:line="360" w:lineRule="auto"/>
              <w:jc w:val="center"/>
              <w:rPr>
                <w:rFonts w:ascii="宋体" w:hAnsi="宋体"/>
                <w:color w:val="auto"/>
                <w:szCs w:val="21"/>
              </w:rPr>
            </w:pPr>
            <w:r>
              <w:rPr>
                <w:rFonts w:hint="eastAsia" w:ascii="宋体" w:hAnsi="宋体"/>
                <w:color w:val="auto"/>
                <w:szCs w:val="21"/>
              </w:rPr>
              <w:t>（可缩印粘贴此处，也可另附页）</w:t>
            </w:r>
          </w:p>
          <w:p>
            <w:pPr>
              <w:spacing w:line="360" w:lineRule="auto"/>
              <w:jc w:val="center"/>
              <w:rPr>
                <w:rFonts w:ascii="宋体" w:hAnsi="宋体"/>
                <w:b/>
                <w:color w:val="auto"/>
                <w:szCs w:val="21"/>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p>
        </w:tc>
      </w:tr>
    </w:tbl>
    <w:p>
      <w:pPr>
        <w:spacing w:line="360" w:lineRule="auto"/>
        <w:jc w:val="center"/>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附件二:</w:t>
      </w:r>
    </w:p>
    <w:p>
      <w:pPr>
        <w:spacing w:line="360" w:lineRule="auto"/>
        <w:jc w:val="left"/>
        <w:rPr>
          <w:rFonts w:ascii="宋体" w:hAnsi="宋体"/>
          <w:b/>
          <w:color w:val="auto"/>
          <w:sz w:val="32"/>
          <w:szCs w:val="32"/>
        </w:rPr>
      </w:pPr>
    </w:p>
    <w:p>
      <w:pPr>
        <w:spacing w:line="360" w:lineRule="auto"/>
        <w:jc w:val="center"/>
        <w:rPr>
          <w:rFonts w:ascii="宋体" w:hAnsi="宋体"/>
          <w:b/>
          <w:color w:val="auto"/>
          <w:sz w:val="32"/>
          <w:szCs w:val="32"/>
        </w:rPr>
      </w:pPr>
      <w:r>
        <w:rPr>
          <w:rFonts w:hint="eastAsia" w:ascii="宋体" w:hAnsi="宋体"/>
          <w:b/>
          <w:color w:val="auto"/>
          <w:sz w:val="32"/>
          <w:szCs w:val="32"/>
        </w:rPr>
        <w:t>物业构成明细</w:t>
      </w:r>
    </w:p>
    <w:p>
      <w:pPr>
        <w:spacing w:line="360" w:lineRule="auto"/>
        <w:jc w:val="center"/>
        <w:rPr>
          <w:rFonts w:ascii="宋体" w:hAnsi="宋体"/>
          <w:color w:val="auto"/>
          <w:sz w:val="24"/>
        </w:rPr>
      </w:pPr>
      <w:r>
        <w:rPr>
          <w:rFonts w:hint="eastAsia" w:ascii="宋体" w:hAnsi="宋体"/>
          <w:color w:val="auto"/>
          <w:sz w:val="24"/>
        </w:rPr>
        <w:t>(略，参阅物业服务需求书)</w:t>
      </w:r>
    </w:p>
    <w:p>
      <w:pPr>
        <w:spacing w:line="360" w:lineRule="auto"/>
        <w:jc w:val="left"/>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b/>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附件三:</w:t>
      </w:r>
    </w:p>
    <w:p>
      <w:pPr>
        <w:spacing w:line="360" w:lineRule="auto"/>
        <w:jc w:val="center"/>
        <w:rPr>
          <w:rFonts w:ascii="宋体" w:hAnsi="宋体"/>
          <w:b/>
          <w:color w:val="auto"/>
          <w:sz w:val="32"/>
          <w:szCs w:val="32"/>
        </w:rPr>
      </w:pPr>
    </w:p>
    <w:p>
      <w:pPr>
        <w:spacing w:line="360" w:lineRule="auto"/>
        <w:jc w:val="center"/>
        <w:rPr>
          <w:rFonts w:ascii="宋体" w:hAnsi="宋体"/>
          <w:b/>
          <w:color w:val="auto"/>
          <w:sz w:val="32"/>
          <w:szCs w:val="32"/>
        </w:rPr>
      </w:pPr>
      <w:r>
        <w:rPr>
          <w:rFonts w:hint="eastAsia" w:ascii="宋体" w:hAnsi="宋体"/>
          <w:b/>
          <w:color w:val="auto"/>
          <w:sz w:val="32"/>
          <w:szCs w:val="32"/>
        </w:rPr>
        <w:t>前期物业管理服务质量标准</w:t>
      </w:r>
    </w:p>
    <w:p>
      <w:pPr>
        <w:spacing w:line="360" w:lineRule="auto"/>
        <w:jc w:val="center"/>
        <w:rPr>
          <w:rFonts w:ascii="宋体" w:hAnsi="宋体"/>
          <w:color w:val="auto"/>
          <w:sz w:val="24"/>
        </w:rPr>
      </w:pPr>
      <w:r>
        <w:rPr>
          <w:rFonts w:hint="eastAsia" w:ascii="宋体" w:hAnsi="宋体"/>
          <w:color w:val="auto"/>
          <w:sz w:val="24"/>
        </w:rPr>
        <w:t>(略，参阅物业服务需求书)</w:t>
      </w: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b/>
          <w:bCs/>
          <w:color w:val="auto"/>
          <w:sz w:val="32"/>
          <w:szCs w:val="32"/>
        </w:rPr>
      </w:pPr>
      <w:r>
        <w:rPr>
          <w:rFonts w:hint="eastAsia"/>
          <w:b/>
          <w:bCs/>
          <w:color w:val="auto"/>
          <w:sz w:val="32"/>
          <w:szCs w:val="32"/>
        </w:rPr>
        <w:t>第五章  物业管理区域总平面图（另册）</w:t>
      </w: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both"/>
        <w:rPr>
          <w:b/>
          <w:bCs/>
          <w:color w:val="auto"/>
          <w:sz w:val="32"/>
          <w:szCs w:val="32"/>
        </w:rPr>
      </w:pPr>
    </w:p>
    <w:p>
      <w:pPr>
        <w:spacing w:line="360" w:lineRule="auto"/>
        <w:jc w:val="center"/>
        <w:rPr>
          <w:b/>
          <w:bCs/>
          <w:color w:val="auto"/>
          <w:sz w:val="32"/>
          <w:szCs w:val="32"/>
        </w:rPr>
      </w:pPr>
      <w:r>
        <w:rPr>
          <w:rFonts w:hint="eastAsia"/>
          <w:b/>
          <w:bCs/>
          <w:color w:val="auto"/>
          <w:sz w:val="32"/>
          <w:szCs w:val="32"/>
        </w:rPr>
        <w:t>第六章  物业服务需求书</w:t>
      </w:r>
    </w:p>
    <w:p>
      <w:pPr>
        <w:spacing w:line="360" w:lineRule="auto"/>
        <w:ind w:firstLine="562" w:firstLineChars="200"/>
        <w:jc w:val="left"/>
        <w:rPr>
          <w:rFonts w:ascii="宋体" w:hAnsi="宋体"/>
          <w:b/>
          <w:color w:val="auto"/>
          <w:sz w:val="28"/>
          <w:szCs w:val="28"/>
        </w:rPr>
      </w:pPr>
      <w:r>
        <w:rPr>
          <w:rFonts w:hint="eastAsia" w:ascii="宋体" w:hAnsi="宋体"/>
          <w:b/>
          <w:color w:val="auto"/>
          <w:sz w:val="28"/>
          <w:szCs w:val="28"/>
        </w:rPr>
        <w:t>1. 项目概况</w:t>
      </w:r>
    </w:p>
    <w:p>
      <w:pPr>
        <w:pStyle w:val="2"/>
        <w:rPr>
          <w:rFonts w:hint="default" w:eastAsiaTheme="minorEastAsia"/>
          <w:color w:val="auto"/>
          <w:lang w:val="en-US" w:eastAsia="zh-CN"/>
        </w:rPr>
      </w:pPr>
      <w:r>
        <w:rPr>
          <w:rFonts w:hint="eastAsia" w:ascii="宋体" w:hAnsi="宋体" w:cs="宋体"/>
          <w:color w:val="auto"/>
          <w:kern w:val="0"/>
          <w:sz w:val="24"/>
          <w:lang w:val="en-US" w:eastAsia="zh-CN"/>
        </w:rPr>
        <w:t>一、本项目划分为两个标段，双牌县佳兴名城住宅小区为第一标段，双牌县嘉信国际酒店为第二标段。</w:t>
      </w:r>
    </w:p>
    <w:p>
      <w:pPr>
        <w:widowControl/>
        <w:spacing w:line="440" w:lineRule="atLeast"/>
        <w:ind w:left="239" w:leftChars="114" w:firstLine="240" w:firstLineChars="100"/>
        <w:rPr>
          <w:rFonts w:hint="eastAsia" w:ascii="宋体" w:hAnsi="宋体" w:cs="宋体"/>
          <w:bCs/>
          <w:color w:val="auto"/>
          <w:kern w:val="0"/>
          <w:sz w:val="24"/>
        </w:rPr>
      </w:pPr>
      <w:r>
        <w:rPr>
          <w:rFonts w:hint="eastAsia" w:ascii="宋体" w:hAnsi="宋体" w:cs="宋体"/>
          <w:bCs/>
          <w:color w:val="auto"/>
          <w:kern w:val="0"/>
          <w:sz w:val="24"/>
          <w:lang w:val="en-US" w:eastAsia="zh-CN"/>
        </w:rPr>
        <w:t>二</w:t>
      </w:r>
      <w:r>
        <w:rPr>
          <w:rFonts w:hint="eastAsia" w:ascii="宋体" w:hAnsi="宋体" w:cs="宋体"/>
          <w:bCs/>
          <w:color w:val="auto"/>
          <w:kern w:val="0"/>
          <w:sz w:val="24"/>
        </w:rPr>
        <w:t>、</w:t>
      </w:r>
      <w:r>
        <w:rPr>
          <w:rFonts w:hint="eastAsia" w:ascii="宋体" w:hAnsi="宋体" w:cs="宋体"/>
          <w:bCs/>
          <w:color w:val="auto"/>
          <w:kern w:val="0"/>
          <w:sz w:val="24"/>
          <w:lang w:val="en-US" w:eastAsia="zh-CN"/>
        </w:rPr>
        <w:t>第一标段的</w:t>
      </w:r>
      <w:r>
        <w:rPr>
          <w:rFonts w:hint="eastAsia" w:ascii="宋体" w:hAnsi="宋体" w:cs="宋体"/>
          <w:bCs/>
          <w:color w:val="auto"/>
          <w:kern w:val="0"/>
          <w:sz w:val="24"/>
        </w:rPr>
        <w:t>项目总占地面积</w:t>
      </w:r>
      <w:r>
        <w:rPr>
          <w:rFonts w:hint="eastAsia" w:ascii="宋体" w:hAnsi="宋体" w:cs="宋体"/>
          <w:bCs/>
          <w:color w:val="auto"/>
          <w:kern w:val="0"/>
          <w:sz w:val="24"/>
          <w:lang w:val="en-US" w:eastAsia="zh-CN"/>
        </w:rPr>
        <w:t>15168.18</w:t>
      </w:r>
      <w:r>
        <w:rPr>
          <w:rFonts w:hint="eastAsia" w:ascii="宋体" w:hAnsi="宋体" w:cs="宋体"/>
          <w:bCs/>
          <w:color w:val="auto"/>
          <w:kern w:val="0"/>
          <w:sz w:val="24"/>
        </w:rPr>
        <w:t>平方米，建筑面积</w:t>
      </w:r>
      <w:r>
        <w:rPr>
          <w:rFonts w:hint="eastAsia" w:ascii="宋体" w:hAnsi="宋体" w:cs="宋体"/>
          <w:bCs/>
          <w:color w:val="auto"/>
          <w:kern w:val="0"/>
          <w:sz w:val="24"/>
          <w:lang w:val="en-US" w:eastAsia="zh-CN"/>
        </w:rPr>
        <w:t>69028.05</w:t>
      </w:r>
      <w:r>
        <w:rPr>
          <w:rFonts w:hint="eastAsia" w:ascii="宋体" w:hAnsi="宋体" w:cs="宋体"/>
          <w:bCs/>
          <w:color w:val="auto"/>
          <w:kern w:val="0"/>
          <w:sz w:val="24"/>
        </w:rPr>
        <w:t>平方米，其中住宅建筑面积约</w:t>
      </w:r>
      <w:r>
        <w:rPr>
          <w:rFonts w:hint="eastAsia" w:ascii="宋体" w:hAnsi="宋体" w:cs="宋体"/>
          <w:bCs/>
          <w:color w:val="auto"/>
          <w:kern w:val="0"/>
          <w:sz w:val="24"/>
          <w:lang w:val="en-US" w:eastAsia="zh-CN"/>
        </w:rPr>
        <w:t>46098.70</w:t>
      </w:r>
      <w:r>
        <w:rPr>
          <w:rFonts w:hint="eastAsia" w:ascii="宋体" w:hAnsi="宋体" w:cs="宋体"/>
          <w:bCs/>
          <w:color w:val="auto"/>
          <w:kern w:val="0"/>
          <w:sz w:val="24"/>
        </w:rPr>
        <w:t>平方米，容积率：</w:t>
      </w:r>
      <w:r>
        <w:rPr>
          <w:rFonts w:hint="eastAsia" w:ascii="宋体" w:hAnsi="宋体" w:cs="宋体"/>
          <w:bCs/>
          <w:color w:val="auto"/>
          <w:kern w:val="0"/>
          <w:sz w:val="24"/>
          <w:lang w:val="en-US" w:eastAsia="zh-CN"/>
        </w:rPr>
        <w:t>3.76</w:t>
      </w:r>
      <w:r>
        <w:rPr>
          <w:rFonts w:ascii="宋体" w:hAnsi="宋体" w:cs="宋体"/>
          <w:bCs/>
          <w:color w:val="auto"/>
          <w:kern w:val="0"/>
          <w:sz w:val="24"/>
        </w:rPr>
        <w:t>%</w:t>
      </w:r>
      <w:r>
        <w:rPr>
          <w:rFonts w:hint="eastAsia" w:ascii="宋体" w:hAnsi="宋体" w:cs="宋体"/>
          <w:bCs/>
          <w:color w:val="auto"/>
          <w:kern w:val="0"/>
          <w:sz w:val="24"/>
        </w:rPr>
        <w:t>，绿化率：</w:t>
      </w:r>
      <w:r>
        <w:rPr>
          <w:rFonts w:hint="eastAsia" w:ascii="宋体" w:hAnsi="宋体" w:cs="宋体"/>
          <w:bCs/>
          <w:color w:val="auto"/>
          <w:kern w:val="0"/>
          <w:sz w:val="24"/>
          <w:lang w:val="en-US" w:eastAsia="zh-CN"/>
        </w:rPr>
        <w:t>35.03</w:t>
      </w:r>
      <w:r>
        <w:rPr>
          <w:rFonts w:ascii="宋体" w:hAnsi="宋体" w:cs="宋体"/>
          <w:bCs/>
          <w:color w:val="auto"/>
          <w:kern w:val="0"/>
          <w:sz w:val="24"/>
        </w:rPr>
        <w:t>%</w:t>
      </w:r>
      <w:r>
        <w:rPr>
          <w:rFonts w:hint="eastAsia" w:ascii="宋体" w:hAnsi="宋体" w:cs="宋体"/>
          <w:bCs/>
          <w:color w:val="auto"/>
          <w:kern w:val="0"/>
          <w:sz w:val="24"/>
        </w:rPr>
        <w:t>，建筑密度：</w:t>
      </w:r>
      <w:r>
        <w:rPr>
          <w:rFonts w:hint="eastAsia" w:ascii="宋体" w:hAnsi="宋体" w:cs="宋体"/>
          <w:bCs/>
          <w:color w:val="auto"/>
          <w:kern w:val="0"/>
          <w:sz w:val="24"/>
          <w:lang w:val="en-US" w:eastAsia="zh-CN"/>
        </w:rPr>
        <w:t>29.63</w:t>
      </w:r>
      <w:r>
        <w:rPr>
          <w:rFonts w:ascii="宋体" w:hAnsi="宋体" w:cs="宋体"/>
          <w:bCs/>
          <w:color w:val="auto"/>
          <w:kern w:val="0"/>
          <w:sz w:val="24"/>
        </w:rPr>
        <w:t>%</w:t>
      </w:r>
      <w:r>
        <w:rPr>
          <w:rFonts w:hint="eastAsia" w:ascii="宋体" w:hAnsi="宋体" w:cs="宋体"/>
          <w:bCs/>
          <w:color w:val="auto"/>
          <w:kern w:val="0"/>
          <w:sz w:val="24"/>
        </w:rPr>
        <w:t>。项目由</w:t>
      </w:r>
      <w:r>
        <w:rPr>
          <w:rFonts w:hint="eastAsia" w:ascii="宋体" w:hAnsi="宋体" w:cs="宋体"/>
          <w:bCs/>
          <w:color w:val="auto"/>
          <w:kern w:val="0"/>
          <w:sz w:val="24"/>
          <w:lang w:val="en-US" w:eastAsia="zh-CN"/>
        </w:rPr>
        <w:t>4</w:t>
      </w:r>
      <w:r>
        <w:rPr>
          <w:rFonts w:hint="eastAsia" w:ascii="宋体" w:hAnsi="宋体" w:cs="宋体"/>
          <w:bCs/>
          <w:color w:val="auto"/>
          <w:kern w:val="0"/>
          <w:sz w:val="24"/>
        </w:rPr>
        <w:t>栋商住楼组成，高层其中住宅建筑面积约</w:t>
      </w:r>
      <w:r>
        <w:rPr>
          <w:rFonts w:ascii="宋体" w:hAnsi="宋体" w:cs="宋体"/>
          <w:bCs/>
          <w:color w:val="auto"/>
          <w:kern w:val="0"/>
          <w:sz w:val="24"/>
        </w:rPr>
        <w:t xml:space="preserve"> </w:t>
      </w:r>
      <w:r>
        <w:rPr>
          <w:rFonts w:hint="eastAsia" w:ascii="宋体" w:hAnsi="宋体" w:cs="宋体"/>
          <w:bCs/>
          <w:color w:val="auto"/>
          <w:kern w:val="0"/>
          <w:sz w:val="24"/>
          <w:lang w:val="en-US" w:eastAsia="zh-CN"/>
        </w:rPr>
        <w:t>46098.70</w:t>
      </w:r>
      <w:r>
        <w:rPr>
          <w:rFonts w:hint="eastAsia" w:ascii="宋体" w:hAnsi="宋体" w:cs="宋体"/>
          <w:bCs/>
          <w:color w:val="auto"/>
          <w:kern w:val="0"/>
          <w:sz w:val="24"/>
        </w:rPr>
        <w:t>平方米。规划居住户数</w:t>
      </w:r>
      <w:r>
        <w:rPr>
          <w:rFonts w:hint="eastAsia" w:ascii="宋体" w:hAnsi="宋体" w:cs="宋体"/>
          <w:bCs/>
          <w:color w:val="auto"/>
          <w:kern w:val="0"/>
          <w:sz w:val="24"/>
          <w:lang w:val="en-US" w:eastAsia="zh-CN"/>
        </w:rPr>
        <w:t>298</w:t>
      </w:r>
      <w:r>
        <w:rPr>
          <w:rFonts w:hint="eastAsia" w:ascii="宋体" w:hAnsi="宋体" w:cs="宋体"/>
          <w:bCs/>
          <w:color w:val="auto"/>
          <w:kern w:val="0"/>
          <w:sz w:val="24"/>
        </w:rPr>
        <w:t>户，项目共配置垂直升降客梯</w:t>
      </w:r>
      <w:r>
        <w:rPr>
          <w:rFonts w:hint="eastAsia" w:ascii="宋体" w:hAnsi="宋体" w:cs="宋体"/>
          <w:bCs/>
          <w:color w:val="auto"/>
          <w:kern w:val="0"/>
          <w:sz w:val="24"/>
          <w:lang w:val="en-US" w:eastAsia="zh-CN"/>
        </w:rPr>
        <w:t>13</w:t>
      </w:r>
      <w:r>
        <w:rPr>
          <w:rFonts w:hint="eastAsia" w:ascii="宋体" w:hAnsi="宋体" w:cs="宋体"/>
          <w:bCs/>
          <w:color w:val="auto"/>
          <w:kern w:val="0"/>
          <w:sz w:val="24"/>
        </w:rPr>
        <w:t>台，地面停车位</w:t>
      </w:r>
      <w:r>
        <w:rPr>
          <w:rFonts w:hint="eastAsia" w:ascii="宋体" w:hAnsi="宋体" w:cs="宋体"/>
          <w:bCs/>
          <w:color w:val="auto"/>
          <w:kern w:val="0"/>
          <w:sz w:val="24"/>
          <w:lang w:val="en-US" w:eastAsia="zh-CN"/>
        </w:rPr>
        <w:t>3</w:t>
      </w:r>
      <w:r>
        <w:rPr>
          <w:rFonts w:ascii="宋体" w:hAnsi="宋体" w:cs="宋体"/>
          <w:bCs/>
          <w:color w:val="auto"/>
          <w:kern w:val="0"/>
          <w:sz w:val="24"/>
        </w:rPr>
        <w:t>93</w:t>
      </w:r>
      <w:r>
        <w:rPr>
          <w:rFonts w:hint="eastAsia" w:ascii="宋体" w:hAnsi="宋体" w:cs="宋体"/>
          <w:bCs/>
          <w:color w:val="auto"/>
          <w:kern w:val="0"/>
          <w:sz w:val="24"/>
        </w:rPr>
        <w:t>个。配建单独物业管理用房一栋，位于</w:t>
      </w:r>
      <w:r>
        <w:rPr>
          <w:rFonts w:ascii="宋体" w:hAnsi="宋体" w:cs="宋体"/>
          <w:bCs/>
          <w:color w:val="auto"/>
          <w:kern w:val="0"/>
          <w:sz w:val="24"/>
        </w:rPr>
        <w:t>1</w:t>
      </w:r>
      <w:r>
        <w:rPr>
          <w:rFonts w:hint="eastAsia" w:ascii="宋体" w:hAnsi="宋体" w:cs="宋体"/>
          <w:bCs/>
          <w:color w:val="auto"/>
          <w:kern w:val="0"/>
          <w:sz w:val="24"/>
        </w:rPr>
        <w:t>号楼旁。招标单位依照《湖南省实施</w:t>
      </w:r>
      <w:r>
        <w:rPr>
          <w:rFonts w:ascii="宋体" w:hAnsi="宋体" w:cs="宋体"/>
          <w:bCs/>
          <w:color w:val="auto"/>
          <w:kern w:val="0"/>
          <w:sz w:val="24"/>
        </w:rPr>
        <w:t>&lt;</w:t>
      </w:r>
      <w:r>
        <w:rPr>
          <w:rFonts w:hint="eastAsia" w:ascii="宋体" w:hAnsi="宋体" w:cs="宋体"/>
          <w:bCs/>
          <w:color w:val="auto"/>
          <w:kern w:val="0"/>
          <w:sz w:val="24"/>
        </w:rPr>
        <w:t>物业管理条例</w:t>
      </w:r>
      <w:r>
        <w:rPr>
          <w:rFonts w:ascii="宋体" w:hAnsi="宋体" w:cs="宋体"/>
          <w:bCs/>
          <w:color w:val="auto"/>
          <w:kern w:val="0"/>
          <w:sz w:val="24"/>
        </w:rPr>
        <w:t>&gt;</w:t>
      </w:r>
      <w:r>
        <w:rPr>
          <w:rFonts w:hint="eastAsia" w:ascii="宋体" w:hAnsi="宋体" w:cs="宋体"/>
          <w:bCs/>
          <w:color w:val="auto"/>
          <w:kern w:val="0"/>
          <w:sz w:val="24"/>
        </w:rPr>
        <w:t>办法》《永州市物业管理用房规定》做好装修。</w:t>
      </w:r>
    </w:p>
    <w:p>
      <w:pPr>
        <w:widowControl/>
        <w:spacing w:line="440" w:lineRule="atLeast"/>
        <w:ind w:left="239" w:firstLine="113"/>
        <w:rPr>
          <w:rFonts w:ascii="宋体" w:cs="宋体"/>
          <w:bCs/>
          <w:color w:val="auto"/>
          <w:kern w:val="0"/>
          <w:sz w:val="24"/>
        </w:rPr>
      </w:pPr>
      <w:r>
        <w:rPr>
          <w:rFonts w:hint="eastAsia" w:ascii="宋体" w:hAnsi="宋体" w:cs="宋体"/>
          <w:bCs/>
          <w:color w:val="auto"/>
          <w:kern w:val="0"/>
          <w:sz w:val="24"/>
          <w:lang w:val="en-US" w:eastAsia="zh-CN"/>
        </w:rPr>
        <w:t>第二标段的</w:t>
      </w:r>
      <w:r>
        <w:rPr>
          <w:rFonts w:hint="eastAsia" w:ascii="宋体" w:hAnsi="宋体" w:cs="宋体"/>
          <w:bCs/>
          <w:color w:val="auto"/>
          <w:kern w:val="0"/>
          <w:sz w:val="24"/>
        </w:rPr>
        <w:t>项目总占地面积</w:t>
      </w:r>
      <w:r>
        <w:rPr>
          <w:rFonts w:ascii="宋体" w:hAnsi="宋体" w:cs="宋体"/>
          <w:bCs/>
          <w:color w:val="auto"/>
          <w:kern w:val="0"/>
          <w:sz w:val="24"/>
        </w:rPr>
        <w:t>1</w:t>
      </w:r>
      <w:r>
        <w:rPr>
          <w:rFonts w:hint="eastAsia" w:ascii="宋体" w:hAnsi="宋体" w:cs="宋体"/>
          <w:bCs/>
          <w:color w:val="auto"/>
          <w:kern w:val="0"/>
          <w:sz w:val="24"/>
          <w:lang w:val="en-US" w:eastAsia="zh-CN"/>
        </w:rPr>
        <w:t>1816.08</w:t>
      </w:r>
      <w:r>
        <w:rPr>
          <w:rFonts w:hint="eastAsia" w:ascii="宋体" w:hAnsi="宋体" w:cs="宋体"/>
          <w:bCs/>
          <w:color w:val="auto"/>
          <w:kern w:val="0"/>
          <w:sz w:val="24"/>
        </w:rPr>
        <w:t>平方米，建筑面积</w:t>
      </w:r>
      <w:r>
        <w:rPr>
          <w:rFonts w:hint="eastAsia" w:ascii="宋体" w:hAnsi="宋体" w:cs="宋体"/>
          <w:bCs/>
          <w:color w:val="auto"/>
          <w:kern w:val="0"/>
          <w:sz w:val="24"/>
          <w:lang w:val="en-US" w:eastAsia="zh-CN"/>
        </w:rPr>
        <w:t>33709.96</w:t>
      </w:r>
      <w:r>
        <w:rPr>
          <w:rFonts w:hint="eastAsia" w:ascii="宋体" w:hAnsi="宋体" w:cs="宋体"/>
          <w:bCs/>
          <w:color w:val="auto"/>
          <w:kern w:val="0"/>
          <w:sz w:val="24"/>
        </w:rPr>
        <w:t>平方米，其中住宅建筑面积约</w:t>
      </w:r>
      <w:r>
        <w:rPr>
          <w:rFonts w:hint="eastAsia" w:ascii="宋体" w:hAnsi="宋体" w:cs="宋体"/>
          <w:bCs/>
          <w:color w:val="auto"/>
          <w:kern w:val="0"/>
          <w:sz w:val="24"/>
          <w:lang w:val="en-US" w:eastAsia="zh-CN"/>
        </w:rPr>
        <w:t>4692</w:t>
      </w:r>
      <w:r>
        <w:rPr>
          <w:rFonts w:hint="eastAsia" w:ascii="宋体" w:hAnsi="宋体" w:cs="宋体"/>
          <w:bCs/>
          <w:color w:val="auto"/>
          <w:kern w:val="0"/>
          <w:sz w:val="24"/>
        </w:rPr>
        <w:t>平方米，容积率：</w:t>
      </w:r>
      <w:r>
        <w:rPr>
          <w:rFonts w:ascii="宋体" w:hAnsi="宋体" w:cs="宋体"/>
          <w:bCs/>
          <w:color w:val="auto"/>
          <w:kern w:val="0"/>
          <w:sz w:val="24"/>
        </w:rPr>
        <w:t>2.</w:t>
      </w:r>
      <w:r>
        <w:rPr>
          <w:rFonts w:hint="eastAsia" w:ascii="宋体" w:hAnsi="宋体" w:cs="宋体"/>
          <w:bCs/>
          <w:color w:val="auto"/>
          <w:kern w:val="0"/>
          <w:sz w:val="24"/>
          <w:lang w:val="en-US" w:eastAsia="zh-CN"/>
        </w:rPr>
        <w:t>55</w:t>
      </w:r>
      <w:r>
        <w:rPr>
          <w:rFonts w:ascii="宋体" w:hAnsi="宋体" w:cs="宋体"/>
          <w:bCs/>
          <w:color w:val="auto"/>
          <w:kern w:val="0"/>
          <w:sz w:val="24"/>
        </w:rPr>
        <w:t>%</w:t>
      </w:r>
      <w:r>
        <w:rPr>
          <w:rFonts w:hint="eastAsia" w:ascii="宋体" w:hAnsi="宋体" w:cs="宋体"/>
          <w:bCs/>
          <w:color w:val="auto"/>
          <w:kern w:val="0"/>
          <w:sz w:val="24"/>
        </w:rPr>
        <w:t>，绿化率：</w:t>
      </w:r>
      <w:r>
        <w:rPr>
          <w:rFonts w:hint="eastAsia" w:ascii="宋体" w:hAnsi="宋体" w:cs="宋体"/>
          <w:bCs/>
          <w:color w:val="auto"/>
          <w:kern w:val="0"/>
          <w:sz w:val="24"/>
          <w:lang w:val="en-US" w:eastAsia="zh-CN"/>
        </w:rPr>
        <w:t>30.08</w:t>
      </w:r>
      <w:r>
        <w:rPr>
          <w:rFonts w:ascii="宋体" w:hAnsi="宋体" w:cs="宋体"/>
          <w:bCs/>
          <w:color w:val="auto"/>
          <w:kern w:val="0"/>
          <w:sz w:val="24"/>
        </w:rPr>
        <w:t>%</w:t>
      </w:r>
      <w:r>
        <w:rPr>
          <w:rFonts w:hint="eastAsia" w:ascii="宋体" w:hAnsi="宋体" w:cs="宋体"/>
          <w:bCs/>
          <w:color w:val="auto"/>
          <w:kern w:val="0"/>
          <w:sz w:val="24"/>
        </w:rPr>
        <w:t>，建筑密度：</w:t>
      </w:r>
      <w:r>
        <w:rPr>
          <w:rFonts w:hint="eastAsia" w:ascii="宋体" w:hAnsi="宋体" w:cs="宋体"/>
          <w:bCs/>
          <w:color w:val="auto"/>
          <w:kern w:val="0"/>
          <w:sz w:val="24"/>
          <w:lang w:val="en-US" w:eastAsia="zh-CN"/>
        </w:rPr>
        <w:t>29.95</w:t>
      </w:r>
      <w:r>
        <w:rPr>
          <w:rFonts w:ascii="宋体" w:hAnsi="宋体" w:cs="宋体"/>
          <w:bCs/>
          <w:color w:val="auto"/>
          <w:kern w:val="0"/>
          <w:sz w:val="24"/>
        </w:rPr>
        <w:t>%</w:t>
      </w:r>
      <w:r>
        <w:rPr>
          <w:rFonts w:hint="eastAsia" w:ascii="宋体" w:hAnsi="宋体" w:cs="宋体"/>
          <w:bCs/>
          <w:color w:val="auto"/>
          <w:kern w:val="0"/>
          <w:sz w:val="24"/>
        </w:rPr>
        <w:t>。项目由</w:t>
      </w:r>
      <w:r>
        <w:rPr>
          <w:rFonts w:hint="eastAsia" w:ascii="宋体" w:hAnsi="宋体" w:cs="宋体"/>
          <w:bCs/>
          <w:color w:val="auto"/>
          <w:kern w:val="0"/>
          <w:sz w:val="24"/>
          <w:lang w:val="en-US" w:eastAsia="zh-CN"/>
        </w:rPr>
        <w:t>3</w:t>
      </w:r>
      <w:r>
        <w:rPr>
          <w:rFonts w:hint="eastAsia" w:ascii="宋体" w:hAnsi="宋体" w:cs="宋体"/>
          <w:bCs/>
          <w:color w:val="auto"/>
          <w:kern w:val="0"/>
          <w:sz w:val="24"/>
        </w:rPr>
        <w:t>栋商住楼组成，高层其中住宅建筑面积约</w:t>
      </w:r>
      <w:r>
        <w:rPr>
          <w:rFonts w:hint="eastAsia" w:ascii="宋体" w:hAnsi="宋体" w:cs="宋体"/>
          <w:bCs/>
          <w:color w:val="auto"/>
          <w:kern w:val="0"/>
          <w:sz w:val="24"/>
          <w:lang w:val="en-US" w:eastAsia="zh-CN"/>
        </w:rPr>
        <w:t>4692</w:t>
      </w:r>
      <w:r>
        <w:rPr>
          <w:rFonts w:hint="eastAsia" w:ascii="宋体" w:hAnsi="宋体" w:cs="宋体"/>
          <w:bCs/>
          <w:color w:val="auto"/>
          <w:kern w:val="0"/>
          <w:sz w:val="24"/>
        </w:rPr>
        <w:t>平方米。</w:t>
      </w:r>
    </w:p>
    <w:p>
      <w:pPr>
        <w:widowControl/>
        <w:spacing w:line="440" w:lineRule="atLeast"/>
        <w:ind w:left="239" w:leftChars="114" w:firstLine="0" w:firstLineChars="0"/>
        <w:rPr>
          <w:rFonts w:hint="default" w:eastAsiaTheme="minorEastAsia"/>
          <w:color w:val="auto"/>
          <w:lang w:val="en-US" w:eastAsia="zh-CN"/>
        </w:rPr>
      </w:pPr>
      <w:r>
        <w:rPr>
          <w:rFonts w:hint="eastAsia" w:ascii="宋体" w:hAnsi="宋体" w:cs="宋体"/>
          <w:bCs/>
          <w:color w:val="auto"/>
          <w:kern w:val="0"/>
          <w:sz w:val="24"/>
        </w:rPr>
        <w:t>规划居住户数</w:t>
      </w:r>
      <w:r>
        <w:rPr>
          <w:rFonts w:hint="eastAsia" w:ascii="宋体" w:hAnsi="宋体" w:cs="宋体"/>
          <w:bCs/>
          <w:color w:val="auto"/>
          <w:kern w:val="0"/>
          <w:sz w:val="24"/>
          <w:lang w:val="en-US" w:eastAsia="zh-CN"/>
        </w:rPr>
        <w:t>58</w:t>
      </w:r>
      <w:r>
        <w:rPr>
          <w:rFonts w:hint="eastAsia" w:ascii="宋体" w:hAnsi="宋体" w:cs="宋体"/>
          <w:bCs/>
          <w:color w:val="auto"/>
          <w:kern w:val="0"/>
          <w:sz w:val="24"/>
        </w:rPr>
        <w:t>户，项目共配置垂直升降客梯</w:t>
      </w:r>
      <w:r>
        <w:rPr>
          <w:rFonts w:hint="eastAsia" w:ascii="宋体" w:hAnsi="宋体" w:cs="宋体"/>
          <w:bCs/>
          <w:color w:val="auto"/>
          <w:kern w:val="0"/>
          <w:sz w:val="24"/>
          <w:lang w:val="en-US" w:eastAsia="zh-CN"/>
        </w:rPr>
        <w:t>6</w:t>
      </w:r>
      <w:r>
        <w:rPr>
          <w:rFonts w:hint="eastAsia" w:ascii="宋体" w:hAnsi="宋体" w:cs="宋体"/>
          <w:bCs/>
          <w:color w:val="auto"/>
          <w:kern w:val="0"/>
          <w:sz w:val="24"/>
        </w:rPr>
        <w:t>台，地面停车位</w:t>
      </w:r>
      <w:r>
        <w:rPr>
          <w:rFonts w:hint="eastAsia" w:ascii="宋体" w:hAnsi="宋体" w:cs="宋体"/>
          <w:bCs/>
          <w:color w:val="auto"/>
          <w:kern w:val="0"/>
          <w:sz w:val="24"/>
          <w:lang w:val="en-US" w:eastAsia="zh-CN"/>
        </w:rPr>
        <w:t>240</w:t>
      </w:r>
      <w:r>
        <w:rPr>
          <w:rFonts w:hint="eastAsia" w:ascii="宋体" w:hAnsi="宋体" w:cs="宋体"/>
          <w:bCs/>
          <w:color w:val="auto"/>
          <w:kern w:val="0"/>
          <w:sz w:val="24"/>
        </w:rPr>
        <w:t>个。配建单独物业管理用房一栋，位于</w:t>
      </w:r>
      <w:r>
        <w:rPr>
          <w:rFonts w:ascii="宋体" w:hAnsi="宋体" w:cs="宋体"/>
          <w:bCs/>
          <w:color w:val="auto"/>
          <w:kern w:val="0"/>
          <w:sz w:val="24"/>
        </w:rPr>
        <w:t>1</w:t>
      </w:r>
      <w:r>
        <w:rPr>
          <w:rFonts w:hint="eastAsia" w:ascii="宋体" w:hAnsi="宋体" w:cs="宋体"/>
          <w:bCs/>
          <w:color w:val="auto"/>
          <w:kern w:val="0"/>
          <w:sz w:val="24"/>
        </w:rPr>
        <w:t>号楼旁。招标单位依照《湖南省实施</w:t>
      </w:r>
      <w:r>
        <w:rPr>
          <w:rFonts w:ascii="宋体" w:hAnsi="宋体" w:cs="宋体"/>
          <w:bCs/>
          <w:color w:val="auto"/>
          <w:kern w:val="0"/>
          <w:sz w:val="24"/>
        </w:rPr>
        <w:t>&lt;</w:t>
      </w:r>
      <w:r>
        <w:rPr>
          <w:rFonts w:hint="eastAsia" w:ascii="宋体" w:hAnsi="宋体" w:cs="宋体"/>
          <w:bCs/>
          <w:color w:val="auto"/>
          <w:kern w:val="0"/>
          <w:sz w:val="24"/>
        </w:rPr>
        <w:t>物业管理条例</w:t>
      </w:r>
      <w:r>
        <w:rPr>
          <w:rFonts w:ascii="宋体" w:hAnsi="宋体" w:cs="宋体"/>
          <w:bCs/>
          <w:color w:val="auto"/>
          <w:kern w:val="0"/>
          <w:sz w:val="24"/>
        </w:rPr>
        <w:t>&gt;</w:t>
      </w:r>
      <w:r>
        <w:rPr>
          <w:rFonts w:hint="eastAsia" w:ascii="宋体" w:hAnsi="宋体" w:cs="宋体"/>
          <w:bCs/>
          <w:color w:val="auto"/>
          <w:kern w:val="0"/>
          <w:sz w:val="24"/>
        </w:rPr>
        <w:t>办法》《永州市物业管理用房规定》做好装修。</w:t>
      </w:r>
    </w:p>
    <w:p>
      <w:pPr>
        <w:spacing w:line="360" w:lineRule="auto"/>
        <w:ind w:firstLine="562" w:firstLineChars="200"/>
        <w:jc w:val="left"/>
        <w:rPr>
          <w:rFonts w:ascii="宋体" w:hAnsi="宋体"/>
          <w:b/>
          <w:color w:val="auto"/>
          <w:sz w:val="28"/>
          <w:szCs w:val="28"/>
        </w:rPr>
      </w:pPr>
      <w:r>
        <w:rPr>
          <w:rFonts w:hint="eastAsia" w:ascii="宋体" w:hAnsi="宋体"/>
          <w:b/>
          <w:color w:val="auto"/>
          <w:sz w:val="28"/>
          <w:szCs w:val="28"/>
        </w:rPr>
        <w:t>2.物业服务内容</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对房屋及配套的设施设备和相关场地进行维修、养护、管理，维护物业管理区域内的环境卫生和相关秩序。具体包括:</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 xml:space="preserve"> 1)、物业共用部位的维修、养护和管理；</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 xml:space="preserve"> 2)、物业共用设施设备的运行、维修、养护和管理；</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 xml:space="preserve"> 3)、物业共用部位和相关场地的消洁卫生，垃圾的收集及雨、污水管道的疏通；</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4)、公共绿化的养护和管理；</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5)、车辆通行管理；</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 xml:space="preserve"> 6)、公共秩序维护、安全防范等事项的协助管理；</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7)、社区文化活动；</w:t>
      </w:r>
    </w:p>
    <w:p>
      <w:pPr>
        <w:spacing w:line="360" w:lineRule="auto"/>
        <w:ind w:left="210" w:leftChars="100" w:firstLine="525" w:firstLineChars="250"/>
        <w:jc w:val="left"/>
        <w:rPr>
          <w:rFonts w:ascii="宋体" w:hAnsi="宋体"/>
          <w:color w:val="auto"/>
          <w:szCs w:val="21"/>
        </w:rPr>
      </w:pPr>
      <w:r>
        <w:rPr>
          <w:rFonts w:ascii="宋体" w:hAnsi="宋体"/>
          <w:color w:val="auto"/>
          <w:szCs w:val="21"/>
        </w:rPr>
        <w:t>8)、物业档案资料管理。</w:t>
      </w:r>
      <w:r>
        <w:rPr>
          <w:rFonts w:ascii="宋体" w:hAnsi="宋体"/>
          <w:color w:val="auto"/>
          <w:szCs w:val="21"/>
        </w:rPr>
        <w:br w:type="textWrapping"/>
      </w:r>
      <w:r>
        <w:rPr>
          <w:rFonts w:ascii="宋体" w:hAnsi="宋体"/>
          <w:color w:val="auto"/>
          <w:szCs w:val="21"/>
        </w:rPr>
        <w:t>物业共用部位共用设施设备的界定以省建设厅文件为准，</w:t>
      </w:r>
      <w:r>
        <w:rPr>
          <w:rFonts w:ascii="宋体" w:hAnsi="宋体"/>
          <w:color w:val="auto"/>
          <w:szCs w:val="21"/>
        </w:rPr>
        <w:br w:type="textWrapping"/>
      </w:r>
      <w:r>
        <w:rPr>
          <w:rFonts w:hint="eastAsia" w:ascii="宋体" w:hAnsi="宋体"/>
          <w:b/>
          <w:color w:val="auto"/>
          <w:sz w:val="28"/>
          <w:szCs w:val="28"/>
        </w:rPr>
        <w:t xml:space="preserve">    </w:t>
      </w:r>
      <w:r>
        <w:rPr>
          <w:rFonts w:ascii="宋体" w:hAnsi="宋体"/>
          <w:b/>
          <w:color w:val="auto"/>
          <w:sz w:val="28"/>
          <w:szCs w:val="28"/>
        </w:rPr>
        <w:t>3.物业服务基本要求</w:t>
      </w:r>
      <w:r>
        <w:rPr>
          <w:rFonts w:ascii="宋体" w:hAnsi="宋体"/>
          <w:color w:val="auto"/>
          <w:szCs w:val="21"/>
        </w:rPr>
        <w:br w:type="textWrapping"/>
      </w:r>
      <w:r>
        <w:rPr>
          <w:rFonts w:hint="eastAsia" w:ascii="宋体" w:hAnsi="宋体"/>
          <w:color w:val="auto"/>
          <w:szCs w:val="21"/>
        </w:rPr>
        <w:t xml:space="preserve">     </w:t>
      </w:r>
      <w:r>
        <w:rPr>
          <w:rFonts w:ascii="宋体" w:hAnsi="宋体"/>
          <w:color w:val="auto"/>
          <w:szCs w:val="21"/>
        </w:rPr>
        <w:t>1)、按专业化的要求配置管理服务人员</w:t>
      </w:r>
      <w:r>
        <w:rPr>
          <w:rFonts w:hint="eastAsia" w:ascii="宋体" w:hAnsi="宋体"/>
          <w:color w:val="auto"/>
          <w:szCs w:val="21"/>
        </w:rPr>
        <w:t>；</w:t>
      </w:r>
    </w:p>
    <w:p>
      <w:pPr>
        <w:spacing w:line="360" w:lineRule="auto"/>
        <w:ind w:left="210" w:leftChars="100" w:firstLine="525" w:firstLineChars="250"/>
        <w:jc w:val="left"/>
        <w:rPr>
          <w:rFonts w:ascii="宋体" w:hAnsi="宋体"/>
          <w:color w:val="auto"/>
          <w:szCs w:val="21"/>
        </w:rPr>
      </w:pPr>
      <w:r>
        <w:rPr>
          <w:rFonts w:ascii="宋体" w:hAnsi="宋体"/>
          <w:color w:val="auto"/>
          <w:szCs w:val="21"/>
        </w:rPr>
        <w:t>2)、物业管理服务与收费质价相符。</w:t>
      </w:r>
    </w:p>
    <w:p>
      <w:pPr>
        <w:spacing w:line="360" w:lineRule="auto"/>
        <w:ind w:firstLine="703" w:firstLineChars="250"/>
        <w:jc w:val="left"/>
        <w:rPr>
          <w:rFonts w:ascii="宋体" w:hAnsi="宋体"/>
          <w:b/>
          <w:color w:val="auto"/>
          <w:sz w:val="28"/>
          <w:szCs w:val="28"/>
        </w:rPr>
      </w:pPr>
      <w:r>
        <w:rPr>
          <w:rFonts w:hint="eastAsia" w:ascii="宋体" w:hAnsi="宋体"/>
          <w:b/>
          <w:color w:val="auto"/>
          <w:sz w:val="28"/>
          <w:szCs w:val="28"/>
        </w:rPr>
        <w:t>4.物业服务质量标准</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4.1物业服务质量标准从《湖南省物业服务收费管理办法》附件一《湖南省住宅物业服务分项目分等级基准价标准》中选取相应服务标准等级，相应等级选择如下:</w:t>
      </w:r>
    </w:p>
    <w:tbl>
      <w:tblPr>
        <w:tblStyle w:val="10"/>
        <w:tblW w:w="7591" w:type="dxa"/>
        <w:jc w:val="center"/>
        <w:tblInd w:w="0" w:type="dxa"/>
        <w:tblLayout w:type="fixed"/>
        <w:tblCellMar>
          <w:top w:w="15" w:type="dxa"/>
          <w:left w:w="15" w:type="dxa"/>
          <w:bottom w:w="15" w:type="dxa"/>
          <w:right w:w="15" w:type="dxa"/>
        </w:tblCellMar>
      </w:tblPr>
      <w:tblGrid>
        <w:gridCol w:w="2768"/>
        <w:gridCol w:w="2067"/>
        <w:gridCol w:w="2756"/>
      </w:tblGrid>
      <w:tr>
        <w:tblPrEx>
          <w:tblLayout w:type="fixed"/>
          <w:tblCellMar>
            <w:top w:w="15" w:type="dxa"/>
            <w:left w:w="15" w:type="dxa"/>
            <w:bottom w:w="15" w:type="dxa"/>
            <w:right w:w="15" w:type="dxa"/>
          </w:tblCellMar>
        </w:tblPrEx>
        <w:trPr>
          <w:trHeight w:val="527" w:hRule="atLeast"/>
          <w:jc w:val="center"/>
        </w:trPr>
        <w:tc>
          <w:tcPr>
            <w:tcW w:w="483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服务项目</w:t>
            </w:r>
          </w:p>
        </w:tc>
        <w:tc>
          <w:tcPr>
            <w:tcW w:w="27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服务等级</w:t>
            </w:r>
          </w:p>
        </w:tc>
      </w:tr>
      <w:tr>
        <w:tblPrEx>
          <w:tblLayout w:type="fixed"/>
          <w:tblCellMar>
            <w:top w:w="15" w:type="dxa"/>
            <w:left w:w="15" w:type="dxa"/>
            <w:bottom w:w="15" w:type="dxa"/>
            <w:right w:w="15" w:type="dxa"/>
          </w:tblCellMar>
        </w:tblPrEx>
        <w:trPr>
          <w:trHeight w:val="527" w:hRule="atLeast"/>
          <w:jc w:val="center"/>
        </w:trPr>
        <w:tc>
          <w:tcPr>
            <w:tcW w:w="4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综合管理</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三级</w:t>
            </w:r>
          </w:p>
        </w:tc>
      </w:tr>
      <w:tr>
        <w:tblPrEx>
          <w:tblLayout w:type="fixed"/>
          <w:tblCellMar>
            <w:top w:w="15" w:type="dxa"/>
            <w:left w:w="15" w:type="dxa"/>
            <w:bottom w:w="15" w:type="dxa"/>
            <w:right w:w="15" w:type="dxa"/>
          </w:tblCellMar>
        </w:tblPrEx>
        <w:trPr>
          <w:trHeight w:val="527" w:hRule="atLeast"/>
          <w:jc w:val="center"/>
        </w:trPr>
        <w:tc>
          <w:tcPr>
            <w:tcW w:w="4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公共区域清洁卫生服务</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8" w:hRule="atLeast"/>
          <w:jc w:val="center"/>
        </w:trPr>
        <w:tc>
          <w:tcPr>
            <w:tcW w:w="4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公共区域秩序维护服务</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7" w:hRule="atLeast"/>
          <w:jc w:val="center"/>
        </w:trPr>
        <w:tc>
          <w:tcPr>
            <w:tcW w:w="483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公共区域绿化日常养护服务</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7" w:hRule="atLeast"/>
          <w:jc w:val="center"/>
        </w:trPr>
        <w:tc>
          <w:tcPr>
            <w:tcW w:w="2768" w:type="dxa"/>
            <w:vMerge w:val="restart"/>
            <w:tcBorders>
              <w:top w:val="nil"/>
              <w:left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共用部位、共用设备设施日常运行、保养、维修服务</w:t>
            </w: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公共部位</w:t>
            </w:r>
          </w:p>
        </w:tc>
        <w:tc>
          <w:tcPr>
            <w:tcW w:w="27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8" w:hRule="atLeast"/>
          <w:jc w:val="center"/>
        </w:trPr>
        <w:tc>
          <w:tcPr>
            <w:tcW w:w="276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供水系统</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7" w:hRule="atLeast"/>
          <w:jc w:val="center"/>
        </w:trPr>
        <w:tc>
          <w:tcPr>
            <w:tcW w:w="276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排水系统</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不划分等级</w:t>
            </w:r>
          </w:p>
        </w:tc>
      </w:tr>
      <w:tr>
        <w:tblPrEx>
          <w:tblLayout w:type="fixed"/>
          <w:tblCellMar>
            <w:top w:w="15" w:type="dxa"/>
            <w:left w:w="15" w:type="dxa"/>
            <w:bottom w:w="15" w:type="dxa"/>
            <w:right w:w="15" w:type="dxa"/>
          </w:tblCellMar>
        </w:tblPrEx>
        <w:trPr>
          <w:trHeight w:val="527" w:hRule="atLeast"/>
          <w:jc w:val="center"/>
        </w:trPr>
        <w:tc>
          <w:tcPr>
            <w:tcW w:w="276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公共照明</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8" w:hRule="atLeast"/>
          <w:jc w:val="center"/>
        </w:trPr>
        <w:tc>
          <w:tcPr>
            <w:tcW w:w="276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消防系统</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7" w:hRule="atLeast"/>
          <w:jc w:val="center"/>
        </w:trPr>
        <w:tc>
          <w:tcPr>
            <w:tcW w:w="276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避雷系统</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不划分等级</w:t>
            </w:r>
          </w:p>
        </w:tc>
      </w:tr>
      <w:tr>
        <w:tblPrEx>
          <w:tblLayout w:type="fixed"/>
          <w:tblCellMar>
            <w:top w:w="15" w:type="dxa"/>
            <w:left w:w="15" w:type="dxa"/>
            <w:bottom w:w="15" w:type="dxa"/>
            <w:right w:w="15" w:type="dxa"/>
          </w:tblCellMar>
        </w:tblPrEx>
        <w:trPr>
          <w:trHeight w:val="527" w:hRule="atLeast"/>
          <w:jc w:val="center"/>
        </w:trPr>
        <w:tc>
          <w:tcPr>
            <w:tcW w:w="2768"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弱电系统</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二级</w:t>
            </w:r>
          </w:p>
        </w:tc>
      </w:tr>
      <w:tr>
        <w:tblPrEx>
          <w:tblLayout w:type="fixed"/>
          <w:tblCellMar>
            <w:top w:w="15" w:type="dxa"/>
            <w:left w:w="15" w:type="dxa"/>
            <w:bottom w:w="15" w:type="dxa"/>
            <w:right w:w="15" w:type="dxa"/>
          </w:tblCellMar>
        </w:tblPrEx>
        <w:trPr>
          <w:trHeight w:val="520" w:hRule="atLeast"/>
          <w:jc w:val="center"/>
        </w:trPr>
        <w:tc>
          <w:tcPr>
            <w:tcW w:w="2768"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Times New Roman" w:hAnsi="Times New Roman" w:eastAsia="宋体" w:cs="Times New Roman"/>
                <w:color w:val="auto"/>
                <w:kern w:val="0"/>
                <w:sz w:val="20"/>
                <w:szCs w:val="20"/>
              </w:rPr>
            </w:pPr>
          </w:p>
        </w:tc>
        <w:tc>
          <w:tcPr>
            <w:tcW w:w="20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电梯系统</w:t>
            </w:r>
          </w:p>
        </w:tc>
        <w:tc>
          <w:tcPr>
            <w:tcW w:w="27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Cs w:val="21"/>
              </w:rPr>
              <w:t>不划分等级</w:t>
            </w:r>
          </w:p>
        </w:tc>
      </w:tr>
    </w:tbl>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4.2物业服务标准具体陈述(如与《湖南省物业服务收费管理办法》附件一之陈述不一致的，以办法附件一之陈述为准)：</w:t>
      </w:r>
    </w:p>
    <w:p>
      <w:pPr>
        <w:spacing w:line="360" w:lineRule="auto"/>
        <w:ind w:firstLine="211" w:firstLineChars="100"/>
        <w:jc w:val="left"/>
        <w:rPr>
          <w:rFonts w:ascii="宋体" w:hAnsi="宋体"/>
          <w:b/>
          <w:color w:val="auto"/>
          <w:szCs w:val="21"/>
        </w:rPr>
      </w:pPr>
      <w:r>
        <w:rPr>
          <w:rFonts w:hint="eastAsia" w:ascii="宋体" w:hAnsi="宋体"/>
          <w:b/>
          <w:color w:val="auto"/>
          <w:szCs w:val="21"/>
        </w:rPr>
        <w:t>一)综合管理服务标准</w:t>
      </w:r>
    </w:p>
    <w:p>
      <w:pPr>
        <w:spacing w:line="360" w:lineRule="auto"/>
        <w:ind w:firstLine="211" w:firstLineChars="100"/>
        <w:jc w:val="left"/>
        <w:rPr>
          <w:rFonts w:ascii="宋体" w:hAnsi="宋体"/>
          <w:b/>
          <w:color w:val="auto"/>
          <w:szCs w:val="21"/>
        </w:rPr>
      </w:pPr>
      <w:r>
        <w:rPr>
          <w:rFonts w:hint="eastAsia" w:ascii="宋体" w:hAnsi="宋体"/>
          <w:b/>
          <w:color w:val="auto"/>
          <w:szCs w:val="21"/>
        </w:rPr>
        <w:t>1. 管理处设置</w:t>
      </w:r>
    </w:p>
    <w:p>
      <w:pPr>
        <w:spacing w:line="360" w:lineRule="auto"/>
        <w:ind w:firstLine="630" w:firstLineChars="300"/>
        <w:jc w:val="left"/>
        <w:rPr>
          <w:rFonts w:ascii="宋体" w:hAnsi="宋体"/>
          <w:color w:val="auto"/>
          <w:szCs w:val="21"/>
        </w:rPr>
      </w:pPr>
      <w:r>
        <w:rPr>
          <w:rFonts w:hint="eastAsia" w:ascii="宋体" w:hAnsi="宋体"/>
          <w:color w:val="auto"/>
          <w:szCs w:val="21"/>
        </w:rPr>
        <w:t>(1)小区内设置管理处。</w:t>
      </w:r>
    </w:p>
    <w:p>
      <w:pPr>
        <w:spacing w:line="360" w:lineRule="auto"/>
        <w:ind w:firstLine="630" w:firstLineChars="300"/>
        <w:jc w:val="left"/>
        <w:rPr>
          <w:rFonts w:ascii="宋体" w:hAnsi="宋体"/>
          <w:color w:val="auto"/>
          <w:szCs w:val="21"/>
        </w:rPr>
      </w:pPr>
      <w:r>
        <w:rPr>
          <w:rFonts w:hint="eastAsia" w:ascii="宋体" w:hAnsi="宋体"/>
          <w:color w:val="auto"/>
          <w:szCs w:val="21"/>
        </w:rPr>
        <w:t>(2)办公场所整洁有序。</w:t>
      </w:r>
    </w:p>
    <w:p>
      <w:pPr>
        <w:spacing w:line="360" w:lineRule="auto"/>
        <w:ind w:firstLine="630" w:firstLineChars="300"/>
        <w:jc w:val="left"/>
        <w:rPr>
          <w:rFonts w:ascii="宋体" w:hAnsi="宋体"/>
          <w:color w:val="auto"/>
          <w:szCs w:val="21"/>
        </w:rPr>
      </w:pPr>
      <w:r>
        <w:rPr>
          <w:rFonts w:hint="eastAsia" w:ascii="宋体" w:hAnsi="宋体"/>
          <w:color w:val="auto"/>
          <w:szCs w:val="21"/>
        </w:rPr>
        <w:t>(3)配置一般的办公用品(如办公家具，电话等)。</w:t>
      </w:r>
    </w:p>
    <w:p>
      <w:pPr>
        <w:spacing w:line="360" w:lineRule="auto"/>
        <w:ind w:firstLine="316" w:firstLineChars="150"/>
        <w:jc w:val="left"/>
        <w:rPr>
          <w:rFonts w:ascii="宋体" w:hAnsi="宋体"/>
          <w:b/>
          <w:color w:val="auto"/>
          <w:szCs w:val="21"/>
        </w:rPr>
      </w:pPr>
      <w:r>
        <w:rPr>
          <w:rFonts w:hint="eastAsia" w:ascii="宋体" w:hAnsi="宋体"/>
          <w:b/>
          <w:color w:val="auto"/>
          <w:szCs w:val="21"/>
        </w:rPr>
        <w:t>2.管理人员要求</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(1)小区经理持证上岗，有三年以上小区经理任职经历。</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(2)管理人员服装统一，挂牌上岗，仪表整洁规范。</w:t>
      </w:r>
    </w:p>
    <w:p>
      <w:pPr>
        <w:spacing w:line="360" w:lineRule="auto"/>
        <w:ind w:firstLine="316" w:firstLineChars="150"/>
        <w:jc w:val="left"/>
        <w:rPr>
          <w:rFonts w:ascii="宋体" w:hAnsi="宋体"/>
          <w:color w:val="auto"/>
          <w:szCs w:val="21"/>
        </w:rPr>
      </w:pPr>
      <w:r>
        <w:rPr>
          <w:rFonts w:hint="eastAsia" w:ascii="宋体" w:hAnsi="宋体"/>
          <w:b/>
          <w:color w:val="auto"/>
          <w:szCs w:val="21"/>
        </w:rPr>
        <w:t>3.服务时间:</w:t>
      </w:r>
      <w:r>
        <w:rPr>
          <w:rFonts w:hint="eastAsia" w:ascii="宋体" w:hAnsi="宋体"/>
          <w:color w:val="auto"/>
          <w:szCs w:val="21"/>
        </w:rPr>
        <w:t xml:space="preserve"> 周一至周日在管理处进行业务接待，并提供服务。</w:t>
      </w:r>
    </w:p>
    <w:p>
      <w:pPr>
        <w:spacing w:line="360" w:lineRule="auto"/>
        <w:ind w:firstLine="316" w:firstLineChars="150"/>
        <w:jc w:val="left"/>
        <w:rPr>
          <w:rFonts w:ascii="宋体" w:hAnsi="宋体"/>
          <w:b/>
          <w:color w:val="auto"/>
          <w:szCs w:val="21"/>
        </w:rPr>
      </w:pPr>
      <w:r>
        <w:rPr>
          <w:rFonts w:hint="eastAsia" w:ascii="宋体" w:hAnsi="宋体"/>
          <w:b/>
          <w:color w:val="auto"/>
          <w:szCs w:val="21"/>
        </w:rPr>
        <w:t>4.日常管理与服务</w:t>
      </w:r>
    </w:p>
    <w:p>
      <w:pPr>
        <w:spacing w:line="360" w:lineRule="auto"/>
        <w:ind w:firstLine="630" w:firstLineChars="300"/>
        <w:jc w:val="left"/>
        <w:rPr>
          <w:rFonts w:ascii="宋体" w:hAnsi="宋体"/>
          <w:color w:val="auto"/>
          <w:szCs w:val="21"/>
        </w:rPr>
      </w:pPr>
      <w:r>
        <w:rPr>
          <w:rFonts w:hint="eastAsia" w:ascii="宋体" w:hAnsi="宋体"/>
          <w:color w:val="auto"/>
          <w:szCs w:val="21"/>
        </w:rPr>
        <w:t>(1)服务规范应符合物业管理行业规范要求。</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(2) 24小时受理业主或使用人报修。急修半小时内到现场处理，一般修理一天内完成(预约除外)。</w:t>
      </w:r>
    </w:p>
    <w:p>
      <w:pPr>
        <w:spacing w:line="360" w:lineRule="auto"/>
        <w:ind w:firstLine="630" w:firstLineChars="300"/>
        <w:jc w:val="left"/>
        <w:rPr>
          <w:rFonts w:ascii="宋体" w:hAnsi="宋体"/>
          <w:color w:val="auto"/>
          <w:szCs w:val="21"/>
        </w:rPr>
      </w:pPr>
      <w:r>
        <w:rPr>
          <w:rFonts w:hint="eastAsia" w:ascii="宋体" w:hAnsi="宋体"/>
          <w:color w:val="auto"/>
          <w:szCs w:val="21"/>
        </w:rPr>
        <w:t>(3)对业主或使用人的投诉在三天内答复处理。</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(4)制定小区房屋装修申请、审批、巡视、验收等装修管理制度，建立业主或使用人房屋装修档案，对不符合规定的行为、现象及时劝阻、制止或报告。</w:t>
      </w:r>
    </w:p>
    <w:p>
      <w:pPr>
        <w:spacing w:line="360" w:lineRule="auto"/>
        <w:ind w:firstLine="630" w:firstLineChars="300"/>
        <w:jc w:val="left"/>
        <w:rPr>
          <w:rFonts w:ascii="宋体" w:hAnsi="宋体"/>
          <w:color w:val="auto"/>
          <w:szCs w:val="21"/>
        </w:rPr>
      </w:pPr>
      <w:r>
        <w:rPr>
          <w:rFonts w:hint="eastAsia" w:ascii="宋体" w:hAnsi="宋体"/>
          <w:color w:val="auto"/>
          <w:szCs w:val="21"/>
        </w:rPr>
        <w:t>(5)建立健全的财务管理制度，对物业服务费和其它费用的收支进行财务管理，做到运作规范，账目清晰。</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(6)建立小区物业管理档案[包括物业竣工验收档案、设备管理档案、业主资料档案(含业主房屋装修档案)等]。</w:t>
      </w:r>
    </w:p>
    <w:p>
      <w:pPr>
        <w:spacing w:line="360" w:lineRule="auto"/>
        <w:ind w:firstLine="630" w:firstLineChars="300"/>
        <w:jc w:val="left"/>
        <w:rPr>
          <w:rFonts w:ascii="宋体" w:hAnsi="宋体"/>
          <w:color w:val="auto"/>
          <w:szCs w:val="21"/>
        </w:rPr>
      </w:pPr>
      <w:r>
        <w:rPr>
          <w:rFonts w:hint="eastAsia" w:ascii="宋体" w:hAnsi="宋体"/>
          <w:color w:val="auto"/>
          <w:szCs w:val="21"/>
        </w:rPr>
        <w:t>(7)制定小区物业管理与物业服务工作计划，并组织实施。</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(8)可采取走访、恳谈会、问卷调查、通讯等多种形式与业主或使用人进行沟通，每年的沟通面不低于小区住户的60%。</w:t>
      </w:r>
    </w:p>
    <w:p>
      <w:pPr>
        <w:spacing w:line="360" w:lineRule="auto"/>
        <w:ind w:firstLine="630" w:firstLineChars="300"/>
        <w:jc w:val="left"/>
        <w:rPr>
          <w:rFonts w:ascii="宋体" w:hAnsi="宋体"/>
          <w:color w:val="auto"/>
          <w:szCs w:val="21"/>
        </w:rPr>
      </w:pPr>
      <w:r>
        <w:rPr>
          <w:rFonts w:hint="eastAsia" w:ascii="宋体" w:hAnsi="宋体"/>
          <w:color w:val="auto"/>
          <w:szCs w:val="21"/>
        </w:rPr>
        <w:t>(9)建立管理处内部管理制度和考核制度。</w:t>
      </w:r>
    </w:p>
    <w:p>
      <w:pPr>
        <w:spacing w:line="360" w:lineRule="auto"/>
        <w:ind w:firstLine="630" w:firstLineChars="300"/>
        <w:jc w:val="left"/>
        <w:rPr>
          <w:rFonts w:ascii="宋体" w:hAnsi="宋体"/>
          <w:color w:val="auto"/>
          <w:szCs w:val="21"/>
        </w:rPr>
      </w:pPr>
      <w:r>
        <w:rPr>
          <w:rFonts w:hint="eastAsia" w:ascii="宋体" w:hAnsi="宋体"/>
          <w:color w:val="auto"/>
          <w:szCs w:val="21"/>
        </w:rPr>
        <w:t>(10)服务窗口应公开办事制度、办事纪律、收费项目和标准。</w:t>
      </w:r>
    </w:p>
    <w:p>
      <w:pPr>
        <w:spacing w:line="360" w:lineRule="auto"/>
        <w:ind w:firstLine="630" w:firstLineChars="300"/>
        <w:jc w:val="left"/>
        <w:rPr>
          <w:rFonts w:ascii="宋体" w:hAnsi="宋体"/>
          <w:color w:val="auto"/>
          <w:szCs w:val="21"/>
        </w:rPr>
      </w:pPr>
      <w:r>
        <w:rPr>
          <w:rFonts w:hint="eastAsia" w:ascii="宋体" w:hAnsi="宋体"/>
          <w:color w:val="auto"/>
          <w:szCs w:val="21"/>
        </w:rPr>
        <w:t>(11)能提供二种以上特约服务(有偿)和二种以上便民(无偿)服务。</w:t>
      </w:r>
    </w:p>
    <w:p>
      <w:pPr>
        <w:spacing w:line="360" w:lineRule="auto"/>
        <w:ind w:firstLine="630" w:firstLineChars="300"/>
        <w:jc w:val="left"/>
        <w:rPr>
          <w:rFonts w:ascii="宋体" w:hAnsi="宋体"/>
          <w:color w:val="auto"/>
          <w:szCs w:val="21"/>
        </w:rPr>
      </w:pPr>
      <w:r>
        <w:rPr>
          <w:rFonts w:hint="eastAsia" w:ascii="宋体" w:hAnsi="宋体"/>
          <w:color w:val="auto"/>
          <w:szCs w:val="21"/>
        </w:rPr>
        <w:t>(12)综合管理的其它服务项目达到约定的服务标准。</w:t>
      </w:r>
    </w:p>
    <w:p>
      <w:pPr>
        <w:spacing w:line="360" w:lineRule="auto"/>
        <w:ind w:left="210" w:leftChars="100" w:firstLine="420" w:firstLineChars="200"/>
        <w:jc w:val="left"/>
        <w:rPr>
          <w:rFonts w:ascii="宋体" w:hAnsi="宋体"/>
          <w:color w:val="auto"/>
          <w:szCs w:val="21"/>
        </w:rPr>
      </w:pPr>
      <w:r>
        <w:rPr>
          <w:rFonts w:hint="eastAsia" w:ascii="宋体" w:hAnsi="宋体"/>
          <w:color w:val="auto"/>
          <w:szCs w:val="21"/>
        </w:rPr>
        <w:t>(13)对违反管理规约(临时管理规约)或政府有关规定的行为进行劝阻、制止或报有关部门处理。</w:t>
      </w:r>
    </w:p>
    <w:p>
      <w:pPr>
        <w:spacing w:line="360" w:lineRule="auto"/>
        <w:ind w:firstLine="211" w:firstLineChars="100"/>
        <w:jc w:val="left"/>
        <w:rPr>
          <w:rFonts w:ascii="宋体" w:hAnsi="宋体"/>
          <w:b/>
          <w:color w:val="auto"/>
          <w:szCs w:val="21"/>
        </w:rPr>
      </w:pPr>
      <w:r>
        <w:rPr>
          <w:rFonts w:hint="eastAsia" w:ascii="宋体" w:hAnsi="宋体"/>
          <w:b/>
          <w:color w:val="auto"/>
          <w:szCs w:val="21"/>
        </w:rPr>
        <w:t>二)公共区城清洁卫生服务标准</w:t>
      </w:r>
    </w:p>
    <w:p>
      <w:pPr>
        <w:spacing w:line="360" w:lineRule="auto"/>
        <w:ind w:firstLine="211" w:firstLineChars="100"/>
        <w:jc w:val="left"/>
        <w:rPr>
          <w:rFonts w:ascii="宋体" w:hAnsi="宋体"/>
          <w:b/>
          <w:color w:val="auto"/>
          <w:szCs w:val="21"/>
        </w:rPr>
      </w:pPr>
      <w:r>
        <w:rPr>
          <w:rFonts w:hint="eastAsia" w:ascii="宋体" w:hAnsi="宋体"/>
          <w:b/>
          <w:color w:val="auto"/>
          <w:szCs w:val="21"/>
        </w:rPr>
        <w:t>1.地面</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每日清扫一次，其中门厅每日清扫二次，隔日拖洗一次，地面清洁。</w:t>
      </w:r>
    </w:p>
    <w:p>
      <w:pPr>
        <w:spacing w:line="360" w:lineRule="auto"/>
        <w:ind w:firstLine="211" w:firstLineChars="100"/>
        <w:jc w:val="left"/>
        <w:rPr>
          <w:rFonts w:ascii="宋体" w:hAnsi="宋体"/>
          <w:b/>
          <w:color w:val="auto"/>
          <w:szCs w:val="21"/>
        </w:rPr>
      </w:pPr>
      <w:r>
        <w:rPr>
          <w:rFonts w:hint="eastAsia" w:ascii="宋体" w:hAnsi="宋体"/>
          <w:b/>
          <w:color w:val="auto"/>
          <w:szCs w:val="21"/>
        </w:rPr>
        <w:t>2.楼梯扶手、栏杆、窗台</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每周擦抹二次，保持基本无灰尘。</w:t>
      </w:r>
    </w:p>
    <w:p>
      <w:pPr>
        <w:spacing w:line="360" w:lineRule="auto"/>
        <w:ind w:firstLine="211" w:firstLineChars="100"/>
        <w:jc w:val="left"/>
        <w:rPr>
          <w:rFonts w:ascii="宋体" w:hAnsi="宋体"/>
          <w:b/>
          <w:color w:val="auto"/>
          <w:szCs w:val="21"/>
        </w:rPr>
      </w:pPr>
      <w:r>
        <w:rPr>
          <w:rFonts w:hint="eastAsia" w:ascii="宋体" w:hAnsi="宋体"/>
          <w:b/>
          <w:color w:val="auto"/>
          <w:szCs w:val="21"/>
        </w:rPr>
        <w:t>3. 消防栓、指示牌等公共设施</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每周擦抹一次，外表基本无灰尘、无污渍。</w:t>
      </w:r>
    </w:p>
    <w:p>
      <w:pPr>
        <w:spacing w:line="360" w:lineRule="auto"/>
        <w:ind w:firstLine="211" w:firstLineChars="100"/>
        <w:jc w:val="left"/>
        <w:rPr>
          <w:rFonts w:ascii="宋体" w:hAnsi="宋体"/>
          <w:b/>
          <w:color w:val="auto"/>
          <w:szCs w:val="21"/>
        </w:rPr>
      </w:pPr>
      <w:r>
        <w:rPr>
          <w:rFonts w:hint="eastAsia" w:ascii="宋体" w:hAnsi="宋体"/>
          <w:b/>
          <w:color w:val="auto"/>
          <w:szCs w:val="21"/>
        </w:rPr>
        <w:t>4.天花板、公共灯具</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每季除尘一次，目视基本无灰尘、无蜘蛛网。</w:t>
      </w:r>
    </w:p>
    <w:p>
      <w:pPr>
        <w:spacing w:line="360" w:lineRule="auto"/>
        <w:ind w:firstLine="211" w:firstLineChars="100"/>
        <w:jc w:val="left"/>
        <w:rPr>
          <w:rFonts w:ascii="宋体" w:hAnsi="宋体"/>
          <w:b/>
          <w:color w:val="auto"/>
          <w:szCs w:val="21"/>
        </w:rPr>
      </w:pPr>
      <w:r>
        <w:rPr>
          <w:rFonts w:hint="eastAsia" w:ascii="宋体" w:hAnsi="宋体"/>
          <w:b/>
          <w:color w:val="auto"/>
          <w:szCs w:val="21"/>
        </w:rPr>
        <w:t>5. 门、窗等玻璃</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每月擦拭一次，其中门厅玻璃每月二次，目视明亮无污迹。</w:t>
      </w:r>
    </w:p>
    <w:p>
      <w:pPr>
        <w:spacing w:line="360" w:lineRule="auto"/>
        <w:ind w:firstLine="211" w:firstLineChars="100"/>
        <w:jc w:val="left"/>
        <w:rPr>
          <w:rFonts w:ascii="宋体" w:hAnsi="宋体"/>
          <w:b/>
          <w:color w:val="auto"/>
          <w:szCs w:val="21"/>
        </w:rPr>
      </w:pPr>
      <w:r>
        <w:rPr>
          <w:rFonts w:hint="eastAsia" w:ascii="宋体" w:hAnsi="宋体"/>
          <w:b/>
          <w:color w:val="auto"/>
          <w:szCs w:val="21"/>
        </w:rPr>
        <w:t>6.天台、屋顶</w:t>
      </w:r>
    </w:p>
    <w:p>
      <w:pPr>
        <w:spacing w:line="360" w:lineRule="auto"/>
        <w:ind w:left="210" w:leftChars="100" w:firstLine="525" w:firstLineChars="250"/>
        <w:jc w:val="left"/>
        <w:rPr>
          <w:rFonts w:ascii="宋体" w:hAnsi="宋体"/>
          <w:color w:val="auto"/>
          <w:szCs w:val="21"/>
        </w:rPr>
      </w:pPr>
      <w:r>
        <w:rPr>
          <w:rFonts w:hint="eastAsia" w:ascii="宋体" w:hAnsi="宋体"/>
          <w:color w:val="auto"/>
          <w:szCs w:val="21"/>
        </w:rPr>
        <w:t>保持清洁、无垃级。</w:t>
      </w:r>
    </w:p>
    <w:p>
      <w:pPr>
        <w:spacing w:line="360" w:lineRule="auto"/>
        <w:jc w:val="left"/>
        <w:rPr>
          <w:rFonts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7. 垃圾收集</w:t>
      </w:r>
    </w:p>
    <w:p>
      <w:pPr>
        <w:spacing w:line="360" w:lineRule="auto"/>
        <w:jc w:val="left"/>
        <w:rPr>
          <w:rFonts w:ascii="宋体" w:hAnsi="宋体"/>
          <w:color w:val="auto"/>
          <w:szCs w:val="21"/>
        </w:rPr>
      </w:pPr>
      <w:r>
        <w:rPr>
          <w:rFonts w:hint="eastAsia" w:ascii="宋体" w:hAnsi="宋体"/>
          <w:color w:val="auto"/>
          <w:szCs w:val="21"/>
        </w:rPr>
        <w:t xml:space="preserve">       高层按幢设置垃投收集点，多层按物业管理需要配置收集点，收集点每日清理二次，收集点周围地面无散落垃圾，无污迹，无明显异味。</w:t>
      </w:r>
    </w:p>
    <w:p>
      <w:pPr>
        <w:spacing w:line="360" w:lineRule="auto"/>
        <w:ind w:firstLine="211" w:firstLineChars="100"/>
        <w:jc w:val="left"/>
        <w:rPr>
          <w:rFonts w:ascii="宋体" w:hAnsi="宋体"/>
          <w:b/>
          <w:color w:val="auto"/>
          <w:szCs w:val="21"/>
        </w:rPr>
      </w:pPr>
      <w:r>
        <w:rPr>
          <w:rFonts w:hint="eastAsia" w:ascii="宋体" w:hAnsi="宋体"/>
          <w:b/>
          <w:color w:val="auto"/>
          <w:szCs w:val="21"/>
        </w:rPr>
        <w:t xml:space="preserve">8. 电梯轿厢 </w:t>
      </w:r>
    </w:p>
    <w:p>
      <w:pPr>
        <w:spacing w:line="360" w:lineRule="auto"/>
        <w:jc w:val="left"/>
        <w:rPr>
          <w:rFonts w:ascii="宋体" w:hAnsi="宋体"/>
          <w:color w:val="auto"/>
          <w:szCs w:val="21"/>
        </w:rPr>
      </w:pPr>
      <w:r>
        <w:rPr>
          <w:rFonts w:hint="eastAsia" w:ascii="宋体" w:hAnsi="宋体"/>
          <w:color w:val="auto"/>
          <w:szCs w:val="21"/>
        </w:rPr>
        <w:t xml:space="preserve">       每日擦拭、清扫一次以上；保持电梯门壁表面光亮，无污迹。</w:t>
      </w:r>
    </w:p>
    <w:p>
      <w:pPr>
        <w:spacing w:line="360" w:lineRule="auto"/>
        <w:ind w:firstLine="211" w:firstLineChars="100"/>
        <w:jc w:val="left"/>
        <w:rPr>
          <w:rFonts w:ascii="宋体" w:hAnsi="宋体"/>
          <w:b/>
          <w:color w:val="auto"/>
          <w:szCs w:val="21"/>
        </w:rPr>
      </w:pPr>
      <w:r>
        <w:rPr>
          <w:rFonts w:hint="eastAsia" w:ascii="宋体" w:hAnsi="宋体"/>
          <w:b/>
          <w:color w:val="auto"/>
          <w:szCs w:val="21"/>
        </w:rPr>
        <w:t>9.道路地面、绿地、明沟</w:t>
      </w:r>
    </w:p>
    <w:p>
      <w:pPr>
        <w:spacing w:line="360" w:lineRule="auto"/>
        <w:jc w:val="left"/>
        <w:rPr>
          <w:rFonts w:ascii="宋体" w:hAnsi="宋体"/>
          <w:color w:val="auto"/>
          <w:szCs w:val="21"/>
        </w:rPr>
      </w:pPr>
      <w:r>
        <w:rPr>
          <w:rFonts w:hint="eastAsia" w:ascii="宋体" w:hAnsi="宋体"/>
          <w:color w:val="auto"/>
          <w:szCs w:val="21"/>
        </w:rPr>
        <w:t xml:space="preserve">       道路地面、绿地每日清扫二次，目视地面、绿地清洁无杂物；明沟每周清扫二次，明沟无杂物、无积水。</w:t>
      </w:r>
    </w:p>
    <w:p>
      <w:pPr>
        <w:spacing w:line="360" w:lineRule="auto"/>
        <w:jc w:val="left"/>
        <w:rPr>
          <w:rFonts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 xml:space="preserve"> 10.公共灯具、宣传栏、小品等</w:t>
      </w:r>
    </w:p>
    <w:p>
      <w:pPr>
        <w:spacing w:line="360" w:lineRule="auto"/>
        <w:jc w:val="left"/>
        <w:rPr>
          <w:rFonts w:ascii="宋体" w:hAnsi="宋体"/>
          <w:color w:val="auto"/>
          <w:szCs w:val="21"/>
        </w:rPr>
      </w:pPr>
      <w:r>
        <w:rPr>
          <w:rFonts w:hint="eastAsia" w:ascii="宋体" w:hAnsi="宋体"/>
          <w:color w:val="auto"/>
          <w:szCs w:val="21"/>
        </w:rPr>
        <w:t xml:space="preserve">       每周擦抹一次，表面无污迹。</w:t>
      </w:r>
    </w:p>
    <w:p>
      <w:pPr>
        <w:spacing w:line="360" w:lineRule="auto"/>
        <w:ind w:firstLine="211" w:firstLineChars="100"/>
        <w:jc w:val="left"/>
        <w:rPr>
          <w:rFonts w:ascii="宋体" w:hAnsi="宋体"/>
          <w:b/>
          <w:color w:val="auto"/>
          <w:szCs w:val="21"/>
        </w:rPr>
      </w:pPr>
      <w:r>
        <w:rPr>
          <w:rFonts w:hint="eastAsia" w:ascii="宋体" w:hAnsi="宋体"/>
          <w:b/>
          <w:color w:val="auto"/>
          <w:szCs w:val="21"/>
        </w:rPr>
        <w:t>11.垃圾厢房</w:t>
      </w:r>
    </w:p>
    <w:p>
      <w:pPr>
        <w:spacing w:line="360" w:lineRule="auto"/>
        <w:jc w:val="left"/>
        <w:rPr>
          <w:rFonts w:ascii="宋体" w:hAnsi="宋体"/>
          <w:color w:val="auto"/>
          <w:szCs w:val="21"/>
        </w:rPr>
      </w:pPr>
      <w:r>
        <w:rPr>
          <w:rFonts w:hint="eastAsia" w:ascii="宋体" w:hAnsi="宋体"/>
          <w:color w:val="auto"/>
          <w:szCs w:val="21"/>
        </w:rPr>
        <w:t xml:space="preserve">       有专人管理。生活、建筑垃圾封闭存放，垃圾厢(房)每日冲洗二次，垃圾厢(房)及其周围基本整洁、无污渍、无积水、无明显异味，灭害措施完善。</w:t>
      </w:r>
    </w:p>
    <w:p>
      <w:pPr>
        <w:spacing w:line="360" w:lineRule="auto"/>
        <w:ind w:firstLine="211" w:firstLineChars="100"/>
        <w:jc w:val="left"/>
        <w:rPr>
          <w:rFonts w:ascii="宋体" w:hAnsi="宋体"/>
          <w:b/>
          <w:color w:val="auto"/>
          <w:szCs w:val="21"/>
        </w:rPr>
      </w:pPr>
      <w:r>
        <w:rPr>
          <w:rFonts w:hint="eastAsia" w:ascii="宋体" w:hAnsi="宋体"/>
          <w:b/>
          <w:color w:val="auto"/>
          <w:szCs w:val="21"/>
        </w:rPr>
        <w:t>12.果皮箱、垃圾桶</w:t>
      </w:r>
    </w:p>
    <w:p>
      <w:pPr>
        <w:spacing w:line="360" w:lineRule="auto"/>
        <w:jc w:val="left"/>
        <w:rPr>
          <w:rFonts w:ascii="宋体" w:hAnsi="宋体"/>
          <w:color w:val="auto"/>
          <w:szCs w:val="21"/>
        </w:rPr>
      </w:pPr>
    </w:p>
    <w:p>
      <w:pPr>
        <w:tabs>
          <w:tab w:val="left" w:pos="709"/>
          <w:tab w:val="left" w:pos="851"/>
        </w:tabs>
        <w:spacing w:line="360" w:lineRule="auto"/>
        <w:jc w:val="left"/>
        <w:rPr>
          <w:rFonts w:ascii="宋体" w:hAnsi="宋体"/>
          <w:color w:val="auto"/>
          <w:szCs w:val="21"/>
        </w:rPr>
      </w:pPr>
      <w:r>
        <w:rPr>
          <w:rFonts w:hint="eastAsia" w:ascii="宋体" w:hAnsi="宋体"/>
          <w:color w:val="auto"/>
          <w:szCs w:val="21"/>
        </w:rPr>
        <w:t xml:space="preserve">       合理设置。每日清理一次，擦拭一次，箱(桶)无满溢、无异味、无污迹。</w:t>
      </w:r>
    </w:p>
    <w:p>
      <w:pPr>
        <w:tabs>
          <w:tab w:val="left" w:pos="709"/>
          <w:tab w:val="left" w:pos="851"/>
        </w:tabs>
        <w:spacing w:line="360" w:lineRule="auto"/>
        <w:ind w:firstLine="211" w:firstLineChars="100"/>
        <w:jc w:val="left"/>
        <w:rPr>
          <w:rFonts w:ascii="宋体" w:hAnsi="宋体"/>
          <w:b/>
          <w:color w:val="auto"/>
          <w:szCs w:val="21"/>
        </w:rPr>
      </w:pPr>
      <w:r>
        <w:rPr>
          <w:rFonts w:hint="eastAsia" w:ascii="宋体" w:hAnsi="宋体"/>
          <w:b/>
          <w:color w:val="auto"/>
          <w:szCs w:val="21"/>
        </w:rPr>
        <w:t>13.消毒灭害</w:t>
      </w:r>
    </w:p>
    <w:p>
      <w:pPr>
        <w:spacing w:line="360" w:lineRule="auto"/>
        <w:jc w:val="left"/>
        <w:rPr>
          <w:rFonts w:ascii="宋体" w:hAnsi="宋体"/>
          <w:color w:val="auto"/>
          <w:szCs w:val="21"/>
        </w:rPr>
      </w:pPr>
      <w:r>
        <w:rPr>
          <w:rFonts w:hint="eastAsia" w:ascii="宋体" w:hAnsi="宋体"/>
          <w:color w:val="auto"/>
          <w:szCs w:val="21"/>
        </w:rPr>
        <w:t xml:space="preserve">       每月对窨井、明沟、垃圾房喷洒药水一次，每年灭鼠一次。</w:t>
      </w:r>
    </w:p>
    <w:p>
      <w:pPr>
        <w:spacing w:line="360" w:lineRule="auto"/>
        <w:jc w:val="left"/>
        <w:rPr>
          <w:rFonts w:ascii="宋体" w:hAnsi="宋体"/>
          <w:b/>
          <w:color w:val="auto"/>
          <w:szCs w:val="21"/>
        </w:rPr>
      </w:pPr>
      <w:r>
        <w:rPr>
          <w:rFonts w:hint="eastAsia" w:ascii="宋体" w:hAnsi="宋体"/>
          <w:b/>
          <w:color w:val="auto"/>
          <w:szCs w:val="21"/>
        </w:rPr>
        <w:t>三)公共区域秩序维护服务标准</w:t>
      </w:r>
    </w:p>
    <w:p>
      <w:pPr>
        <w:spacing w:line="360" w:lineRule="auto"/>
        <w:jc w:val="left"/>
        <w:rPr>
          <w:rFonts w:ascii="宋体" w:hAnsi="宋体"/>
          <w:b/>
          <w:color w:val="auto"/>
          <w:szCs w:val="21"/>
        </w:rPr>
      </w:pPr>
      <w:r>
        <w:rPr>
          <w:rFonts w:hint="eastAsia" w:ascii="宋体" w:hAnsi="宋体"/>
          <w:b/>
          <w:color w:val="auto"/>
          <w:szCs w:val="21"/>
        </w:rPr>
        <w:t>1.人员要求</w:t>
      </w:r>
    </w:p>
    <w:p>
      <w:pPr>
        <w:spacing w:line="360" w:lineRule="auto"/>
        <w:jc w:val="left"/>
        <w:rPr>
          <w:rFonts w:ascii="宋体" w:hAnsi="宋体"/>
          <w:color w:val="auto"/>
          <w:szCs w:val="21"/>
        </w:rPr>
      </w:pPr>
      <w:r>
        <w:rPr>
          <w:rFonts w:hint="eastAsia" w:ascii="宋体" w:hAnsi="宋体"/>
          <w:color w:val="auto"/>
          <w:szCs w:val="21"/>
        </w:rPr>
        <w:t xml:space="preserve">  (1)专职保安人员中55周岁以下的人员占总数的60%以上，身体健康，工作认真负责。</w:t>
      </w:r>
    </w:p>
    <w:p>
      <w:pPr>
        <w:spacing w:line="360" w:lineRule="auto"/>
        <w:ind w:firstLine="210" w:firstLineChars="100"/>
        <w:jc w:val="left"/>
        <w:rPr>
          <w:rFonts w:ascii="宋体" w:hAnsi="宋体"/>
          <w:color w:val="auto"/>
          <w:szCs w:val="21"/>
        </w:rPr>
      </w:pPr>
      <w:r>
        <w:rPr>
          <w:rFonts w:hint="eastAsia" w:ascii="宋体" w:hAnsi="宋体"/>
          <w:color w:val="auto"/>
          <w:szCs w:val="21"/>
        </w:rPr>
        <w:t>(2)有较强的安全防范能力，能正确使用各类消防、物防、技防器械和设备。</w:t>
      </w:r>
    </w:p>
    <w:p>
      <w:pPr>
        <w:spacing w:line="360" w:lineRule="auto"/>
        <w:ind w:firstLine="210" w:firstLineChars="100"/>
        <w:jc w:val="left"/>
        <w:rPr>
          <w:rFonts w:ascii="宋体" w:hAnsi="宋体"/>
          <w:color w:val="auto"/>
          <w:szCs w:val="21"/>
        </w:rPr>
      </w:pPr>
      <w:r>
        <w:rPr>
          <w:rFonts w:hint="eastAsia" w:ascii="宋体" w:hAnsi="宋体"/>
          <w:color w:val="auto"/>
          <w:szCs w:val="21"/>
        </w:rPr>
        <w:t>(3)上岗时佩带统一标志，穿戴统一制服，配备对讲装置或必要的安全护卫器械。</w:t>
      </w:r>
    </w:p>
    <w:p>
      <w:pPr>
        <w:spacing w:line="360" w:lineRule="auto"/>
        <w:jc w:val="left"/>
        <w:rPr>
          <w:rFonts w:ascii="宋体" w:hAnsi="宋体"/>
          <w:b/>
          <w:color w:val="auto"/>
          <w:szCs w:val="21"/>
        </w:rPr>
      </w:pPr>
      <w:r>
        <w:rPr>
          <w:rFonts w:hint="eastAsia" w:ascii="宋体" w:hAnsi="宋体"/>
          <w:b/>
          <w:color w:val="auto"/>
          <w:szCs w:val="21"/>
        </w:rPr>
        <w:t>2.门岗</w:t>
      </w:r>
    </w:p>
    <w:p>
      <w:pPr>
        <w:spacing w:line="360" w:lineRule="auto"/>
        <w:jc w:val="left"/>
        <w:rPr>
          <w:rFonts w:ascii="宋体" w:hAnsi="宋体"/>
          <w:color w:val="auto"/>
          <w:szCs w:val="21"/>
        </w:rPr>
      </w:pPr>
      <w:r>
        <w:rPr>
          <w:rFonts w:hint="eastAsia" w:ascii="宋体" w:hAnsi="宋体"/>
          <w:color w:val="auto"/>
          <w:szCs w:val="21"/>
        </w:rPr>
        <w:t xml:space="preserve">  (1)小区出入口24小时值班看守，并有交接班记录和外来车辆的登记记录。</w:t>
      </w:r>
    </w:p>
    <w:p>
      <w:pPr>
        <w:spacing w:line="360" w:lineRule="auto"/>
        <w:ind w:left="210" w:hanging="210" w:hangingChars="100"/>
        <w:jc w:val="left"/>
        <w:rPr>
          <w:rFonts w:ascii="宋体" w:hAnsi="宋体"/>
          <w:color w:val="auto"/>
          <w:szCs w:val="21"/>
        </w:rPr>
      </w:pPr>
      <w:r>
        <w:rPr>
          <w:rFonts w:hint="eastAsia" w:ascii="宋体" w:hAnsi="宋体"/>
          <w:color w:val="auto"/>
          <w:szCs w:val="21"/>
        </w:rPr>
        <w:t xml:space="preserve">  (2)封闭管理小区对外来人员或送货人员进行记录，阻止未经许可的外来人员进入小区。(3)保持出入口环境整洁、有序、道路畅通；对大型物件搬出实行记录。</w:t>
      </w:r>
    </w:p>
    <w:p>
      <w:pPr>
        <w:spacing w:line="360" w:lineRule="auto"/>
        <w:ind w:left="211" w:hanging="211" w:hangingChars="100"/>
        <w:jc w:val="left"/>
        <w:rPr>
          <w:rFonts w:ascii="宋体" w:hAnsi="宋体"/>
          <w:b/>
          <w:color w:val="auto"/>
          <w:szCs w:val="21"/>
        </w:rPr>
      </w:pPr>
      <w:r>
        <w:rPr>
          <w:rFonts w:hint="eastAsia" w:ascii="宋体" w:hAnsi="宋体"/>
          <w:b/>
          <w:color w:val="auto"/>
          <w:szCs w:val="21"/>
        </w:rPr>
        <w:t>3.巡逻岗</w:t>
      </w:r>
    </w:p>
    <w:p>
      <w:pPr>
        <w:spacing w:line="360" w:lineRule="auto"/>
        <w:jc w:val="left"/>
        <w:rPr>
          <w:rFonts w:ascii="宋体" w:hAnsi="宋体"/>
          <w:color w:val="auto"/>
          <w:szCs w:val="21"/>
        </w:rPr>
      </w:pPr>
      <w:r>
        <w:rPr>
          <w:rFonts w:hint="eastAsia" w:ascii="宋体" w:hAnsi="宋体"/>
          <w:color w:val="auto"/>
          <w:szCs w:val="21"/>
        </w:rPr>
        <w:t xml:space="preserve">  (1)白天每二小时巡逻一次，夜间每三小时巡逻一次，重点部位有明确的巡逻要求，并有巡逻记录。</w:t>
      </w:r>
    </w:p>
    <w:p>
      <w:pPr>
        <w:spacing w:line="360" w:lineRule="auto"/>
        <w:jc w:val="left"/>
        <w:rPr>
          <w:rFonts w:ascii="宋体" w:hAnsi="宋体"/>
          <w:b/>
          <w:color w:val="auto"/>
          <w:szCs w:val="21"/>
        </w:rPr>
      </w:pPr>
      <w:r>
        <w:rPr>
          <w:rFonts w:hint="eastAsia" w:ascii="宋体" w:hAnsi="宋体"/>
          <w:color w:val="auto"/>
          <w:szCs w:val="21"/>
        </w:rPr>
        <w:t xml:space="preserve">  (2)在遇到异常情况、突发事件时，采取相应的应对措施，及时报告管理处和相关部门。</w:t>
      </w:r>
      <w:r>
        <w:rPr>
          <w:rFonts w:hint="eastAsia" w:ascii="宋体" w:hAnsi="宋体"/>
          <w:b/>
          <w:color w:val="auto"/>
          <w:szCs w:val="21"/>
        </w:rPr>
        <w:t>4.技防设施和救助</w:t>
      </w:r>
    </w:p>
    <w:p>
      <w:pPr>
        <w:spacing w:line="360" w:lineRule="auto"/>
        <w:jc w:val="left"/>
        <w:rPr>
          <w:rFonts w:ascii="宋体" w:hAnsi="宋体"/>
          <w:color w:val="auto"/>
          <w:szCs w:val="21"/>
        </w:rPr>
      </w:pPr>
      <w:r>
        <w:rPr>
          <w:rFonts w:hint="eastAsia" w:ascii="宋体" w:hAnsi="宋体"/>
          <w:color w:val="auto"/>
          <w:szCs w:val="21"/>
        </w:rPr>
        <w:t xml:space="preserve">  (1)小区应具备录像监控、楼宇对讲、周界报警等三项以上技防设施，24小时开通，并有人驻守，注视各设备所传达的信息。</w:t>
      </w:r>
    </w:p>
    <w:p>
      <w:pPr>
        <w:spacing w:line="360" w:lineRule="auto"/>
        <w:jc w:val="left"/>
        <w:rPr>
          <w:rFonts w:ascii="宋体" w:hAnsi="宋体"/>
          <w:color w:val="auto"/>
          <w:szCs w:val="21"/>
        </w:rPr>
      </w:pPr>
      <w:r>
        <w:rPr>
          <w:rFonts w:hint="eastAsia" w:ascii="宋体" w:hAnsi="宋体"/>
          <w:color w:val="auto"/>
          <w:szCs w:val="21"/>
        </w:rPr>
        <w:t xml:space="preserve">  (2)监控中心收到报警信号后，保安人员应按规定及时赶到现场进行处理，同时应接受用户救助的要求，解答用户的询问。</w:t>
      </w:r>
    </w:p>
    <w:p>
      <w:pPr>
        <w:spacing w:line="360" w:lineRule="auto"/>
        <w:jc w:val="left"/>
        <w:rPr>
          <w:rFonts w:ascii="宋体" w:hAnsi="宋体"/>
          <w:b/>
          <w:color w:val="auto"/>
          <w:szCs w:val="21"/>
        </w:rPr>
      </w:pPr>
      <w:r>
        <w:rPr>
          <w:rFonts w:hint="eastAsia" w:ascii="宋体" w:hAnsi="宋体"/>
          <w:b/>
          <w:color w:val="auto"/>
          <w:szCs w:val="21"/>
        </w:rPr>
        <w:t>5.车辆管理</w:t>
      </w:r>
    </w:p>
    <w:p>
      <w:pPr>
        <w:spacing w:line="360" w:lineRule="auto"/>
        <w:jc w:val="left"/>
        <w:rPr>
          <w:rFonts w:ascii="宋体" w:hAnsi="宋体"/>
          <w:color w:val="auto"/>
          <w:szCs w:val="21"/>
        </w:rPr>
      </w:pPr>
      <w:r>
        <w:rPr>
          <w:rFonts w:hint="eastAsia" w:ascii="宋体" w:hAnsi="宋体"/>
          <w:color w:val="auto"/>
          <w:szCs w:val="21"/>
        </w:rPr>
        <w:t xml:space="preserve">  (1)地面、墙面按车辆道路行驶要求设立指示牌，车辆基本停放在规定的范围内。</w:t>
      </w:r>
    </w:p>
    <w:p>
      <w:pPr>
        <w:spacing w:line="360" w:lineRule="auto"/>
        <w:ind w:firstLine="210" w:firstLineChars="100"/>
        <w:jc w:val="left"/>
        <w:rPr>
          <w:rFonts w:ascii="宋体" w:hAnsi="宋体"/>
          <w:color w:val="auto"/>
          <w:szCs w:val="21"/>
        </w:rPr>
      </w:pPr>
      <w:r>
        <w:rPr>
          <w:rFonts w:hint="eastAsia" w:ascii="宋体" w:hAnsi="宋体"/>
          <w:color w:val="auto"/>
          <w:szCs w:val="21"/>
        </w:rPr>
        <w:t>(2)及时处理车辆停放不规范的现象。</w:t>
      </w:r>
    </w:p>
    <w:p>
      <w:pPr>
        <w:spacing w:line="360" w:lineRule="auto"/>
        <w:jc w:val="left"/>
        <w:rPr>
          <w:rFonts w:ascii="宋体" w:hAnsi="宋体"/>
          <w:b/>
          <w:color w:val="auto"/>
          <w:szCs w:val="21"/>
        </w:rPr>
      </w:pPr>
      <w:r>
        <w:rPr>
          <w:rFonts w:hint="eastAsia" w:ascii="宋体" w:hAnsi="宋体"/>
          <w:b/>
          <w:color w:val="auto"/>
          <w:szCs w:val="21"/>
        </w:rPr>
        <w:t>四)公共区域绿化日常养护服务标准</w:t>
      </w:r>
    </w:p>
    <w:p>
      <w:pPr>
        <w:spacing w:line="360" w:lineRule="auto"/>
        <w:jc w:val="left"/>
        <w:rPr>
          <w:rFonts w:ascii="宋体" w:hAnsi="宋体"/>
          <w:b/>
          <w:color w:val="auto"/>
          <w:szCs w:val="21"/>
        </w:rPr>
      </w:pPr>
      <w:r>
        <w:rPr>
          <w:rFonts w:hint="eastAsia" w:ascii="宋体" w:hAnsi="宋体"/>
          <w:b/>
          <w:color w:val="auto"/>
          <w:szCs w:val="21"/>
        </w:rPr>
        <w:t>1.草坪</w:t>
      </w:r>
    </w:p>
    <w:p>
      <w:pPr>
        <w:spacing w:line="360" w:lineRule="auto"/>
        <w:jc w:val="left"/>
        <w:rPr>
          <w:rFonts w:ascii="宋体" w:hAnsi="宋体"/>
          <w:color w:val="auto"/>
          <w:szCs w:val="21"/>
        </w:rPr>
      </w:pPr>
      <w:r>
        <w:rPr>
          <w:rFonts w:hint="eastAsia" w:ascii="宋体" w:hAnsi="宋体"/>
          <w:color w:val="auto"/>
          <w:szCs w:val="21"/>
        </w:rPr>
        <w:t xml:space="preserve">  (1)修剪</w:t>
      </w:r>
    </w:p>
    <w:p>
      <w:pPr>
        <w:spacing w:line="360" w:lineRule="auto"/>
        <w:jc w:val="left"/>
        <w:rPr>
          <w:rFonts w:ascii="宋体" w:hAnsi="宋体"/>
          <w:color w:val="auto"/>
          <w:szCs w:val="21"/>
        </w:rPr>
      </w:pPr>
      <w:r>
        <w:rPr>
          <w:rFonts w:hint="eastAsia" w:ascii="宋体" w:hAnsi="宋体"/>
          <w:color w:val="auto"/>
          <w:szCs w:val="21"/>
        </w:rPr>
        <w:t xml:space="preserve">     每年普修四遍以上，草面基本平整。</w:t>
      </w:r>
    </w:p>
    <w:p>
      <w:pPr>
        <w:spacing w:line="360" w:lineRule="auto"/>
        <w:ind w:firstLine="210" w:firstLineChars="100"/>
        <w:jc w:val="left"/>
        <w:rPr>
          <w:rFonts w:ascii="宋体" w:hAnsi="宋体"/>
          <w:color w:val="auto"/>
          <w:szCs w:val="21"/>
        </w:rPr>
      </w:pPr>
      <w:r>
        <w:rPr>
          <w:rFonts w:hint="eastAsia" w:ascii="宋体" w:hAnsi="宋体"/>
          <w:color w:val="auto"/>
          <w:szCs w:val="21"/>
        </w:rPr>
        <w:t>(2)清杂草</w:t>
      </w:r>
    </w:p>
    <w:p>
      <w:pPr>
        <w:spacing w:line="360" w:lineRule="auto"/>
        <w:jc w:val="left"/>
        <w:rPr>
          <w:rFonts w:ascii="宋体" w:hAnsi="宋体"/>
          <w:color w:val="auto"/>
          <w:szCs w:val="21"/>
        </w:rPr>
      </w:pPr>
      <w:r>
        <w:rPr>
          <w:rFonts w:hint="eastAsia" w:ascii="宋体" w:hAnsi="宋体"/>
          <w:color w:val="auto"/>
          <w:szCs w:val="21"/>
        </w:rPr>
        <w:t xml:space="preserve">     每年清除杂草五遍以上。</w:t>
      </w:r>
    </w:p>
    <w:p>
      <w:pPr>
        <w:spacing w:line="360" w:lineRule="auto"/>
        <w:ind w:firstLine="210" w:firstLineChars="100"/>
        <w:jc w:val="left"/>
        <w:rPr>
          <w:rFonts w:ascii="宋体" w:hAnsi="宋体"/>
          <w:color w:val="auto"/>
          <w:szCs w:val="21"/>
        </w:rPr>
      </w:pPr>
      <w:r>
        <w:rPr>
          <w:rFonts w:hint="eastAsia" w:ascii="宋体" w:hAnsi="宋体"/>
          <w:color w:val="auto"/>
          <w:szCs w:val="21"/>
        </w:rPr>
        <w:t>(3)灌、排水</w:t>
      </w:r>
    </w:p>
    <w:p>
      <w:pPr>
        <w:spacing w:line="360" w:lineRule="auto"/>
        <w:ind w:firstLine="525" w:firstLineChars="250"/>
        <w:jc w:val="left"/>
        <w:rPr>
          <w:rFonts w:ascii="宋体" w:hAnsi="宋体"/>
          <w:color w:val="auto"/>
          <w:szCs w:val="21"/>
        </w:rPr>
      </w:pPr>
      <w:r>
        <w:rPr>
          <w:rFonts w:hint="eastAsia" w:ascii="宋体" w:hAnsi="宋体"/>
          <w:color w:val="auto"/>
          <w:szCs w:val="21"/>
        </w:rPr>
        <w:t>及时灌溉，保证有效供水，有积水及时排除。</w:t>
      </w:r>
    </w:p>
    <w:p>
      <w:pPr>
        <w:spacing w:line="360" w:lineRule="auto"/>
        <w:ind w:firstLine="210" w:firstLineChars="100"/>
        <w:jc w:val="left"/>
        <w:rPr>
          <w:rFonts w:ascii="宋体" w:hAnsi="宋体"/>
          <w:color w:val="auto"/>
          <w:szCs w:val="21"/>
        </w:rPr>
      </w:pPr>
      <w:r>
        <w:rPr>
          <w:rFonts w:hint="eastAsia" w:ascii="宋体" w:hAnsi="宋体"/>
          <w:color w:val="auto"/>
          <w:szCs w:val="21"/>
        </w:rPr>
        <w:t>(4)施肥</w:t>
      </w:r>
    </w:p>
    <w:p>
      <w:pPr>
        <w:spacing w:line="360" w:lineRule="auto"/>
        <w:ind w:firstLine="525" w:firstLineChars="250"/>
        <w:jc w:val="left"/>
        <w:rPr>
          <w:rFonts w:ascii="宋体" w:hAnsi="宋体"/>
          <w:color w:val="auto"/>
          <w:szCs w:val="21"/>
        </w:rPr>
      </w:pPr>
      <w:r>
        <w:rPr>
          <w:rFonts w:hint="eastAsia" w:ascii="宋体" w:hAnsi="宋体"/>
          <w:color w:val="auto"/>
          <w:szCs w:val="21"/>
        </w:rPr>
        <w:t>每年普施有机肥一遍。</w:t>
      </w:r>
    </w:p>
    <w:p>
      <w:pPr>
        <w:spacing w:line="360" w:lineRule="auto"/>
        <w:ind w:firstLine="210" w:firstLineChars="100"/>
        <w:jc w:val="left"/>
        <w:rPr>
          <w:rFonts w:ascii="宋体" w:hAnsi="宋体"/>
          <w:color w:val="auto"/>
          <w:szCs w:val="21"/>
        </w:rPr>
      </w:pPr>
      <w:r>
        <w:rPr>
          <w:rFonts w:hint="eastAsia" w:ascii="宋体" w:hAnsi="宋体"/>
          <w:color w:val="auto"/>
          <w:szCs w:val="21"/>
        </w:rPr>
        <w:t>(5)病虫害防治</w:t>
      </w:r>
    </w:p>
    <w:p>
      <w:pPr>
        <w:spacing w:line="360" w:lineRule="auto"/>
        <w:ind w:firstLine="525" w:firstLineChars="250"/>
        <w:jc w:val="left"/>
        <w:rPr>
          <w:rFonts w:ascii="宋体" w:hAnsi="宋体"/>
          <w:color w:val="auto"/>
          <w:szCs w:val="21"/>
        </w:rPr>
      </w:pPr>
      <w:r>
        <w:rPr>
          <w:rFonts w:hint="eastAsia" w:ascii="宋体" w:hAnsi="宋体"/>
          <w:color w:val="auto"/>
          <w:szCs w:val="21"/>
        </w:rPr>
        <w:t>发现病虫害及时灭杀。</w:t>
      </w:r>
    </w:p>
    <w:p>
      <w:pPr>
        <w:spacing w:line="360" w:lineRule="auto"/>
        <w:jc w:val="left"/>
        <w:rPr>
          <w:rFonts w:ascii="宋体" w:hAnsi="宋体"/>
          <w:b/>
          <w:color w:val="auto"/>
          <w:szCs w:val="21"/>
        </w:rPr>
      </w:pPr>
      <w:r>
        <w:rPr>
          <w:rFonts w:hint="eastAsia" w:ascii="宋体" w:hAnsi="宋体"/>
          <w:b/>
          <w:color w:val="auto"/>
          <w:szCs w:val="21"/>
        </w:rPr>
        <w:t>2.树木</w:t>
      </w:r>
    </w:p>
    <w:p>
      <w:pPr>
        <w:spacing w:line="360" w:lineRule="auto"/>
        <w:ind w:firstLine="210" w:firstLineChars="100"/>
        <w:jc w:val="left"/>
        <w:rPr>
          <w:rFonts w:ascii="宋体" w:hAnsi="宋体"/>
          <w:color w:val="auto"/>
          <w:szCs w:val="21"/>
        </w:rPr>
      </w:pPr>
      <w:r>
        <w:rPr>
          <w:rFonts w:hint="eastAsia" w:ascii="宋体" w:hAnsi="宋体"/>
          <w:color w:val="auto"/>
          <w:szCs w:val="21"/>
        </w:rPr>
        <w:t>(1)修剪</w:t>
      </w:r>
    </w:p>
    <w:p>
      <w:pPr>
        <w:spacing w:line="360" w:lineRule="auto"/>
        <w:ind w:firstLine="525" w:firstLineChars="250"/>
        <w:jc w:val="left"/>
        <w:rPr>
          <w:rFonts w:ascii="宋体" w:hAnsi="宋体"/>
          <w:color w:val="auto"/>
          <w:szCs w:val="21"/>
        </w:rPr>
      </w:pPr>
      <w:r>
        <w:rPr>
          <w:rFonts w:hint="eastAsia" w:ascii="宋体" w:hAnsi="宋体"/>
          <w:color w:val="auto"/>
          <w:szCs w:val="21"/>
        </w:rPr>
        <w:t>乔、灌木修剪每年二遍以上，无二级枯枝；蓠，球超过齐平线10cm应修剪，每年不少于四遍，做到表面圆整，基本无脱节；地被，攀援植物适时修剪，每年不少于二次。</w:t>
      </w:r>
    </w:p>
    <w:p>
      <w:pPr>
        <w:spacing w:line="360" w:lineRule="auto"/>
        <w:ind w:firstLine="210" w:firstLineChars="100"/>
        <w:jc w:val="left"/>
        <w:rPr>
          <w:rFonts w:ascii="宋体" w:hAnsi="宋体"/>
          <w:color w:val="auto"/>
          <w:szCs w:val="21"/>
        </w:rPr>
      </w:pPr>
      <w:r>
        <w:rPr>
          <w:rFonts w:hint="eastAsia" w:ascii="宋体" w:hAnsi="宋体"/>
          <w:color w:val="auto"/>
          <w:szCs w:val="21"/>
        </w:rPr>
        <w:t>(2)中耕除草、松土</w:t>
      </w:r>
    </w:p>
    <w:p>
      <w:pPr>
        <w:spacing w:line="360" w:lineRule="auto"/>
        <w:ind w:firstLine="525" w:firstLineChars="250"/>
        <w:jc w:val="left"/>
        <w:rPr>
          <w:rFonts w:ascii="宋体" w:hAnsi="宋体"/>
          <w:color w:val="auto"/>
          <w:szCs w:val="21"/>
        </w:rPr>
      </w:pPr>
      <w:r>
        <w:rPr>
          <w:rFonts w:hint="eastAsia" w:ascii="宋体" w:hAnsi="宋体"/>
          <w:color w:val="auto"/>
          <w:szCs w:val="21"/>
        </w:rPr>
        <w:t>每年中耕除草五次以上，土壤基本疏松。</w:t>
      </w:r>
    </w:p>
    <w:p>
      <w:pPr>
        <w:spacing w:line="360" w:lineRule="auto"/>
        <w:ind w:firstLine="210" w:firstLineChars="100"/>
        <w:jc w:val="left"/>
        <w:rPr>
          <w:rFonts w:ascii="宋体" w:hAnsi="宋体"/>
          <w:color w:val="auto"/>
          <w:szCs w:val="21"/>
        </w:rPr>
      </w:pPr>
      <w:r>
        <w:rPr>
          <w:rFonts w:hint="eastAsia" w:ascii="宋体" w:hAnsi="宋体"/>
          <w:color w:val="auto"/>
          <w:szCs w:val="21"/>
        </w:rPr>
        <w:t>(3)施肥</w:t>
      </w:r>
    </w:p>
    <w:p>
      <w:pPr>
        <w:spacing w:line="360" w:lineRule="auto"/>
        <w:ind w:firstLine="525" w:firstLineChars="250"/>
        <w:jc w:val="left"/>
        <w:rPr>
          <w:rFonts w:ascii="宋体" w:hAnsi="宋体"/>
          <w:color w:val="auto"/>
          <w:szCs w:val="21"/>
        </w:rPr>
      </w:pPr>
      <w:r>
        <w:rPr>
          <w:rFonts w:hint="eastAsia" w:ascii="宋体" w:hAnsi="宋体"/>
          <w:color w:val="auto"/>
          <w:szCs w:val="21"/>
        </w:rPr>
        <w:t>按植物品种、生长状况，土壤条件适当施肥；每年普施基肥一遍，部分花灌木增施追肥一次。</w:t>
      </w:r>
    </w:p>
    <w:p>
      <w:pPr>
        <w:spacing w:line="360" w:lineRule="auto"/>
        <w:ind w:firstLine="210" w:firstLineChars="100"/>
        <w:jc w:val="left"/>
        <w:rPr>
          <w:rFonts w:ascii="宋体" w:hAnsi="宋体"/>
          <w:color w:val="auto"/>
          <w:szCs w:val="21"/>
        </w:rPr>
      </w:pPr>
      <w:r>
        <w:rPr>
          <w:rFonts w:hint="eastAsia" w:ascii="宋体" w:hAnsi="宋体"/>
          <w:color w:val="auto"/>
          <w:szCs w:val="21"/>
        </w:rPr>
        <w:t>(4)病虫害防治</w:t>
      </w:r>
    </w:p>
    <w:p>
      <w:pPr>
        <w:spacing w:line="360" w:lineRule="auto"/>
        <w:ind w:firstLine="525" w:firstLineChars="250"/>
        <w:jc w:val="left"/>
        <w:rPr>
          <w:rFonts w:ascii="宋体" w:hAnsi="宋体"/>
          <w:color w:val="auto"/>
          <w:szCs w:val="21"/>
        </w:rPr>
      </w:pPr>
      <w:r>
        <w:rPr>
          <w:rFonts w:hint="eastAsia" w:ascii="宋体" w:hAnsi="宋体"/>
          <w:color w:val="auto"/>
          <w:szCs w:val="21"/>
        </w:rPr>
        <w:t>有针对性及时灭治，主要病虫害发生低于10%。</w:t>
      </w:r>
    </w:p>
    <w:p>
      <w:pPr>
        <w:spacing w:line="360" w:lineRule="auto"/>
        <w:ind w:firstLine="210" w:firstLineChars="100"/>
        <w:jc w:val="left"/>
        <w:rPr>
          <w:rFonts w:ascii="宋体" w:hAnsi="宋体"/>
          <w:color w:val="auto"/>
          <w:szCs w:val="21"/>
        </w:rPr>
      </w:pPr>
      <w:r>
        <w:rPr>
          <w:rFonts w:hint="eastAsia" w:ascii="宋体" w:hAnsi="宋体"/>
          <w:color w:val="auto"/>
          <w:szCs w:val="21"/>
        </w:rPr>
        <w:t>(5)扶正加固</w:t>
      </w:r>
    </w:p>
    <w:p>
      <w:pPr>
        <w:spacing w:line="360" w:lineRule="auto"/>
        <w:ind w:firstLine="525" w:firstLineChars="250"/>
        <w:jc w:val="left"/>
        <w:rPr>
          <w:rFonts w:ascii="宋体" w:hAnsi="宋体"/>
          <w:color w:val="auto"/>
          <w:szCs w:val="21"/>
        </w:rPr>
      </w:pPr>
      <w:r>
        <w:rPr>
          <w:rFonts w:hint="eastAsia" w:ascii="宋体" w:hAnsi="宋体"/>
          <w:color w:val="auto"/>
          <w:szCs w:val="21"/>
        </w:rPr>
        <w:t>有倒伏倾向，及时扶正、加固。</w:t>
      </w:r>
    </w:p>
    <w:p>
      <w:pPr>
        <w:spacing w:line="360" w:lineRule="auto"/>
        <w:ind w:firstLine="210" w:firstLineChars="100"/>
        <w:jc w:val="left"/>
        <w:rPr>
          <w:rFonts w:ascii="宋体" w:hAnsi="宋体"/>
          <w:color w:val="auto"/>
          <w:szCs w:val="21"/>
        </w:rPr>
      </w:pPr>
      <w:r>
        <w:rPr>
          <w:rFonts w:hint="eastAsia" w:ascii="宋体" w:hAnsi="宋体"/>
          <w:color w:val="auto"/>
          <w:szCs w:val="21"/>
        </w:rPr>
        <w:t>(6)其它</w:t>
      </w:r>
    </w:p>
    <w:p>
      <w:pPr>
        <w:spacing w:line="360" w:lineRule="auto"/>
        <w:ind w:firstLine="525" w:firstLineChars="250"/>
        <w:jc w:val="left"/>
        <w:rPr>
          <w:rFonts w:ascii="宋体" w:hAnsi="宋体"/>
          <w:color w:val="auto"/>
          <w:szCs w:val="21"/>
        </w:rPr>
      </w:pPr>
      <w:r>
        <w:rPr>
          <w:rFonts w:hint="eastAsia" w:ascii="宋体" w:hAnsi="宋体"/>
          <w:color w:val="auto"/>
          <w:szCs w:val="21"/>
        </w:rPr>
        <w:t>乔灌木生长良好，树冠完整；花灌木基本开花；球、篱、地被生长正常，缺枝、空档不明显。</w:t>
      </w:r>
    </w:p>
    <w:p>
      <w:pPr>
        <w:spacing w:line="360" w:lineRule="auto"/>
        <w:jc w:val="left"/>
        <w:rPr>
          <w:rFonts w:ascii="宋体" w:hAnsi="宋体"/>
          <w:b/>
          <w:color w:val="auto"/>
          <w:szCs w:val="21"/>
        </w:rPr>
      </w:pPr>
      <w:r>
        <w:rPr>
          <w:rFonts w:hint="eastAsia" w:ascii="宋体" w:hAnsi="宋体"/>
          <w:b/>
          <w:color w:val="auto"/>
          <w:szCs w:val="21"/>
        </w:rPr>
        <w:t>3.花坛花境</w:t>
      </w:r>
    </w:p>
    <w:p>
      <w:pPr>
        <w:spacing w:line="360" w:lineRule="auto"/>
        <w:ind w:firstLine="210" w:firstLineChars="100"/>
        <w:jc w:val="left"/>
        <w:rPr>
          <w:rFonts w:ascii="宋体" w:hAnsi="宋体"/>
          <w:color w:val="auto"/>
          <w:szCs w:val="21"/>
        </w:rPr>
      </w:pPr>
      <w:r>
        <w:rPr>
          <w:rFonts w:hint="eastAsia" w:ascii="宋体" w:hAnsi="宋体"/>
          <w:color w:val="auto"/>
          <w:szCs w:val="21"/>
        </w:rPr>
        <w:t>(1)布置</w:t>
      </w:r>
    </w:p>
    <w:p>
      <w:pPr>
        <w:spacing w:line="360" w:lineRule="auto"/>
        <w:ind w:firstLine="525" w:firstLineChars="250"/>
        <w:jc w:val="left"/>
        <w:rPr>
          <w:rFonts w:ascii="宋体" w:hAnsi="宋体"/>
          <w:color w:val="auto"/>
          <w:szCs w:val="21"/>
        </w:rPr>
      </w:pPr>
      <w:r>
        <w:rPr>
          <w:rFonts w:hint="eastAsia" w:ascii="宋体" w:hAnsi="宋体"/>
          <w:color w:val="auto"/>
          <w:szCs w:val="21"/>
        </w:rPr>
        <w:t>一年中有一次以上花卉布置。</w:t>
      </w:r>
    </w:p>
    <w:p>
      <w:pPr>
        <w:spacing w:line="360" w:lineRule="auto"/>
        <w:ind w:firstLine="210" w:firstLineChars="100"/>
        <w:jc w:val="left"/>
        <w:rPr>
          <w:rFonts w:ascii="宋体" w:hAnsi="宋体"/>
          <w:color w:val="auto"/>
          <w:szCs w:val="21"/>
        </w:rPr>
      </w:pPr>
      <w:r>
        <w:rPr>
          <w:rFonts w:hint="eastAsia" w:ascii="宋体" w:hAnsi="宋体"/>
          <w:color w:val="auto"/>
          <w:szCs w:val="21"/>
        </w:rPr>
        <w:t>(2)灌、排水</w:t>
      </w:r>
    </w:p>
    <w:p>
      <w:pPr>
        <w:spacing w:line="360" w:lineRule="auto"/>
        <w:ind w:firstLine="525" w:firstLineChars="250"/>
        <w:jc w:val="left"/>
        <w:rPr>
          <w:rFonts w:ascii="宋体" w:hAnsi="宋体"/>
          <w:color w:val="auto"/>
          <w:szCs w:val="21"/>
        </w:rPr>
      </w:pPr>
      <w:r>
        <w:rPr>
          <w:rFonts w:hint="eastAsia" w:ascii="宋体" w:hAnsi="宋体"/>
          <w:color w:val="auto"/>
          <w:szCs w:val="21"/>
        </w:rPr>
        <w:t>保持有效供水，无积水。</w:t>
      </w:r>
    </w:p>
    <w:p>
      <w:pPr>
        <w:spacing w:line="360" w:lineRule="auto"/>
        <w:ind w:firstLine="210" w:firstLineChars="100"/>
        <w:jc w:val="left"/>
        <w:rPr>
          <w:rFonts w:ascii="宋体" w:hAnsi="宋体"/>
          <w:color w:val="auto"/>
          <w:szCs w:val="21"/>
        </w:rPr>
      </w:pPr>
      <w:r>
        <w:rPr>
          <w:rFonts w:hint="eastAsia" w:ascii="宋体" w:hAnsi="宋体"/>
          <w:color w:val="auto"/>
          <w:szCs w:val="21"/>
        </w:rPr>
        <w:t>(3)补种</w:t>
      </w:r>
    </w:p>
    <w:p>
      <w:pPr>
        <w:spacing w:line="360" w:lineRule="auto"/>
        <w:ind w:firstLine="525" w:firstLineChars="250"/>
        <w:jc w:val="left"/>
        <w:rPr>
          <w:rFonts w:ascii="宋体" w:hAnsi="宋体"/>
          <w:color w:val="auto"/>
          <w:szCs w:val="21"/>
        </w:rPr>
      </w:pPr>
      <w:r>
        <w:rPr>
          <w:rFonts w:hint="eastAsia" w:ascii="宋体" w:hAnsi="宋体"/>
          <w:color w:val="auto"/>
          <w:szCs w:val="21"/>
        </w:rPr>
        <w:t>缺枝倒伏不超过十处。</w:t>
      </w:r>
    </w:p>
    <w:p>
      <w:pPr>
        <w:spacing w:line="360" w:lineRule="auto"/>
        <w:ind w:firstLine="210" w:firstLineChars="100"/>
        <w:jc w:val="left"/>
        <w:rPr>
          <w:rFonts w:ascii="宋体" w:hAnsi="宋体"/>
          <w:color w:val="auto"/>
          <w:szCs w:val="21"/>
        </w:rPr>
      </w:pPr>
      <w:r>
        <w:rPr>
          <w:rFonts w:hint="eastAsia" w:ascii="宋体" w:hAnsi="宋体"/>
          <w:color w:val="auto"/>
          <w:szCs w:val="21"/>
        </w:rPr>
        <w:t>(4)修剪、施肥</w:t>
      </w:r>
    </w:p>
    <w:p>
      <w:pPr>
        <w:spacing w:line="360" w:lineRule="auto"/>
        <w:ind w:firstLine="525" w:firstLineChars="250"/>
        <w:jc w:val="left"/>
        <w:rPr>
          <w:rFonts w:ascii="宋体" w:hAnsi="宋体"/>
          <w:color w:val="auto"/>
          <w:szCs w:val="21"/>
        </w:rPr>
      </w:pPr>
      <w:r>
        <w:rPr>
          <w:rFonts w:hint="eastAsia" w:ascii="宋体" w:hAnsi="宋体"/>
          <w:color w:val="auto"/>
          <w:szCs w:val="21"/>
        </w:rPr>
        <w:t>保持花卉生长良好。</w:t>
      </w:r>
    </w:p>
    <w:p>
      <w:pPr>
        <w:spacing w:line="360" w:lineRule="auto"/>
        <w:ind w:firstLine="210" w:firstLineChars="100"/>
        <w:jc w:val="left"/>
        <w:rPr>
          <w:rFonts w:ascii="宋体" w:hAnsi="宋体"/>
          <w:color w:val="auto"/>
          <w:szCs w:val="21"/>
        </w:rPr>
      </w:pPr>
      <w:r>
        <w:rPr>
          <w:rFonts w:hint="eastAsia" w:ascii="宋体" w:hAnsi="宋体"/>
          <w:color w:val="auto"/>
          <w:szCs w:val="21"/>
        </w:rPr>
        <w:t>(5)病虫害防治</w:t>
      </w:r>
    </w:p>
    <w:p>
      <w:pPr>
        <w:spacing w:line="360" w:lineRule="auto"/>
        <w:ind w:firstLine="525" w:firstLineChars="250"/>
        <w:jc w:val="left"/>
        <w:rPr>
          <w:rFonts w:ascii="宋体" w:hAnsi="宋体"/>
          <w:color w:val="auto"/>
          <w:szCs w:val="21"/>
        </w:rPr>
      </w:pPr>
      <w:r>
        <w:rPr>
          <w:rFonts w:hint="eastAsia" w:ascii="宋体" w:hAnsi="宋体"/>
          <w:color w:val="auto"/>
          <w:szCs w:val="21"/>
        </w:rPr>
        <w:t>及时做好病虫害防治。</w:t>
      </w:r>
    </w:p>
    <w:p>
      <w:pPr>
        <w:spacing w:line="360" w:lineRule="auto"/>
        <w:jc w:val="left"/>
        <w:rPr>
          <w:rFonts w:ascii="宋体" w:hAnsi="宋体"/>
          <w:b/>
          <w:color w:val="auto"/>
          <w:szCs w:val="21"/>
        </w:rPr>
      </w:pPr>
      <w:r>
        <w:rPr>
          <w:rFonts w:hint="eastAsia" w:ascii="宋体" w:hAnsi="宋体"/>
          <w:b/>
          <w:color w:val="auto"/>
          <w:szCs w:val="21"/>
        </w:rPr>
        <w:t>五)共用部位、共用设备设施日常运行、保养、维修服务标准</w:t>
      </w:r>
    </w:p>
    <w:p>
      <w:pPr>
        <w:spacing w:line="360" w:lineRule="auto"/>
        <w:jc w:val="left"/>
        <w:rPr>
          <w:rFonts w:ascii="宋体" w:hAnsi="宋体"/>
          <w:b/>
          <w:color w:val="auto"/>
          <w:szCs w:val="21"/>
        </w:rPr>
      </w:pPr>
      <w:r>
        <w:rPr>
          <w:rFonts w:hint="eastAsia" w:ascii="宋体" w:hAnsi="宋体"/>
          <w:b/>
          <w:color w:val="auto"/>
          <w:szCs w:val="21"/>
        </w:rPr>
        <w:t>1.公共部位</w:t>
      </w:r>
    </w:p>
    <w:p>
      <w:pPr>
        <w:spacing w:line="360" w:lineRule="auto"/>
        <w:ind w:firstLine="210" w:firstLineChars="100"/>
        <w:jc w:val="left"/>
        <w:rPr>
          <w:rFonts w:ascii="宋体" w:hAnsi="宋体"/>
          <w:color w:val="auto"/>
          <w:szCs w:val="21"/>
        </w:rPr>
      </w:pPr>
      <w:r>
        <w:rPr>
          <w:rFonts w:hint="eastAsia" w:ascii="宋体" w:hAnsi="宋体"/>
          <w:color w:val="auto"/>
          <w:szCs w:val="21"/>
        </w:rPr>
        <w:t>(1)房屋结构</w:t>
      </w:r>
    </w:p>
    <w:p>
      <w:pPr>
        <w:spacing w:line="360" w:lineRule="auto"/>
        <w:ind w:firstLine="315" w:firstLineChars="150"/>
        <w:jc w:val="left"/>
        <w:rPr>
          <w:rFonts w:ascii="宋体" w:hAnsi="宋体"/>
          <w:color w:val="auto"/>
          <w:szCs w:val="21"/>
        </w:rPr>
      </w:pPr>
      <w:r>
        <w:rPr>
          <w:rFonts w:hint="eastAsia" w:ascii="宋体" w:hAnsi="宋体"/>
          <w:color w:val="auto"/>
          <w:szCs w:val="21"/>
        </w:rPr>
        <w:t>每年二次以上对房屋结构、涉及使用安全的部位进行检查并有记录，发现损坏及时安排专项修理并告知相关业主、使用人。</w:t>
      </w:r>
    </w:p>
    <w:p>
      <w:pPr>
        <w:spacing w:line="360" w:lineRule="auto"/>
        <w:ind w:firstLine="210" w:firstLineChars="100"/>
        <w:jc w:val="left"/>
        <w:rPr>
          <w:rFonts w:ascii="宋体" w:hAnsi="宋体"/>
          <w:color w:val="auto"/>
          <w:szCs w:val="21"/>
        </w:rPr>
      </w:pPr>
      <w:r>
        <w:rPr>
          <w:rFonts w:hint="eastAsia" w:ascii="宋体" w:hAnsi="宋体"/>
          <w:color w:val="auto"/>
          <w:szCs w:val="21"/>
        </w:rPr>
        <w:t>(2)门窗</w:t>
      </w:r>
    </w:p>
    <w:p>
      <w:pPr>
        <w:spacing w:line="360" w:lineRule="auto"/>
        <w:ind w:firstLine="315" w:firstLineChars="150"/>
        <w:jc w:val="left"/>
        <w:rPr>
          <w:rFonts w:ascii="宋体" w:hAnsi="宋体"/>
          <w:color w:val="auto"/>
          <w:szCs w:val="21"/>
        </w:rPr>
      </w:pPr>
      <w:r>
        <w:rPr>
          <w:rFonts w:hint="eastAsia" w:ascii="宋体" w:hAnsi="宋体"/>
          <w:color w:val="auto"/>
          <w:szCs w:val="21"/>
        </w:rPr>
        <w:t>每周一次巡视楼内公共部位门窗，保持玻璃、门窗配件完好，开门正常。</w:t>
      </w:r>
    </w:p>
    <w:p>
      <w:pPr>
        <w:spacing w:line="360" w:lineRule="auto"/>
        <w:ind w:firstLine="210" w:firstLineChars="100"/>
        <w:jc w:val="left"/>
        <w:rPr>
          <w:rFonts w:ascii="宋体" w:hAnsi="宋体"/>
          <w:color w:val="auto"/>
          <w:szCs w:val="21"/>
        </w:rPr>
      </w:pPr>
      <w:r>
        <w:rPr>
          <w:rFonts w:hint="eastAsia" w:ascii="宋体" w:hAnsi="宋体"/>
          <w:color w:val="auto"/>
          <w:szCs w:val="21"/>
        </w:rPr>
        <w:t>(3)楼内墙面、顶面、地面</w:t>
      </w:r>
    </w:p>
    <w:p>
      <w:pPr>
        <w:spacing w:line="360" w:lineRule="auto"/>
        <w:ind w:firstLine="315" w:firstLineChars="150"/>
        <w:jc w:val="left"/>
        <w:rPr>
          <w:rFonts w:ascii="宋体" w:hAnsi="宋体"/>
          <w:color w:val="auto"/>
          <w:szCs w:val="21"/>
        </w:rPr>
      </w:pPr>
      <w:r>
        <w:rPr>
          <w:rFonts w:hint="eastAsia" w:ascii="宋体" w:hAnsi="宋体"/>
          <w:color w:val="auto"/>
          <w:szCs w:val="21"/>
        </w:rPr>
        <w:t>墙面、顶面粉刷层无明显剥落，面砖、地砖平整不起壳、无缺损，墙面修补应保持与原墙面材质一致。</w:t>
      </w:r>
    </w:p>
    <w:p>
      <w:pPr>
        <w:spacing w:line="360" w:lineRule="auto"/>
        <w:ind w:firstLine="210" w:firstLineChars="100"/>
        <w:jc w:val="left"/>
        <w:rPr>
          <w:rFonts w:ascii="宋体" w:hAnsi="宋体"/>
          <w:color w:val="auto"/>
          <w:szCs w:val="21"/>
        </w:rPr>
      </w:pPr>
      <w:r>
        <w:rPr>
          <w:rFonts w:hint="eastAsia" w:ascii="宋体" w:hAnsi="宋体"/>
          <w:color w:val="auto"/>
          <w:szCs w:val="21"/>
        </w:rPr>
        <w:t>(4)管道、排水沟、屋顶</w:t>
      </w:r>
    </w:p>
    <w:p>
      <w:pPr>
        <w:spacing w:line="360" w:lineRule="auto"/>
        <w:ind w:firstLine="315" w:firstLineChars="150"/>
        <w:jc w:val="left"/>
        <w:rPr>
          <w:rFonts w:ascii="宋体" w:hAnsi="宋体"/>
          <w:color w:val="auto"/>
          <w:szCs w:val="21"/>
        </w:rPr>
      </w:pPr>
      <w:r>
        <w:rPr>
          <w:rFonts w:hint="eastAsia" w:ascii="宋体" w:hAnsi="宋体"/>
          <w:color w:val="auto"/>
          <w:szCs w:val="21"/>
        </w:rPr>
        <w:t>每季一次对屋面泄水沟、楼内外排水管道进行清扫、疏通，保障排水畅通。每半年检查一次屋顶，发现防水层有气膨、碎裂，隔热板有断裂、缺损的，应及时修理。</w:t>
      </w:r>
    </w:p>
    <w:p>
      <w:pPr>
        <w:spacing w:line="360" w:lineRule="auto"/>
        <w:ind w:firstLine="210" w:firstLineChars="100"/>
        <w:jc w:val="left"/>
        <w:rPr>
          <w:rFonts w:ascii="宋体" w:hAnsi="宋体"/>
          <w:color w:val="auto"/>
          <w:szCs w:val="21"/>
        </w:rPr>
      </w:pPr>
      <w:r>
        <w:rPr>
          <w:rFonts w:hint="eastAsia" w:ascii="宋体" w:hAnsi="宋体"/>
          <w:color w:val="auto"/>
          <w:szCs w:val="21"/>
        </w:rPr>
        <w:t>(5)围墙</w:t>
      </w:r>
    </w:p>
    <w:p>
      <w:pPr>
        <w:spacing w:line="360" w:lineRule="auto"/>
        <w:ind w:left="210" w:leftChars="100" w:firstLine="105" w:firstLineChars="50"/>
        <w:jc w:val="left"/>
        <w:rPr>
          <w:rFonts w:ascii="宋体" w:hAnsi="宋体"/>
          <w:color w:val="auto"/>
          <w:szCs w:val="21"/>
        </w:rPr>
      </w:pPr>
      <w:r>
        <w:rPr>
          <w:rFonts w:hint="eastAsia" w:ascii="宋体" w:hAnsi="宋体"/>
          <w:color w:val="auto"/>
          <w:szCs w:val="21"/>
        </w:rPr>
        <w:t>每月一次巡查围墙，发现损坏立即修复；铁栅栏围墙表面无明显锈蚀，保持围墙完好。(6)道路、场地等</w:t>
      </w:r>
    </w:p>
    <w:p>
      <w:pPr>
        <w:spacing w:line="360" w:lineRule="auto"/>
        <w:ind w:firstLine="315" w:firstLineChars="150"/>
        <w:jc w:val="left"/>
        <w:rPr>
          <w:rFonts w:ascii="宋体" w:hAnsi="宋体"/>
          <w:color w:val="auto"/>
          <w:szCs w:val="21"/>
        </w:rPr>
      </w:pPr>
      <w:r>
        <w:rPr>
          <w:rFonts w:hint="eastAsia" w:ascii="宋体" w:hAnsi="宋体"/>
          <w:color w:val="auto"/>
          <w:szCs w:val="21"/>
        </w:rPr>
        <w:t>每半月一次巡查道路、路面、侧石、井盖等，发现损坏及时修复，保持路面基本平整无积水，侧石平直无缺损。</w:t>
      </w:r>
    </w:p>
    <w:p>
      <w:pPr>
        <w:spacing w:line="360" w:lineRule="auto"/>
        <w:ind w:firstLine="210" w:firstLineChars="100"/>
        <w:jc w:val="left"/>
        <w:rPr>
          <w:rFonts w:ascii="宋体" w:hAnsi="宋体"/>
          <w:color w:val="auto"/>
          <w:szCs w:val="21"/>
        </w:rPr>
      </w:pPr>
      <w:r>
        <w:rPr>
          <w:rFonts w:hint="eastAsia" w:ascii="宋体" w:hAnsi="宋体"/>
          <w:color w:val="auto"/>
          <w:szCs w:val="21"/>
        </w:rPr>
        <w:t>(7)休闲椅、凉亭、雕塑、景观小品</w:t>
      </w:r>
    </w:p>
    <w:p>
      <w:pPr>
        <w:spacing w:line="360" w:lineRule="auto"/>
        <w:ind w:left="210" w:leftChars="100" w:firstLine="105" w:firstLineChars="50"/>
        <w:jc w:val="left"/>
        <w:rPr>
          <w:rFonts w:ascii="宋体" w:hAnsi="宋体"/>
          <w:color w:val="auto"/>
          <w:szCs w:val="21"/>
        </w:rPr>
      </w:pPr>
      <w:r>
        <w:rPr>
          <w:rFonts w:hint="eastAsia" w:ascii="宋体" w:hAnsi="宋体"/>
          <w:color w:val="auto"/>
          <w:szCs w:val="21"/>
        </w:rPr>
        <w:t>每周二次以上巡查， 发现损坏立即修复，保证器械、设施的安全使用(如需更换的除外)。(8)安全标志等</w:t>
      </w:r>
    </w:p>
    <w:p>
      <w:pPr>
        <w:spacing w:line="360" w:lineRule="auto"/>
        <w:ind w:firstLine="315" w:firstLineChars="150"/>
        <w:jc w:val="left"/>
        <w:rPr>
          <w:rFonts w:ascii="宋体" w:hAnsi="宋体"/>
          <w:color w:val="auto"/>
          <w:szCs w:val="21"/>
        </w:rPr>
      </w:pPr>
      <w:r>
        <w:rPr>
          <w:rFonts w:hint="eastAsia" w:ascii="宋体" w:hAnsi="宋体"/>
          <w:color w:val="auto"/>
          <w:szCs w:val="21"/>
        </w:rPr>
        <w:t>对危险隐患部位设置安全防范警示标志,并在主要通道设置安全疏散指示和事故照明设施。每月检查一次，保证标志清晰完整，设施运行正常。</w:t>
      </w:r>
    </w:p>
    <w:p>
      <w:pPr>
        <w:spacing w:line="360" w:lineRule="auto"/>
        <w:jc w:val="left"/>
        <w:rPr>
          <w:rFonts w:ascii="宋体" w:hAnsi="宋体"/>
          <w:b/>
          <w:color w:val="auto"/>
          <w:szCs w:val="21"/>
        </w:rPr>
      </w:pPr>
      <w:r>
        <w:rPr>
          <w:rFonts w:hint="eastAsia" w:ascii="宋体" w:hAnsi="宋体"/>
          <w:b/>
          <w:color w:val="auto"/>
          <w:szCs w:val="21"/>
        </w:rPr>
        <w:t>2.供水系统</w:t>
      </w:r>
    </w:p>
    <w:p>
      <w:pPr>
        <w:spacing w:line="360" w:lineRule="auto"/>
        <w:ind w:firstLine="210" w:firstLineChars="100"/>
        <w:jc w:val="left"/>
        <w:rPr>
          <w:rFonts w:ascii="宋体" w:hAnsi="宋体"/>
          <w:color w:val="auto"/>
          <w:szCs w:val="21"/>
        </w:rPr>
      </w:pPr>
      <w:r>
        <w:rPr>
          <w:rFonts w:hint="eastAsia" w:ascii="宋体" w:hAnsi="宋体"/>
          <w:color w:val="auto"/>
          <w:szCs w:val="21"/>
        </w:rPr>
        <w:t>(1)每周对供水设备检查三次以上，每季对水泵润滑点加油，每季一次对泵房、管道等进行除锈、油漆，每年保养一次水泵，保证二次供水正常，泵房整洁。</w:t>
      </w:r>
    </w:p>
    <w:p>
      <w:pPr>
        <w:spacing w:line="360" w:lineRule="auto"/>
        <w:ind w:firstLine="210" w:firstLineChars="100"/>
        <w:jc w:val="left"/>
        <w:rPr>
          <w:rFonts w:ascii="宋体" w:hAnsi="宋体"/>
          <w:color w:val="auto"/>
          <w:szCs w:val="21"/>
        </w:rPr>
      </w:pPr>
      <w:r>
        <w:rPr>
          <w:rFonts w:hint="eastAsia" w:ascii="宋体" w:hAnsi="宋体"/>
          <w:color w:val="auto"/>
          <w:szCs w:val="21"/>
        </w:rPr>
        <w:t>(2)每年定期二次清洗水箱、蓄水池，二次供水水质符合国家生活用水标准。</w:t>
      </w:r>
    </w:p>
    <w:p>
      <w:pPr>
        <w:spacing w:line="360" w:lineRule="auto"/>
        <w:ind w:firstLine="210" w:firstLineChars="100"/>
        <w:jc w:val="left"/>
        <w:rPr>
          <w:rFonts w:ascii="宋体" w:hAnsi="宋体"/>
          <w:color w:val="auto"/>
          <w:szCs w:val="21"/>
        </w:rPr>
      </w:pPr>
      <w:r>
        <w:rPr>
          <w:rFonts w:hint="eastAsia" w:ascii="宋体" w:hAnsi="宋体"/>
          <w:color w:val="auto"/>
          <w:szCs w:val="21"/>
        </w:rPr>
        <w:t>(3)高层房屋每年对减压阀进行测压并做好记录。</w:t>
      </w:r>
    </w:p>
    <w:p>
      <w:pPr>
        <w:spacing w:line="360" w:lineRule="auto"/>
        <w:ind w:firstLine="210" w:firstLineChars="100"/>
        <w:jc w:val="left"/>
        <w:rPr>
          <w:rFonts w:ascii="宋体" w:hAnsi="宋体"/>
          <w:color w:val="auto"/>
          <w:szCs w:val="21"/>
        </w:rPr>
      </w:pPr>
      <w:r>
        <w:rPr>
          <w:rFonts w:hint="eastAsia" w:ascii="宋体" w:hAnsi="宋体"/>
          <w:color w:val="auto"/>
          <w:szCs w:val="21"/>
        </w:rPr>
        <w:t>(4)水箱、蓄水池盖板应保持完好并加锁，溢流管口必须安装金属防护网并完好，每年秋、冬季对暴露水管进行防冻保养。</w:t>
      </w:r>
    </w:p>
    <w:p>
      <w:pPr>
        <w:spacing w:line="360" w:lineRule="auto"/>
        <w:jc w:val="left"/>
        <w:rPr>
          <w:rFonts w:ascii="宋体" w:hAnsi="宋体"/>
          <w:b/>
          <w:color w:val="auto"/>
          <w:szCs w:val="21"/>
        </w:rPr>
      </w:pPr>
      <w:r>
        <w:rPr>
          <w:rFonts w:hint="eastAsia" w:ascii="宋体" w:hAnsi="宋体"/>
          <w:b/>
          <w:color w:val="auto"/>
          <w:szCs w:val="21"/>
        </w:rPr>
        <w:t>3. 排水系统</w:t>
      </w:r>
    </w:p>
    <w:p>
      <w:pPr>
        <w:spacing w:line="360" w:lineRule="auto"/>
        <w:ind w:firstLine="210" w:firstLineChars="100"/>
        <w:jc w:val="left"/>
        <w:rPr>
          <w:rFonts w:ascii="宋体" w:hAnsi="宋体"/>
          <w:color w:val="auto"/>
          <w:szCs w:val="21"/>
        </w:rPr>
      </w:pPr>
      <w:r>
        <w:rPr>
          <w:rFonts w:hint="eastAsia" w:ascii="宋体" w:hAnsi="宋体"/>
          <w:color w:val="auto"/>
          <w:szCs w:val="21"/>
        </w:rPr>
        <w:t>(1)每天二次检查污水泵、提升泵、排出泵，每季1次润滑加油。</w:t>
      </w:r>
    </w:p>
    <w:p>
      <w:pPr>
        <w:spacing w:line="360" w:lineRule="auto"/>
        <w:ind w:firstLine="210" w:firstLineChars="100"/>
        <w:jc w:val="left"/>
        <w:rPr>
          <w:rFonts w:ascii="宋体" w:hAnsi="宋体"/>
          <w:color w:val="auto"/>
          <w:szCs w:val="21"/>
        </w:rPr>
      </w:pPr>
      <w:r>
        <w:rPr>
          <w:rFonts w:hint="eastAsia" w:ascii="宋体" w:hAnsi="宋体"/>
          <w:color w:val="auto"/>
          <w:szCs w:val="21"/>
        </w:rPr>
        <w:t>(2)每年对污水处理系统全面维护保养。</w:t>
      </w:r>
    </w:p>
    <w:p>
      <w:pPr>
        <w:spacing w:line="360" w:lineRule="auto"/>
        <w:ind w:firstLine="210" w:firstLineChars="100"/>
        <w:jc w:val="left"/>
        <w:rPr>
          <w:rFonts w:ascii="宋体" w:hAnsi="宋体"/>
          <w:color w:val="auto"/>
          <w:szCs w:val="21"/>
        </w:rPr>
      </w:pPr>
      <w:r>
        <w:rPr>
          <w:rFonts w:hint="eastAsia" w:ascii="宋体" w:hAnsi="宋体"/>
          <w:color w:val="auto"/>
          <w:szCs w:val="21"/>
        </w:rPr>
        <w:t>(3)控制柜电气性能完好，运作正常。</w:t>
      </w:r>
    </w:p>
    <w:p>
      <w:pPr>
        <w:spacing w:line="360" w:lineRule="auto"/>
        <w:ind w:firstLine="210" w:firstLineChars="100"/>
        <w:jc w:val="left"/>
        <w:rPr>
          <w:rFonts w:ascii="宋体" w:hAnsi="宋体"/>
          <w:color w:val="auto"/>
          <w:szCs w:val="21"/>
        </w:rPr>
      </w:pPr>
      <w:r>
        <w:rPr>
          <w:rFonts w:hint="eastAsia" w:ascii="宋体" w:hAnsi="宋体"/>
          <w:color w:val="auto"/>
          <w:szCs w:val="21"/>
        </w:rPr>
        <w:t>(4)污水处理系统正常运行，周边基本无异味和明显噪声，过滤格栅无堵塞，污水排放符合环保要求。</w:t>
      </w:r>
    </w:p>
    <w:p>
      <w:pPr>
        <w:spacing w:line="360" w:lineRule="auto"/>
        <w:jc w:val="left"/>
        <w:rPr>
          <w:rFonts w:ascii="宋体" w:hAnsi="宋体"/>
          <w:b/>
          <w:color w:val="auto"/>
          <w:szCs w:val="21"/>
        </w:rPr>
      </w:pPr>
      <w:r>
        <w:rPr>
          <w:rFonts w:hint="eastAsia" w:ascii="宋体" w:hAnsi="宋体"/>
          <w:b/>
          <w:color w:val="auto"/>
          <w:szCs w:val="21"/>
        </w:rPr>
        <w:t>4.公共照明</w:t>
      </w:r>
    </w:p>
    <w:p>
      <w:pPr>
        <w:spacing w:line="360" w:lineRule="auto"/>
        <w:ind w:firstLine="210" w:firstLineChars="100"/>
        <w:jc w:val="left"/>
        <w:rPr>
          <w:rFonts w:ascii="宋体" w:hAnsi="宋体"/>
          <w:color w:val="auto"/>
          <w:szCs w:val="21"/>
        </w:rPr>
      </w:pPr>
      <w:r>
        <w:rPr>
          <w:rFonts w:hint="eastAsia" w:ascii="宋体" w:hAnsi="宋体"/>
          <w:color w:val="auto"/>
          <w:szCs w:val="21"/>
        </w:rPr>
        <w:t>(1)公灯</w:t>
      </w:r>
    </w:p>
    <w:p>
      <w:pPr>
        <w:spacing w:line="360" w:lineRule="auto"/>
        <w:ind w:firstLine="315" w:firstLineChars="150"/>
        <w:jc w:val="left"/>
        <w:rPr>
          <w:rFonts w:ascii="宋体" w:hAnsi="宋体"/>
          <w:color w:val="auto"/>
          <w:szCs w:val="21"/>
        </w:rPr>
      </w:pPr>
      <w:r>
        <w:rPr>
          <w:rFonts w:hint="eastAsia" w:ascii="宋体" w:hAnsi="宋体"/>
          <w:color w:val="auto"/>
          <w:szCs w:val="21"/>
        </w:rPr>
        <w:t>及时修复损坏的灯座、灯泡、开关等，保持灯具完好，小区内楼道灯、街坊灯亮灯率在95%以上。</w:t>
      </w:r>
    </w:p>
    <w:p>
      <w:pPr>
        <w:spacing w:line="360" w:lineRule="auto"/>
        <w:ind w:firstLine="210" w:firstLineChars="100"/>
        <w:jc w:val="left"/>
        <w:rPr>
          <w:rFonts w:ascii="宋体" w:hAnsi="宋体"/>
          <w:color w:val="auto"/>
          <w:szCs w:val="21"/>
        </w:rPr>
      </w:pPr>
      <w:r>
        <w:rPr>
          <w:rFonts w:hint="eastAsia" w:ascii="宋体" w:hAnsi="宋体"/>
          <w:color w:val="auto"/>
          <w:szCs w:val="21"/>
        </w:rPr>
        <w:t>(2)景观灯、节日彩灯、大堂吊灯等</w:t>
      </w:r>
    </w:p>
    <w:p>
      <w:pPr>
        <w:spacing w:line="360" w:lineRule="auto"/>
        <w:ind w:firstLine="315" w:firstLineChars="150"/>
        <w:jc w:val="left"/>
        <w:rPr>
          <w:rFonts w:ascii="宋体" w:hAnsi="宋体"/>
          <w:color w:val="auto"/>
          <w:szCs w:val="21"/>
        </w:rPr>
      </w:pPr>
      <w:r>
        <w:rPr>
          <w:rFonts w:hint="eastAsia" w:ascii="宋体" w:hAnsi="宋体"/>
          <w:color w:val="auto"/>
          <w:szCs w:val="21"/>
        </w:rPr>
        <w:t>保持灯具完好，亮灯率在98%以上。</w:t>
      </w:r>
    </w:p>
    <w:p>
      <w:pPr>
        <w:spacing w:line="360" w:lineRule="auto"/>
        <w:ind w:firstLine="210" w:firstLineChars="100"/>
        <w:jc w:val="left"/>
        <w:rPr>
          <w:rFonts w:ascii="宋体" w:hAnsi="宋体"/>
          <w:color w:val="auto"/>
          <w:szCs w:val="21"/>
        </w:rPr>
      </w:pPr>
      <w:r>
        <w:rPr>
          <w:rFonts w:hint="eastAsia" w:ascii="宋体" w:hAnsi="宋体"/>
          <w:color w:val="auto"/>
          <w:szCs w:val="21"/>
        </w:rPr>
        <w:t>(3)公共电气柜</w:t>
      </w:r>
    </w:p>
    <w:p>
      <w:pPr>
        <w:spacing w:line="360" w:lineRule="auto"/>
        <w:ind w:firstLine="315" w:firstLineChars="150"/>
        <w:jc w:val="left"/>
        <w:rPr>
          <w:rFonts w:ascii="宋体" w:hAnsi="宋体"/>
          <w:color w:val="auto"/>
          <w:szCs w:val="21"/>
        </w:rPr>
      </w:pPr>
      <w:r>
        <w:rPr>
          <w:rFonts w:hint="eastAsia" w:ascii="宋体" w:hAnsi="宋体"/>
          <w:color w:val="auto"/>
          <w:szCs w:val="21"/>
        </w:rPr>
        <w:t>每日一次巡查室内、室外公共电气柜，每月一次保养室内、室外公共电气柜，每年一次电气安全检查，保证电气设备运行安全正常。</w:t>
      </w:r>
    </w:p>
    <w:p>
      <w:pPr>
        <w:spacing w:line="360" w:lineRule="auto"/>
        <w:jc w:val="left"/>
        <w:rPr>
          <w:rFonts w:ascii="宋体" w:hAnsi="宋体"/>
          <w:b/>
          <w:color w:val="auto"/>
          <w:szCs w:val="21"/>
        </w:rPr>
      </w:pPr>
      <w:r>
        <w:rPr>
          <w:rFonts w:hint="eastAsia" w:ascii="宋体" w:hAnsi="宋体"/>
          <w:b/>
          <w:color w:val="auto"/>
          <w:szCs w:val="21"/>
        </w:rPr>
        <w:t>5.消防设施、设备</w:t>
      </w:r>
    </w:p>
    <w:p>
      <w:pPr>
        <w:spacing w:line="360" w:lineRule="auto"/>
        <w:ind w:firstLine="315" w:firstLineChars="150"/>
        <w:jc w:val="left"/>
        <w:rPr>
          <w:rFonts w:ascii="宋体" w:hAnsi="宋体"/>
          <w:color w:val="auto"/>
          <w:szCs w:val="21"/>
        </w:rPr>
      </w:pPr>
      <w:r>
        <w:rPr>
          <w:rFonts w:hint="eastAsia" w:ascii="宋体" w:hAnsi="宋体"/>
          <w:color w:val="auto"/>
          <w:szCs w:val="21"/>
        </w:rPr>
        <w:t>1)、消防泵每月启动一次并作记录，每年保养一次，保证其运行正常。</w:t>
      </w:r>
    </w:p>
    <w:p>
      <w:pPr>
        <w:spacing w:line="360" w:lineRule="auto"/>
        <w:ind w:firstLine="315" w:firstLineChars="150"/>
        <w:jc w:val="left"/>
        <w:rPr>
          <w:rFonts w:ascii="宋体" w:hAnsi="宋体"/>
          <w:color w:val="auto"/>
          <w:szCs w:val="21"/>
        </w:rPr>
      </w:pPr>
      <w:r>
        <w:rPr>
          <w:rFonts w:hint="eastAsia" w:ascii="宋体" w:hAnsi="宋体"/>
          <w:color w:val="auto"/>
          <w:szCs w:val="21"/>
        </w:rPr>
        <w:t>2)、消防栓每月超查一次，消防栓箱内各种配件完好。</w:t>
      </w:r>
    </w:p>
    <w:p>
      <w:pPr>
        <w:spacing w:line="360" w:lineRule="auto"/>
        <w:ind w:firstLine="315" w:firstLineChars="150"/>
        <w:jc w:val="left"/>
        <w:rPr>
          <w:rFonts w:ascii="宋体" w:hAnsi="宋体"/>
          <w:color w:val="auto"/>
          <w:szCs w:val="21"/>
        </w:rPr>
      </w:pPr>
      <w:r>
        <w:rPr>
          <w:rFonts w:hint="eastAsia" w:ascii="宋体" w:hAnsi="宋体"/>
          <w:color w:val="auto"/>
          <w:szCs w:val="21"/>
        </w:rPr>
        <w:t>3)、每天检查火警功能、报警功能是否正常，</w:t>
      </w:r>
    </w:p>
    <w:p>
      <w:pPr>
        <w:spacing w:line="360" w:lineRule="auto"/>
        <w:ind w:left="315" w:leftChars="150"/>
        <w:jc w:val="left"/>
        <w:rPr>
          <w:rFonts w:ascii="宋体" w:hAnsi="宋体"/>
          <w:color w:val="auto"/>
          <w:szCs w:val="21"/>
        </w:rPr>
      </w:pPr>
      <w:r>
        <w:rPr>
          <w:rFonts w:hint="eastAsia" w:ascii="宋体" w:hAnsi="宋体"/>
          <w:color w:val="auto"/>
          <w:szCs w:val="21"/>
        </w:rPr>
        <w:t>4)、每年试验一次探测器，并对全部控制装置进行一次试验，火灾探测器投入运行二年后，应每隔三年全部清洗一次，不合格的应当调换。</w:t>
      </w:r>
    </w:p>
    <w:p>
      <w:pPr>
        <w:spacing w:line="360" w:lineRule="auto"/>
        <w:ind w:firstLine="315" w:firstLineChars="150"/>
        <w:jc w:val="left"/>
        <w:rPr>
          <w:rFonts w:ascii="宋体" w:hAnsi="宋体"/>
          <w:color w:val="auto"/>
          <w:szCs w:val="21"/>
        </w:rPr>
      </w:pPr>
      <w:r>
        <w:rPr>
          <w:rFonts w:hint="eastAsia" w:ascii="宋体" w:hAnsi="宋体"/>
          <w:color w:val="auto"/>
          <w:szCs w:val="21"/>
        </w:rPr>
        <w:t>5)、每半年检查一次消防水带、阀杆处加注润滑油并作一次放水检查。</w:t>
      </w:r>
    </w:p>
    <w:p>
      <w:pPr>
        <w:spacing w:line="360" w:lineRule="auto"/>
        <w:ind w:firstLine="315" w:firstLineChars="150"/>
        <w:jc w:val="left"/>
        <w:rPr>
          <w:rFonts w:ascii="宋体" w:hAnsi="宋体"/>
          <w:color w:val="auto"/>
          <w:szCs w:val="21"/>
        </w:rPr>
      </w:pPr>
      <w:r>
        <w:rPr>
          <w:rFonts w:hint="eastAsia" w:ascii="宋体" w:hAnsi="宋体"/>
          <w:color w:val="auto"/>
          <w:szCs w:val="21"/>
        </w:rPr>
        <w:t>6)、每月检查一次灭火器，临近失效立即更新或充压。</w:t>
      </w:r>
    </w:p>
    <w:p>
      <w:pPr>
        <w:spacing w:line="360" w:lineRule="auto"/>
        <w:jc w:val="left"/>
        <w:rPr>
          <w:rFonts w:ascii="宋体" w:hAnsi="宋体"/>
          <w:b/>
          <w:color w:val="auto"/>
          <w:szCs w:val="21"/>
        </w:rPr>
      </w:pPr>
      <w:r>
        <w:rPr>
          <w:rFonts w:hint="eastAsia" w:ascii="宋体" w:hAnsi="宋体"/>
          <w:b/>
          <w:color w:val="auto"/>
          <w:szCs w:val="21"/>
        </w:rPr>
        <w:t>6.避雷设施</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每年检查避雷装置一次，18层以上的楼宇每年应测试一次，保证其性能符合国家相关标准。</w:t>
      </w:r>
    </w:p>
    <w:p>
      <w:pPr>
        <w:spacing w:line="360" w:lineRule="auto"/>
        <w:jc w:val="left"/>
        <w:rPr>
          <w:rFonts w:ascii="宋体" w:hAnsi="宋体"/>
          <w:b/>
          <w:color w:val="auto"/>
          <w:szCs w:val="21"/>
        </w:rPr>
      </w:pPr>
      <w:r>
        <w:rPr>
          <w:rFonts w:hint="eastAsia" w:ascii="宋体" w:hAnsi="宋体"/>
          <w:b/>
          <w:color w:val="auto"/>
          <w:szCs w:val="21"/>
        </w:rPr>
        <w:t>7.弱电系统</w:t>
      </w:r>
    </w:p>
    <w:p>
      <w:pPr>
        <w:spacing w:line="360" w:lineRule="auto"/>
        <w:ind w:firstLine="315" w:firstLineChars="150"/>
        <w:jc w:val="left"/>
        <w:rPr>
          <w:rFonts w:ascii="宋体" w:hAnsi="宋体"/>
          <w:color w:val="auto"/>
          <w:szCs w:val="21"/>
        </w:rPr>
      </w:pPr>
      <w:r>
        <w:rPr>
          <w:rFonts w:hint="eastAsia" w:ascii="宋体" w:hAnsi="宋体"/>
          <w:color w:val="auto"/>
          <w:szCs w:val="21"/>
        </w:rPr>
        <w:t>(1)楼宇对讲系统(可视)</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不定期进行调试与保养，保证其2 4小时运行正常，对讲主机选呼功能正常，且选呼后的对讲(可视)功能正常，语音(图像)清晰，对讲分机开锁功能、门体的闭门器自动闭门功能正常。</w:t>
      </w:r>
    </w:p>
    <w:p>
      <w:pPr>
        <w:spacing w:line="360" w:lineRule="auto"/>
        <w:ind w:firstLine="315" w:firstLineChars="150"/>
        <w:jc w:val="left"/>
        <w:rPr>
          <w:rFonts w:ascii="宋体" w:hAnsi="宋体"/>
          <w:color w:val="auto"/>
          <w:szCs w:val="21"/>
        </w:rPr>
      </w:pPr>
      <w:r>
        <w:rPr>
          <w:rFonts w:hint="eastAsia" w:ascii="宋体" w:hAnsi="宋体"/>
          <w:color w:val="auto"/>
          <w:szCs w:val="21"/>
        </w:rPr>
        <w:t>(2)住户报警</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不定期进行调试与保养，保证其2 4小时运行正常，中心报警控制主机应能准确显示报警或故障发生的信息，并同时发出声光报警信号。</w:t>
      </w:r>
    </w:p>
    <w:p>
      <w:pPr>
        <w:spacing w:line="360" w:lineRule="auto"/>
        <w:ind w:firstLine="315" w:firstLineChars="150"/>
        <w:jc w:val="left"/>
        <w:rPr>
          <w:rFonts w:ascii="宋体" w:hAnsi="宋体"/>
          <w:color w:val="auto"/>
          <w:szCs w:val="21"/>
        </w:rPr>
      </w:pPr>
      <w:r>
        <w:rPr>
          <w:rFonts w:hint="eastAsia" w:ascii="宋体" w:hAnsi="宋体"/>
          <w:color w:val="auto"/>
          <w:szCs w:val="21"/>
        </w:rPr>
        <w:t>(3)周界报警</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2 4小时设防并正常运行，不定期进行调试与保养，保证该系统的警戒线封闭、无盲区和死角，保证中心控制室能通过显示屏、报警控制器或电子地图准确地识别报警区域，收到警情时，能同时发出声光报警信号。</w:t>
      </w:r>
    </w:p>
    <w:p>
      <w:pPr>
        <w:spacing w:line="360" w:lineRule="auto"/>
        <w:ind w:firstLine="315" w:firstLineChars="150"/>
        <w:jc w:val="left"/>
        <w:rPr>
          <w:rFonts w:ascii="宋体" w:hAnsi="宋体"/>
          <w:color w:val="auto"/>
          <w:szCs w:val="21"/>
        </w:rPr>
      </w:pPr>
      <w:r>
        <w:rPr>
          <w:rFonts w:hint="eastAsia" w:ascii="宋体" w:hAnsi="宋体"/>
          <w:color w:val="auto"/>
          <w:szCs w:val="21"/>
        </w:rPr>
        <w:t>(4)监视系统</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不定期进行调试与保养，保证各项监控设备2 4小时正常运行，能清楚显示出入人员的面部特征和车辆的车牌号，录像功能正常。</w:t>
      </w:r>
    </w:p>
    <w:p>
      <w:pPr>
        <w:spacing w:line="360" w:lineRule="auto"/>
        <w:ind w:firstLine="315" w:firstLineChars="150"/>
        <w:jc w:val="left"/>
        <w:rPr>
          <w:rFonts w:ascii="宋体" w:hAnsi="宋体"/>
          <w:color w:val="auto"/>
          <w:szCs w:val="21"/>
        </w:rPr>
      </w:pPr>
      <w:r>
        <w:rPr>
          <w:rFonts w:hint="eastAsia" w:ascii="宋体" w:hAnsi="宋体"/>
          <w:color w:val="auto"/>
          <w:szCs w:val="21"/>
        </w:rPr>
        <w:t>(5)电子巡更</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根据需要设定巡更路线、时间，不定期地进行调试与保养，保证其正常运行，保持巡更时间、地点、人员和顺序等数据的显示，归档、查询和打印等功能正常，巡更违规记录提示功能正常。</w:t>
      </w:r>
    </w:p>
    <w:p>
      <w:pPr>
        <w:spacing w:line="360" w:lineRule="auto"/>
        <w:jc w:val="left"/>
        <w:rPr>
          <w:rFonts w:ascii="宋体" w:hAnsi="宋体"/>
          <w:b/>
          <w:color w:val="auto"/>
          <w:szCs w:val="21"/>
        </w:rPr>
      </w:pPr>
      <w:r>
        <w:rPr>
          <w:rFonts w:hint="eastAsia" w:ascii="宋体" w:hAnsi="宋体"/>
          <w:b/>
          <w:color w:val="auto"/>
          <w:szCs w:val="21"/>
        </w:rPr>
        <w:t>8.电梯系统</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(1)保证电梯24小时运行，轿厢内按钮、灯具等配件保持完好，轿厢整洁。</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(2)委托专业维售保养单位进行定期保养，每年进行安全检测并持有有效的《安全使用许可证》，物业公司应有专人对电梯保养进行监督，并对电梯运行进行管理。</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(3)电梯发生一般故障的，专业维修人员二小时内到达现场修理，发生电梯困人或其它重大事件时，物业管理人员须在五分钟内到现场应急处理，专业技术人员须在半小时内到现场进行救助。</w:t>
      </w:r>
    </w:p>
    <w:p>
      <w:pPr>
        <w:spacing w:line="360" w:lineRule="auto"/>
        <w:ind w:firstLine="315" w:firstLineChars="150"/>
        <w:jc w:val="left"/>
        <w:rPr>
          <w:rFonts w:ascii="宋体" w:hAnsi="宋体"/>
          <w:color w:val="auto"/>
          <w:szCs w:val="21"/>
        </w:rPr>
      </w:pPr>
    </w:p>
    <w:p>
      <w:pPr>
        <w:spacing w:line="360" w:lineRule="auto"/>
        <w:ind w:firstLine="315" w:firstLineChars="150"/>
        <w:jc w:val="left"/>
        <w:rPr>
          <w:rFonts w:ascii="宋体" w:hAnsi="宋体"/>
          <w:color w:val="auto"/>
          <w:szCs w:val="21"/>
        </w:rPr>
      </w:pPr>
    </w:p>
    <w:p>
      <w:pPr>
        <w:spacing w:line="360" w:lineRule="auto"/>
        <w:ind w:firstLine="525" w:firstLineChars="250"/>
        <w:jc w:val="left"/>
        <w:rPr>
          <w:rFonts w:ascii="宋体" w:hAnsi="宋体"/>
          <w:color w:val="auto"/>
          <w:szCs w:val="21"/>
        </w:rPr>
      </w:pPr>
      <w:r>
        <w:rPr>
          <w:rFonts w:hint="eastAsia" w:ascii="宋体" w:hAnsi="宋体"/>
          <w:color w:val="auto"/>
          <w:szCs w:val="21"/>
        </w:rPr>
        <w:t xml:space="preserve"> </w:t>
      </w:r>
      <w:r>
        <w:rPr>
          <w:rFonts w:hint="eastAsia" w:ascii="宋体" w:hAnsi="宋体"/>
          <w:b/>
          <w:color w:val="auto"/>
          <w:sz w:val="28"/>
          <w:szCs w:val="28"/>
        </w:rPr>
        <w:t>5.物业管理服务力量配置标准</w:t>
      </w:r>
    </w:p>
    <w:p>
      <w:pPr>
        <w:spacing w:line="360" w:lineRule="auto"/>
        <w:jc w:val="left"/>
        <w:rPr>
          <w:rFonts w:ascii="宋体" w:hAnsi="宋体"/>
          <w:b/>
          <w:color w:val="auto"/>
          <w:szCs w:val="21"/>
        </w:rPr>
      </w:pPr>
      <w:r>
        <w:rPr>
          <w:rFonts w:hint="eastAsia" w:ascii="宋体" w:hAnsi="宋体"/>
          <w:b/>
          <w:color w:val="auto"/>
          <w:szCs w:val="21"/>
        </w:rPr>
        <w:t>5.1物业服务企业提供物业服务时，物业服务力量配备应当符合下列标准。</w:t>
      </w:r>
    </w:p>
    <w:p>
      <w:pPr>
        <w:spacing w:line="360" w:lineRule="auto"/>
        <w:ind w:firstLine="315" w:firstLineChars="150"/>
        <w:jc w:val="left"/>
        <w:rPr>
          <w:rFonts w:ascii="宋体" w:hAnsi="宋体"/>
          <w:color w:val="auto"/>
          <w:szCs w:val="21"/>
        </w:rPr>
      </w:pPr>
    </w:p>
    <w:p>
      <w:pPr>
        <w:spacing w:line="360" w:lineRule="auto"/>
        <w:ind w:firstLine="315" w:firstLineChars="150"/>
        <w:jc w:val="left"/>
        <w:rPr>
          <w:rFonts w:ascii="宋体" w:hAnsi="宋体"/>
          <w:color w:val="auto"/>
          <w:szCs w:val="21"/>
        </w:rPr>
      </w:pPr>
      <w:r>
        <w:rPr>
          <w:rFonts w:hint="eastAsia" w:ascii="宋体" w:hAnsi="宋体"/>
          <w:color w:val="auto"/>
          <w:szCs w:val="21"/>
        </w:rPr>
        <w:t>一 、人力资源配备指导标准2 17 3 6 1</w:t>
      </w:r>
    </w:p>
    <w:p>
      <w:pPr>
        <w:spacing w:line="360" w:lineRule="auto"/>
        <w:ind w:firstLine="420" w:firstLineChars="200"/>
        <w:jc w:val="left"/>
        <w:rPr>
          <w:rFonts w:ascii="宋体" w:hAnsi="宋体"/>
          <w:color w:val="auto"/>
          <w:szCs w:val="21"/>
        </w:rPr>
      </w:pPr>
      <w:r>
        <w:rPr>
          <w:rFonts w:hint="eastAsia" w:ascii="宋体" w:hAnsi="宋体"/>
          <w:color w:val="auto"/>
          <w:szCs w:val="21"/>
        </w:rPr>
        <w:t>(一)客户服务人员配备指导标准:</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1、客户服务人员配备的最低标准不得低于1人/30000平方米或者1人/300户；</w:t>
      </w:r>
    </w:p>
    <w:p>
      <w:pPr>
        <w:spacing w:line="360" w:lineRule="auto"/>
        <w:ind w:firstLine="420" w:firstLineChars="200"/>
        <w:jc w:val="left"/>
        <w:rPr>
          <w:rFonts w:ascii="宋体" w:hAnsi="宋体"/>
          <w:color w:val="auto"/>
          <w:szCs w:val="21"/>
        </w:rPr>
      </w:pPr>
      <w:r>
        <w:rPr>
          <w:rFonts w:hint="eastAsia" w:ascii="宋体" w:hAnsi="宋体"/>
          <w:color w:val="auto"/>
          <w:szCs w:val="21"/>
        </w:rPr>
        <w:t>2、参考定额人数R1=建筑区划总建筑面积(平方米)÷20000(平方米)；</w:t>
      </w:r>
    </w:p>
    <w:p>
      <w:pPr>
        <w:spacing w:line="360" w:lineRule="auto"/>
        <w:ind w:firstLine="420" w:firstLineChars="200"/>
        <w:jc w:val="left"/>
        <w:rPr>
          <w:rFonts w:ascii="宋体" w:hAnsi="宋体"/>
          <w:color w:val="auto"/>
          <w:szCs w:val="21"/>
        </w:rPr>
      </w:pPr>
      <w:r>
        <w:rPr>
          <w:rFonts w:hint="eastAsia" w:ascii="宋体" w:hAnsi="宋体"/>
          <w:color w:val="auto"/>
          <w:szCs w:val="21"/>
        </w:rPr>
        <w:t>(二)秩序维护人员配备指导标准：</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1、物业服务企业应当按建筑区划实际情况，在建筑区划各出入口、监控室每处配备最低3名的秩序维护人员，至少6名巡逻人员，并配备至少2名机动人员；</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2.参考定顿人员数R2=[主出入口数×6+次出入口数×3+ (建筑区划总建筑面积÷40000平方米)×3+监控室数×3]×4/3+2名机动人员；</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(三)建筑物及其附属设施设备维护人员配备指导标准:</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1、根据建筑区划硬件配备的不同，建筑物及其附属设施设备维护人员配备的最低标准不得低于1人/35000平方米，且应配备强电、弱电、管通等专业维养人员；</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2、参考定额人数R3＝建筑区划总建筑面积(平方米) ÷ 20000(平方米)；</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3、高低压室、锅炉房、中央空调等机房的运行人员按照国家相关要求据实配备；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4、物业服务企业需配备强电、弱电工程师各一名，对受聘提供物业服务的建筑区划提供有效技术支持；</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5、 物业服务合同约定的物业服务标准高于本指导标准的，按照合同约定的人数和要求进行配备。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(四)环卫维护人员配备指导标准:</w:t>
      </w:r>
    </w:p>
    <w:p>
      <w:pPr>
        <w:spacing w:line="360" w:lineRule="auto"/>
        <w:ind w:firstLine="420" w:firstLineChars="200"/>
        <w:jc w:val="left"/>
        <w:rPr>
          <w:rFonts w:ascii="宋体" w:hAnsi="宋体"/>
          <w:color w:val="auto"/>
          <w:szCs w:val="21"/>
        </w:rPr>
      </w:pPr>
      <w:r>
        <w:rPr>
          <w:rFonts w:hint="eastAsia" w:ascii="宋体" w:hAnsi="宋体"/>
          <w:color w:val="auto"/>
          <w:szCs w:val="21"/>
        </w:rPr>
        <w:t>1、环卫维护人员配备的最低标准，不得低于1人/15000平方米</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2、参专定额人数R4=建筑区划总建筑面积(平方米) ÷10000(平方米) ;</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3、物业服务合同约定的物业服务标准高于本指导标准的，按照合同约定的人数和要求进行配备。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(五)绿化维养人员配备指导标准:</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1、绿化维养人员配备的最低标准不得低于1人/10000(平方米) (绿地面积) ；</w:t>
      </w:r>
    </w:p>
    <w:p>
      <w:pPr>
        <w:spacing w:line="360" w:lineRule="auto"/>
        <w:ind w:firstLine="420" w:firstLineChars="200"/>
        <w:jc w:val="left"/>
        <w:rPr>
          <w:rFonts w:ascii="宋体" w:hAnsi="宋体"/>
          <w:color w:val="auto"/>
          <w:szCs w:val="21"/>
        </w:rPr>
      </w:pPr>
      <w:r>
        <w:rPr>
          <w:rFonts w:hint="eastAsia" w:ascii="宋体" w:hAnsi="宋体"/>
          <w:color w:val="auto"/>
          <w:szCs w:val="21"/>
        </w:rPr>
        <w:t>2、参考定额人数R5=绿地面积(平方米) ÷8000(平方米);</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(六)建筑区划物业公共服务人员配备总额: R=R1+R2+R3+R4+R5</w:t>
      </w:r>
    </w:p>
    <w:p>
      <w:pPr>
        <w:spacing w:line="360" w:lineRule="auto"/>
        <w:jc w:val="left"/>
        <w:rPr>
          <w:rFonts w:ascii="宋体" w:hAnsi="宋体"/>
          <w:color w:val="auto"/>
          <w:szCs w:val="21"/>
        </w:rPr>
      </w:pPr>
      <w:r>
        <w:rPr>
          <w:rFonts w:hint="eastAsia" w:ascii="宋体" w:hAnsi="宋体"/>
          <w:color w:val="auto"/>
          <w:szCs w:val="21"/>
        </w:rPr>
        <w:t>二、设备、器材、信息等技术与装备配备指导标准</w:t>
      </w:r>
    </w:p>
    <w:p>
      <w:pPr>
        <w:spacing w:line="360" w:lineRule="auto"/>
        <w:ind w:firstLine="315" w:firstLineChars="150"/>
        <w:jc w:val="left"/>
        <w:rPr>
          <w:rFonts w:ascii="宋体" w:hAnsi="宋体"/>
          <w:color w:val="auto"/>
          <w:szCs w:val="21"/>
        </w:rPr>
      </w:pPr>
      <w:r>
        <w:rPr>
          <w:rFonts w:hint="eastAsia" w:ascii="宋体" w:hAnsi="宋体"/>
          <w:color w:val="auto"/>
          <w:szCs w:val="21"/>
        </w:rPr>
        <w:t>物业服务企业或者其他管理人应当根据建筑区划规模及附属设施设备情况配备以下设备、器材、信息等技术与装备: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(一)维修工具、器材配备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1、基本配备:指针万用表或数字万用表、数字钳型表、兆欧表、红外线测温仪、绝缘手套、绝缘靴、高压验电器、接地棒、临时接地线、管钳、锯弓、电锤、手枪钻、套装扳手、喷灯、焊机(焊钳、面罩)、三爪</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2、为受聘提供物业服务的建筑区划配备:人字梯温湿度计、线盘、玻璃胶枪、电动疏通器、机动潜水泵、皮碗、压线钳、铆枪、锉刀、平板车、安全帽、安全带、应急照明灯、防水电筒、临时电源线、电烙铁、手锤、皮老虎、管钳、施工专用标识牌</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3.个人工具:电工专用工具箱</w:t>
      </w:r>
    </w:p>
    <w:p>
      <w:pPr>
        <w:spacing w:line="360" w:lineRule="auto"/>
        <w:ind w:firstLine="525" w:firstLineChars="250"/>
        <w:jc w:val="left"/>
        <w:rPr>
          <w:rFonts w:ascii="宋体" w:hAnsi="宋体"/>
          <w:color w:val="auto"/>
          <w:szCs w:val="21"/>
        </w:rPr>
      </w:pPr>
      <w:r>
        <w:rPr>
          <w:rFonts w:hint="eastAsia" w:ascii="宋体" w:hAnsi="宋体"/>
          <w:color w:val="auto"/>
          <w:szCs w:val="21"/>
        </w:rPr>
        <w:t>(二)办公用具、器材配备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电脑、打印机、传真机，复印机、点钞机、电话、空调、办公桌椅、文件柜、保险柜、书柜、标识标牌、办公文具、饮水机、管理员服装</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(三)公共秩序维护工具、器村配备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头盔、消防斧、防护服、安全境、砂铲、消防桶、面草、消防板手等战备消防器材、双层床、衣柜、专用制服、大衣、雨衣、雨鞋，电扇、热水器、强光手电、对讲机、专用器材</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(四)环卫维护器材配备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洗地机、石材打磨机、抛光机、吸尘器，塑料垃圾桶、垃圾推车、高空作业保护工具、清洁用品、服装</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(五)绿化维养工具配备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剪草机、喷药机、绿篱切割机、个人绿化器具</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(六)信息资源配备</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具有功能网络化的办公软件、财务软件</w:t>
      </w:r>
    </w:p>
    <w:p>
      <w:pPr>
        <w:spacing w:line="360" w:lineRule="auto"/>
        <w:ind w:firstLine="315" w:firstLineChars="150"/>
        <w:jc w:val="left"/>
        <w:rPr>
          <w:rFonts w:ascii="宋体" w:hAnsi="宋体"/>
          <w:color w:val="auto"/>
          <w:szCs w:val="21"/>
        </w:rPr>
      </w:pPr>
      <w:r>
        <w:rPr>
          <w:rFonts w:hint="eastAsia" w:ascii="宋体" w:hAnsi="宋体"/>
          <w:color w:val="auto"/>
          <w:szCs w:val="21"/>
        </w:rPr>
        <w:t>5.2为保证物业服务质量的稳定，招标人要求中标人应当确保派驻本项目的物业服务工作人员的一定稳定性，特提出下列要求:</w:t>
      </w:r>
    </w:p>
    <w:p>
      <w:pPr>
        <w:spacing w:line="360" w:lineRule="auto"/>
        <w:ind w:firstLine="315" w:firstLineChars="150"/>
        <w:jc w:val="left"/>
        <w:rPr>
          <w:rFonts w:ascii="宋体" w:hAnsi="宋体"/>
          <w:color w:val="auto"/>
          <w:szCs w:val="21"/>
        </w:rPr>
      </w:pPr>
      <w:r>
        <w:rPr>
          <w:rFonts w:hint="eastAsia" w:ascii="宋体" w:hAnsi="宋体"/>
          <w:color w:val="auto"/>
          <w:szCs w:val="21"/>
        </w:rPr>
        <w:t>1)、所有工作人员的工资均不得低于最低工资标准，并依法缴纳社会保险。</w:t>
      </w:r>
    </w:p>
    <w:p>
      <w:pPr>
        <w:spacing w:line="360" w:lineRule="auto"/>
        <w:ind w:firstLine="315" w:firstLineChars="150"/>
        <w:jc w:val="left"/>
        <w:rPr>
          <w:rFonts w:ascii="宋体" w:hAnsi="宋体"/>
          <w:color w:val="auto"/>
          <w:szCs w:val="21"/>
        </w:rPr>
      </w:pPr>
      <w:r>
        <w:rPr>
          <w:rFonts w:hint="eastAsia" w:ascii="宋体" w:hAnsi="宋体"/>
          <w:color w:val="auto"/>
          <w:szCs w:val="21"/>
        </w:rPr>
        <w:t>2)、更换派驻的项目负责人时，应得到招标人的同意。</w:t>
      </w:r>
    </w:p>
    <w:p>
      <w:pPr>
        <w:spacing w:line="360" w:lineRule="auto"/>
        <w:ind w:firstLine="315" w:firstLineChars="150"/>
        <w:jc w:val="left"/>
        <w:rPr>
          <w:rFonts w:ascii="宋体" w:hAnsi="宋体"/>
          <w:color w:val="auto"/>
          <w:szCs w:val="21"/>
        </w:rPr>
      </w:pPr>
      <w:r>
        <w:rPr>
          <w:rFonts w:hint="eastAsia" w:ascii="宋体" w:hAnsi="宋体"/>
          <w:color w:val="auto"/>
          <w:szCs w:val="21"/>
        </w:rPr>
        <w:t>投标人应对上述要求在投标文件中作出实质性响应。</w:t>
      </w:r>
    </w:p>
    <w:p>
      <w:pPr>
        <w:spacing w:line="360" w:lineRule="auto"/>
        <w:ind w:firstLine="315" w:firstLineChars="150"/>
        <w:jc w:val="left"/>
        <w:rPr>
          <w:rFonts w:ascii="宋体" w:hAnsi="宋体"/>
          <w:color w:val="auto"/>
          <w:szCs w:val="21"/>
        </w:rPr>
      </w:pPr>
    </w:p>
    <w:p>
      <w:pPr>
        <w:tabs>
          <w:tab w:val="left" w:pos="1276"/>
        </w:tabs>
        <w:spacing w:line="360" w:lineRule="auto"/>
        <w:ind w:firstLine="525" w:firstLineChars="250"/>
        <w:jc w:val="left"/>
        <w:rPr>
          <w:rFonts w:ascii="宋体" w:hAnsi="宋体"/>
          <w:color w:val="auto"/>
          <w:szCs w:val="21"/>
        </w:rPr>
      </w:pPr>
      <w:r>
        <w:rPr>
          <w:rFonts w:hint="eastAsia" w:ascii="宋体" w:hAnsi="宋体"/>
          <w:color w:val="auto"/>
          <w:szCs w:val="21"/>
        </w:rPr>
        <w:t xml:space="preserve">    </w:t>
      </w:r>
    </w:p>
    <w:p>
      <w:pPr>
        <w:tabs>
          <w:tab w:val="left" w:pos="1276"/>
        </w:tabs>
        <w:spacing w:line="360" w:lineRule="auto"/>
        <w:ind w:firstLine="525" w:firstLineChars="250"/>
        <w:jc w:val="left"/>
        <w:rPr>
          <w:rFonts w:ascii="宋体" w:hAnsi="宋体"/>
          <w:color w:val="auto"/>
          <w:szCs w:val="21"/>
        </w:rPr>
      </w:pPr>
    </w:p>
    <w:p>
      <w:pPr>
        <w:tabs>
          <w:tab w:val="left" w:pos="1276"/>
        </w:tabs>
        <w:spacing w:line="360" w:lineRule="auto"/>
        <w:ind w:firstLine="703" w:firstLineChars="250"/>
        <w:jc w:val="left"/>
        <w:rPr>
          <w:rFonts w:ascii="宋体" w:hAnsi="宋体"/>
          <w:b/>
          <w:color w:val="auto"/>
          <w:sz w:val="28"/>
          <w:szCs w:val="28"/>
        </w:rPr>
      </w:pPr>
      <w:r>
        <w:rPr>
          <w:rFonts w:hint="eastAsia" w:ascii="宋体" w:hAnsi="宋体"/>
          <w:b/>
          <w:color w:val="auto"/>
          <w:sz w:val="28"/>
          <w:szCs w:val="28"/>
        </w:rPr>
        <w:t xml:space="preserve">  6.物业管理服务期限和费用支付</w:t>
      </w:r>
    </w:p>
    <w:p>
      <w:pPr>
        <w:spacing w:line="360" w:lineRule="auto"/>
        <w:ind w:firstLine="422" w:firstLineChars="200"/>
        <w:jc w:val="left"/>
        <w:rPr>
          <w:rFonts w:ascii="宋体" w:hAnsi="宋体"/>
          <w:b/>
          <w:color w:val="auto"/>
          <w:szCs w:val="21"/>
        </w:rPr>
      </w:pPr>
      <w:r>
        <w:rPr>
          <w:rFonts w:hint="eastAsia" w:ascii="宋体" w:hAnsi="宋体"/>
          <w:b/>
          <w:color w:val="auto"/>
          <w:szCs w:val="21"/>
        </w:rPr>
        <w:t>6.1服务期限</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物业服务期限为</w:t>
      </w:r>
      <w:r>
        <w:rPr>
          <w:rFonts w:hint="eastAsia" w:ascii="宋体" w:hAnsi="宋体"/>
          <w:color w:val="auto"/>
          <w:szCs w:val="21"/>
          <w:lang w:eastAsia="zh-CN"/>
        </w:rPr>
        <w:t>3年</w:t>
      </w:r>
      <w:r>
        <w:rPr>
          <w:rFonts w:hint="eastAsia" w:ascii="宋体" w:hAnsi="宋体"/>
          <w:color w:val="auto"/>
          <w:szCs w:val="21"/>
        </w:rPr>
        <w:t>，自接管之日算起，期间，业主委员会代表全体业主与物业管理企业签订的物业服务合同生效时，中标人对该项目的物业服务期限即自动终止。</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该项目预计接管时间为合同交房日期或招标人书面通知之日。</w:t>
      </w:r>
    </w:p>
    <w:p>
      <w:pPr>
        <w:spacing w:line="360" w:lineRule="auto"/>
        <w:ind w:firstLine="315" w:firstLineChars="150"/>
        <w:jc w:val="left"/>
        <w:rPr>
          <w:rFonts w:ascii="宋体" w:hAnsi="宋体"/>
          <w:b/>
          <w:color w:val="auto"/>
          <w:szCs w:val="21"/>
        </w:rPr>
      </w:pPr>
      <w:r>
        <w:rPr>
          <w:rFonts w:hint="eastAsia" w:ascii="宋体" w:hAnsi="宋体"/>
          <w:color w:val="auto"/>
          <w:szCs w:val="21"/>
        </w:rPr>
        <w:t xml:space="preserve"> </w:t>
      </w:r>
      <w:r>
        <w:rPr>
          <w:rFonts w:hint="eastAsia" w:ascii="宋体" w:hAnsi="宋体"/>
          <w:b/>
          <w:color w:val="auto"/>
          <w:szCs w:val="21"/>
        </w:rPr>
        <w:t>6.2服务费支付</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物业管理服务费由中标人向该项目的各物业所有权人或使用人收取，收费采用包干制，可以预收，但预收时间最多不超过一年。</w:t>
      </w:r>
    </w:p>
    <w:p>
      <w:pPr>
        <w:spacing w:line="360" w:lineRule="auto"/>
        <w:ind w:firstLine="315" w:firstLineChars="150"/>
        <w:jc w:val="left"/>
        <w:rPr>
          <w:rFonts w:ascii="宋体" w:hAnsi="宋体"/>
          <w:color w:val="auto"/>
          <w:szCs w:val="21"/>
        </w:rPr>
      </w:pPr>
    </w:p>
    <w:p>
      <w:pPr>
        <w:spacing w:line="360" w:lineRule="auto"/>
        <w:ind w:firstLine="525" w:firstLineChars="250"/>
        <w:jc w:val="left"/>
        <w:rPr>
          <w:rFonts w:ascii="宋体" w:hAnsi="宋体"/>
          <w:b/>
          <w:color w:val="auto"/>
          <w:sz w:val="28"/>
          <w:szCs w:val="28"/>
        </w:rPr>
      </w:pPr>
      <w:r>
        <w:rPr>
          <w:rFonts w:hint="eastAsia" w:ascii="宋体" w:hAnsi="宋体"/>
          <w:color w:val="auto"/>
          <w:szCs w:val="21"/>
        </w:rPr>
        <w:t xml:space="preserve">       </w:t>
      </w:r>
      <w:r>
        <w:rPr>
          <w:rFonts w:hint="eastAsia" w:ascii="宋体" w:hAnsi="宋体"/>
          <w:b/>
          <w:color w:val="auto"/>
          <w:sz w:val="28"/>
          <w:szCs w:val="28"/>
        </w:rPr>
        <w:t>7.物业构成和配套设施</w:t>
      </w:r>
    </w:p>
    <w:p>
      <w:pPr>
        <w:spacing w:line="360" w:lineRule="auto"/>
        <w:ind w:firstLine="315" w:firstLineChars="150"/>
        <w:jc w:val="left"/>
        <w:rPr>
          <w:rFonts w:ascii="宋体" w:hAnsi="宋体"/>
          <w:color w:val="auto"/>
          <w:szCs w:val="21"/>
        </w:rPr>
      </w:pPr>
      <w:r>
        <w:rPr>
          <w:rFonts w:hint="eastAsia" w:ascii="宋体" w:hAnsi="宋体"/>
          <w:color w:val="auto"/>
          <w:szCs w:val="21"/>
        </w:rPr>
        <w:t xml:space="preserve">          略，参阅本章1.2-1.4及第五章图纸部分。</w:t>
      </w: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spacing w:line="360" w:lineRule="auto"/>
        <w:ind w:left="210" w:leftChars="100" w:firstLine="525" w:firstLineChars="250"/>
        <w:jc w:val="left"/>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rFonts w:ascii="宋体" w:hAnsi="宋体"/>
          <w:color w:val="auto"/>
          <w:szCs w:val="21"/>
        </w:rPr>
      </w:pPr>
    </w:p>
    <w:p>
      <w:pPr>
        <w:pStyle w:val="2"/>
        <w:rPr>
          <w:color w:val="auto"/>
        </w:rPr>
      </w:pPr>
    </w:p>
    <w:p>
      <w:pPr>
        <w:spacing w:line="360" w:lineRule="auto"/>
        <w:ind w:left="210" w:leftChars="100" w:firstLine="525" w:firstLineChars="250"/>
        <w:jc w:val="left"/>
        <w:rPr>
          <w:rFonts w:ascii="宋体" w:hAnsi="宋体"/>
          <w:color w:val="auto"/>
          <w:szCs w:val="21"/>
        </w:rPr>
      </w:pPr>
    </w:p>
    <w:p>
      <w:pPr>
        <w:spacing w:line="360" w:lineRule="auto"/>
        <w:jc w:val="center"/>
        <w:rPr>
          <w:b/>
          <w:bCs/>
          <w:color w:val="auto"/>
          <w:sz w:val="32"/>
          <w:szCs w:val="32"/>
        </w:rPr>
      </w:pPr>
      <w:r>
        <w:rPr>
          <w:rFonts w:hint="eastAsia"/>
          <w:b/>
          <w:bCs/>
          <w:color w:val="auto"/>
          <w:sz w:val="32"/>
          <w:szCs w:val="32"/>
        </w:rPr>
        <w:t>第七章    投标文件格式</w:t>
      </w:r>
    </w:p>
    <w:p>
      <w:pPr>
        <w:spacing w:line="360" w:lineRule="auto"/>
        <w:jc w:val="center"/>
        <w:rPr>
          <w:b/>
          <w:bCs/>
          <w:color w:val="auto"/>
          <w:sz w:val="32"/>
          <w:szCs w:val="32"/>
        </w:rPr>
      </w:pPr>
    </w:p>
    <w:p>
      <w:pPr>
        <w:spacing w:line="360" w:lineRule="auto"/>
        <w:jc w:val="center"/>
        <w:rPr>
          <w:b/>
          <w:bCs/>
          <w:color w:val="auto"/>
          <w:sz w:val="32"/>
          <w:szCs w:val="32"/>
        </w:rPr>
      </w:pPr>
      <w:r>
        <w:rPr>
          <w:rFonts w:hint="eastAsia"/>
          <w:b/>
          <w:bCs/>
          <w:color w:val="auto"/>
          <w:sz w:val="32"/>
          <w:szCs w:val="32"/>
        </w:rPr>
        <w:t>第一部分 投标函部分格式</w:t>
      </w:r>
    </w:p>
    <w:p>
      <w:pPr>
        <w:spacing w:line="360" w:lineRule="auto"/>
        <w:jc w:val="center"/>
        <w:rPr>
          <w:b/>
          <w:bCs/>
          <w:color w:val="auto"/>
          <w:sz w:val="32"/>
          <w:szCs w:val="32"/>
        </w:rPr>
      </w:pPr>
    </w:p>
    <w:p>
      <w:pPr>
        <w:spacing w:line="360" w:lineRule="auto"/>
        <w:jc w:val="left"/>
        <w:rPr>
          <w:b/>
          <w:bCs/>
          <w:color w:val="auto"/>
          <w:sz w:val="32"/>
          <w:szCs w:val="32"/>
        </w:rPr>
      </w:pPr>
      <w:r>
        <w:rPr>
          <w:rFonts w:hint="eastAsia"/>
          <w:b/>
          <w:bCs/>
          <w:color w:val="auto"/>
          <w:sz w:val="32"/>
          <w:szCs w:val="32"/>
          <w:u w:val="single"/>
        </w:rPr>
        <w:t xml:space="preserve">               </w:t>
      </w:r>
      <w:r>
        <w:rPr>
          <w:rFonts w:hint="eastAsia"/>
          <w:b/>
          <w:bCs/>
          <w:color w:val="auto"/>
          <w:sz w:val="32"/>
          <w:szCs w:val="32"/>
        </w:rPr>
        <w:t>（项目名称）前期物业管理招标</w:t>
      </w:r>
    </w:p>
    <w:p>
      <w:pPr>
        <w:rPr>
          <w:rFonts w:ascii="宋体" w:hAnsi="宋体"/>
          <w:b/>
          <w:color w:val="auto"/>
          <w:sz w:val="72"/>
          <w:szCs w:val="72"/>
        </w:rPr>
      </w:pPr>
    </w:p>
    <w:p>
      <w:pPr>
        <w:rPr>
          <w:rFonts w:ascii="宋体" w:hAnsi="宋体"/>
          <w:b/>
          <w:color w:val="auto"/>
          <w:sz w:val="72"/>
          <w:szCs w:val="72"/>
        </w:rPr>
      </w:pPr>
    </w:p>
    <w:p>
      <w:pPr>
        <w:tabs>
          <w:tab w:val="center" w:pos="4365"/>
        </w:tabs>
        <w:jc w:val="center"/>
        <w:rPr>
          <w:rFonts w:ascii="华文隶书" w:hAnsi="宋体" w:eastAsia="华文隶书"/>
          <w:color w:val="auto"/>
          <w:sz w:val="84"/>
          <w:szCs w:val="84"/>
        </w:rPr>
      </w:pPr>
      <w:r>
        <w:rPr>
          <w:rFonts w:hint="eastAsia" w:ascii="华文隶书" w:hAnsi="宋体" w:eastAsia="华文隶书"/>
          <w:color w:val="auto"/>
          <w:sz w:val="84"/>
          <w:szCs w:val="84"/>
        </w:rPr>
        <w:t>投 标 文 件</w:t>
      </w:r>
    </w:p>
    <w:p>
      <w:pPr>
        <w:tabs>
          <w:tab w:val="center" w:pos="4365"/>
        </w:tabs>
        <w:jc w:val="center"/>
        <w:rPr>
          <w:rFonts w:ascii="宋体" w:hAnsi="宋体"/>
          <w:color w:val="auto"/>
          <w:sz w:val="36"/>
          <w:szCs w:val="36"/>
        </w:rPr>
      </w:pPr>
      <w:r>
        <w:rPr>
          <w:rFonts w:hint="eastAsia"/>
          <w:b/>
          <w:bCs/>
          <w:color w:val="auto"/>
          <w:sz w:val="32"/>
          <w:szCs w:val="32"/>
        </w:rPr>
        <w:t>（投标函部分）</w:t>
      </w:r>
    </w:p>
    <w:p>
      <w:pPr>
        <w:tabs>
          <w:tab w:val="center" w:pos="4365"/>
        </w:tabs>
        <w:jc w:val="center"/>
        <w:rPr>
          <w:b/>
          <w:bCs/>
          <w:color w:val="auto"/>
          <w:sz w:val="32"/>
          <w:szCs w:val="32"/>
        </w:rPr>
      </w:pPr>
      <w:r>
        <w:rPr>
          <w:rFonts w:hint="eastAsia"/>
          <w:b/>
          <w:bCs/>
          <w:color w:val="auto"/>
          <w:sz w:val="32"/>
          <w:szCs w:val="32"/>
        </w:rPr>
        <w:t>（招标编号：</w:t>
      </w:r>
      <w:r>
        <w:rPr>
          <w:rFonts w:hint="eastAsia"/>
          <w:b/>
          <w:bCs/>
          <w:color w:val="auto"/>
          <w:sz w:val="32"/>
          <w:szCs w:val="32"/>
          <w:u w:val="single"/>
        </w:rPr>
        <w:t xml:space="preserve">           </w:t>
      </w:r>
      <w:r>
        <w:rPr>
          <w:rFonts w:hint="eastAsia"/>
          <w:b/>
          <w:bCs/>
          <w:color w:val="auto"/>
          <w:sz w:val="32"/>
          <w:szCs w:val="32"/>
        </w:rPr>
        <w:t>）</w:t>
      </w: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spacing w:line="360" w:lineRule="auto"/>
        <w:jc w:val="left"/>
        <w:rPr>
          <w:rFonts w:ascii="宋体" w:hAnsi="宋体"/>
          <w:color w:val="auto"/>
          <w:sz w:val="28"/>
          <w:szCs w:val="28"/>
        </w:rPr>
      </w:pPr>
      <w:r>
        <w:rPr>
          <w:rFonts w:hint="eastAsia" w:ascii="宋体" w:hAnsi="宋体"/>
          <w:color w:val="auto"/>
          <w:sz w:val="28"/>
          <w:szCs w:val="28"/>
        </w:rPr>
        <w:t>投   标   人：</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jc w:val="left"/>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spacing w:line="360" w:lineRule="auto"/>
        <w:jc w:val="left"/>
        <w:rPr>
          <w:rFonts w:ascii="宋体" w:hAnsi="宋体"/>
          <w:color w:val="auto"/>
          <w:sz w:val="28"/>
          <w:szCs w:val="28"/>
        </w:rPr>
      </w:pPr>
      <w:r>
        <w:rPr>
          <w:rFonts w:hint="eastAsia" w:ascii="宋体" w:hAnsi="宋体"/>
          <w:color w:val="auto"/>
          <w:sz w:val="28"/>
          <w:szCs w:val="28"/>
        </w:rPr>
        <w:t>日        期：</w:t>
      </w:r>
      <w:r>
        <w:rPr>
          <w:rFonts w:hint="eastAsia" w:ascii="宋体" w:hAnsi="宋体"/>
          <w:color w:val="auto"/>
          <w:szCs w:val="21"/>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360" w:lineRule="auto"/>
        <w:ind w:left="210" w:leftChars="100" w:firstLine="2940" w:firstLineChars="1050"/>
        <w:rPr>
          <w:rFonts w:ascii="宋体" w:hAnsi="宋体"/>
          <w:b/>
          <w:color w:val="auto"/>
          <w:sz w:val="48"/>
          <w:szCs w:val="48"/>
        </w:rPr>
      </w:pPr>
      <w:r>
        <w:rPr>
          <w:rFonts w:ascii="宋体" w:hAnsi="宋体"/>
          <w:color w:val="auto"/>
          <w:sz w:val="28"/>
          <w:szCs w:val="28"/>
        </w:rPr>
        <w:br w:type="page"/>
      </w:r>
      <w:r>
        <w:rPr>
          <w:rFonts w:hint="eastAsia" w:ascii="宋体" w:hAnsi="宋体"/>
          <w:b/>
          <w:color w:val="auto"/>
          <w:sz w:val="48"/>
          <w:szCs w:val="48"/>
        </w:rPr>
        <w:t>目    录</w:t>
      </w:r>
    </w:p>
    <w:p>
      <w:pPr>
        <w:spacing w:line="360" w:lineRule="auto"/>
        <w:jc w:val="left"/>
        <w:rPr>
          <w:rFonts w:ascii="宋体" w:hAnsi="宋体"/>
          <w:color w:val="auto"/>
          <w:szCs w:val="21"/>
        </w:rPr>
      </w:pPr>
      <w:r>
        <w:rPr>
          <w:rFonts w:hint="eastAsia" w:ascii="宋体" w:hAnsi="宋体"/>
          <w:color w:val="auto"/>
          <w:szCs w:val="21"/>
        </w:rPr>
        <w:t>一、投标函</w:t>
      </w:r>
    </w:p>
    <w:p>
      <w:pPr>
        <w:spacing w:line="360" w:lineRule="auto"/>
        <w:jc w:val="left"/>
        <w:rPr>
          <w:rFonts w:ascii="宋体" w:hAnsi="宋体"/>
          <w:color w:val="auto"/>
          <w:szCs w:val="21"/>
        </w:rPr>
      </w:pPr>
      <w:r>
        <w:rPr>
          <w:rFonts w:hint="eastAsia" w:ascii="宋体" w:hAnsi="宋体"/>
          <w:color w:val="auto"/>
          <w:szCs w:val="21"/>
        </w:rPr>
        <w:t>二、法定代表人身份证明</w:t>
      </w:r>
    </w:p>
    <w:p>
      <w:pPr>
        <w:spacing w:line="360" w:lineRule="auto"/>
        <w:jc w:val="left"/>
        <w:rPr>
          <w:rFonts w:ascii="宋体" w:hAnsi="宋体"/>
          <w:color w:val="auto"/>
          <w:szCs w:val="21"/>
        </w:rPr>
      </w:pPr>
      <w:r>
        <w:rPr>
          <w:rFonts w:hint="eastAsia" w:ascii="宋体" w:hAnsi="宋体"/>
          <w:color w:val="auto"/>
          <w:szCs w:val="21"/>
        </w:rPr>
        <w:t>三、授权委托书</w:t>
      </w:r>
    </w:p>
    <w:p>
      <w:pPr>
        <w:spacing w:line="360" w:lineRule="auto"/>
        <w:jc w:val="left"/>
        <w:rPr>
          <w:rFonts w:ascii="宋体" w:hAnsi="宋体"/>
          <w:color w:val="auto"/>
          <w:szCs w:val="21"/>
        </w:rPr>
      </w:pPr>
      <w:r>
        <w:rPr>
          <w:rFonts w:hint="eastAsia" w:ascii="宋体" w:hAnsi="宋体"/>
          <w:color w:val="auto"/>
          <w:szCs w:val="21"/>
        </w:rPr>
        <w:t>四、投标保证金</w:t>
      </w:r>
    </w:p>
    <w:p>
      <w:pPr>
        <w:spacing w:line="360" w:lineRule="auto"/>
        <w:jc w:val="left"/>
        <w:rPr>
          <w:rFonts w:ascii="宋体" w:hAnsi="宋体"/>
          <w:color w:val="auto"/>
          <w:szCs w:val="21"/>
        </w:rPr>
      </w:pPr>
      <w:r>
        <w:rPr>
          <w:rFonts w:hint="eastAsia" w:ascii="宋体" w:hAnsi="宋体"/>
          <w:color w:val="auto"/>
          <w:szCs w:val="21"/>
        </w:rPr>
        <w:t>五、承诺书</w:t>
      </w:r>
    </w:p>
    <w:p>
      <w:pPr>
        <w:spacing w:line="360" w:lineRule="auto"/>
        <w:rPr>
          <w:rFonts w:ascii="宋体" w:hAnsi="宋体"/>
          <w:color w:val="auto"/>
          <w:szCs w:val="21"/>
        </w:rPr>
      </w:pPr>
      <w:r>
        <w:rPr>
          <w:rFonts w:hint="eastAsia" w:ascii="宋体" w:hAnsi="宋体"/>
          <w:color w:val="auto"/>
          <w:szCs w:val="21"/>
        </w:rPr>
        <w:t>六、专项服务拟分包计划表(如有)</w:t>
      </w:r>
    </w:p>
    <w:p>
      <w:pPr>
        <w:spacing w:line="360" w:lineRule="auto"/>
        <w:rPr>
          <w:rFonts w:ascii="宋体" w:hAnsi="宋体"/>
          <w:color w:val="auto"/>
          <w:szCs w:val="21"/>
        </w:rPr>
      </w:pPr>
      <w:r>
        <w:rPr>
          <w:rFonts w:hint="eastAsia" w:ascii="宋体" w:hAnsi="宋体"/>
          <w:color w:val="auto"/>
          <w:szCs w:val="21"/>
        </w:rPr>
        <w:t>七、资格审查资料</w:t>
      </w:r>
    </w:p>
    <w:p>
      <w:pPr>
        <w:spacing w:line="360" w:lineRule="auto"/>
        <w:ind w:firstLine="420" w:firstLineChars="200"/>
        <w:rPr>
          <w:rFonts w:ascii="宋体" w:hAnsi="宋体"/>
          <w:color w:val="auto"/>
          <w:szCs w:val="21"/>
        </w:rPr>
      </w:pPr>
      <w:r>
        <w:rPr>
          <w:rFonts w:hint="eastAsia" w:ascii="宋体" w:hAnsi="宋体"/>
          <w:color w:val="auto"/>
          <w:szCs w:val="21"/>
        </w:rPr>
        <w:t>(7.1)投标人简介</w:t>
      </w:r>
    </w:p>
    <w:p>
      <w:pPr>
        <w:spacing w:line="360" w:lineRule="auto"/>
        <w:ind w:firstLine="420" w:firstLineChars="200"/>
        <w:rPr>
          <w:rFonts w:ascii="宋体" w:hAnsi="宋体"/>
          <w:color w:val="auto"/>
          <w:szCs w:val="21"/>
        </w:rPr>
      </w:pPr>
      <w:r>
        <w:rPr>
          <w:rFonts w:hint="eastAsia" w:ascii="宋体" w:hAnsi="宋体"/>
          <w:color w:val="auto"/>
          <w:szCs w:val="21"/>
        </w:rPr>
        <w:t>(7.2)投标人基本情况表</w:t>
      </w:r>
    </w:p>
    <w:p>
      <w:pPr>
        <w:spacing w:line="360" w:lineRule="auto"/>
        <w:ind w:firstLine="420" w:firstLineChars="200"/>
        <w:rPr>
          <w:rFonts w:ascii="宋体" w:hAnsi="宋体"/>
          <w:color w:val="auto"/>
          <w:szCs w:val="21"/>
        </w:rPr>
      </w:pPr>
      <w:r>
        <w:rPr>
          <w:rFonts w:hint="eastAsia" w:ascii="宋体" w:hAnsi="宋体"/>
          <w:color w:val="auto"/>
          <w:szCs w:val="21"/>
        </w:rPr>
        <w:t>(7.3)在管项目情况表</w:t>
      </w:r>
    </w:p>
    <w:p>
      <w:pPr>
        <w:spacing w:line="360" w:lineRule="auto"/>
        <w:ind w:firstLine="420" w:firstLineChars="200"/>
        <w:rPr>
          <w:rFonts w:ascii="宋体" w:hAnsi="宋体"/>
          <w:color w:val="auto"/>
          <w:szCs w:val="21"/>
        </w:rPr>
      </w:pPr>
      <w:r>
        <w:rPr>
          <w:rFonts w:hint="eastAsia" w:ascii="宋体" w:hAnsi="宋体"/>
          <w:color w:val="auto"/>
          <w:szCs w:val="21"/>
        </w:rPr>
        <w:t>(7.4)企业或项目获省市优情况表</w:t>
      </w:r>
    </w:p>
    <w:p>
      <w:pPr>
        <w:spacing w:line="360" w:lineRule="auto"/>
        <w:ind w:firstLine="420" w:firstLineChars="200"/>
        <w:rPr>
          <w:rFonts w:ascii="宋体" w:hAnsi="宋体"/>
          <w:color w:val="auto"/>
          <w:szCs w:val="21"/>
        </w:rPr>
      </w:pPr>
      <w:r>
        <w:rPr>
          <w:rFonts w:hint="eastAsia" w:ascii="宋体" w:hAnsi="宋体"/>
          <w:color w:val="auto"/>
          <w:szCs w:val="21"/>
        </w:rPr>
        <w:t>(7.5)企业证件复印件</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pStyle w:val="4"/>
        <w:spacing w:before="0" w:after="0" w:line="360" w:lineRule="auto"/>
        <w:jc w:val="center"/>
        <w:rPr>
          <w:rFonts w:ascii="宋体" w:hAnsi="宋体"/>
          <w:bCs w:val="0"/>
          <w:color w:val="auto"/>
        </w:rPr>
      </w:pPr>
      <w:bookmarkStart w:id="10" w:name="_Toc269044502"/>
      <w:bookmarkStart w:id="11" w:name="_Toc268968220"/>
      <w:bookmarkStart w:id="12" w:name="_Toc269299776"/>
      <w:bookmarkStart w:id="13" w:name="_Toc269044461"/>
      <w:bookmarkStart w:id="14" w:name="_Toc268054346"/>
      <w:r>
        <w:rPr>
          <w:rFonts w:hint="eastAsia" w:ascii="宋体" w:hAnsi="宋体"/>
          <w:bCs w:val="0"/>
          <w:color w:val="auto"/>
        </w:rPr>
        <w:t>一、投标函</w:t>
      </w:r>
      <w:bookmarkEnd w:id="10"/>
      <w:bookmarkEnd w:id="11"/>
      <w:bookmarkEnd w:id="12"/>
      <w:bookmarkEnd w:id="13"/>
      <w:bookmarkEnd w:id="14"/>
    </w:p>
    <w:p>
      <w:pPr>
        <w:rPr>
          <w:color w:val="auto"/>
        </w:rPr>
      </w:pPr>
    </w:p>
    <w:p>
      <w:pPr>
        <w:spacing w:line="360" w:lineRule="auto"/>
        <w:rPr>
          <w:rFonts w:ascii="宋体" w:hAnsi="宋体"/>
          <w:color w:val="auto"/>
          <w:u w:val="single"/>
        </w:rPr>
      </w:pPr>
      <w:r>
        <w:rPr>
          <w:rFonts w:hint="eastAsia" w:ascii="宋体" w:hAnsi="宋体"/>
          <w:color w:val="auto"/>
        </w:rPr>
        <w:t>致：</w:t>
      </w:r>
      <w:r>
        <w:rPr>
          <w:rFonts w:hint="eastAsia" w:ascii="宋体" w:hAnsi="宋体"/>
          <w:color w:val="auto"/>
          <w:u w:val="single"/>
        </w:rPr>
        <w:t xml:space="preserve">                 </w:t>
      </w:r>
      <w:r>
        <w:rPr>
          <w:rFonts w:hint="eastAsia" w:ascii="宋体" w:hAnsi="宋体"/>
          <w:color w:val="auto"/>
        </w:rPr>
        <w:t>（招标人名称）</w:t>
      </w:r>
    </w:p>
    <w:p>
      <w:pPr>
        <w:spacing w:line="360" w:lineRule="auto"/>
        <w:ind w:firstLine="434" w:firstLineChars="207"/>
        <w:rPr>
          <w:rFonts w:ascii="宋体" w:hAnsi="宋体"/>
          <w:color w:val="auto"/>
        </w:rPr>
      </w:pPr>
      <w:r>
        <w:rPr>
          <w:rFonts w:hint="eastAsia" w:ascii="宋体" w:hAnsi="宋体"/>
          <w:color w:val="auto"/>
        </w:rPr>
        <w:t>在考察现场并充分研究</w:t>
      </w:r>
      <w:r>
        <w:rPr>
          <w:rFonts w:hint="eastAsia" w:ascii="宋体" w:hAnsi="宋体"/>
          <w:color w:val="auto"/>
          <w:lang w:eastAsia="zh-CN"/>
        </w:rPr>
        <w:t>双牌县佳兴名城住宅小区和嘉信国际酒店前期物业管理</w:t>
      </w:r>
      <w:r>
        <w:rPr>
          <w:rFonts w:hint="eastAsia" w:ascii="宋体" w:hAnsi="宋体"/>
          <w:color w:val="auto"/>
        </w:rPr>
        <w:t>招标文件的全部内容后，我方兹以下表标明的投标价格和按合同约定有权得到的其它金额，严格按照招标文件和合同约定，承担本项目的物业管理服务。</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5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959" w:type="dxa"/>
            <w:vAlign w:val="center"/>
          </w:tcPr>
          <w:p>
            <w:pPr>
              <w:jc w:val="center"/>
              <w:rPr>
                <w:b/>
                <w:color w:val="auto"/>
              </w:rPr>
            </w:pPr>
            <w:r>
              <w:rPr>
                <w:rFonts w:hint="eastAsia"/>
                <w:b/>
                <w:color w:val="auto"/>
              </w:rPr>
              <w:t>序号</w:t>
            </w:r>
          </w:p>
        </w:tc>
        <w:tc>
          <w:tcPr>
            <w:tcW w:w="2126" w:type="dxa"/>
            <w:vAlign w:val="center"/>
          </w:tcPr>
          <w:p>
            <w:pPr>
              <w:jc w:val="center"/>
              <w:rPr>
                <w:b/>
                <w:color w:val="auto"/>
              </w:rPr>
            </w:pPr>
            <w:r>
              <w:rPr>
                <w:rFonts w:hint="eastAsia"/>
                <w:b/>
                <w:color w:val="auto"/>
              </w:rPr>
              <w:t>报价方式</w:t>
            </w:r>
          </w:p>
        </w:tc>
        <w:tc>
          <w:tcPr>
            <w:tcW w:w="5437" w:type="dxa"/>
            <w:vAlign w:val="center"/>
          </w:tcPr>
          <w:p>
            <w:pPr>
              <w:jc w:val="center"/>
              <w:rPr>
                <w:b/>
                <w:color w:val="auto"/>
              </w:rPr>
            </w:pPr>
            <w:r>
              <w:rPr>
                <w:rFonts w:hint="eastAsia"/>
                <w:b/>
                <w:color w:val="auto"/>
              </w:rPr>
              <w:t>报价金额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959" w:type="dxa"/>
            <w:vAlign w:val="center"/>
          </w:tcPr>
          <w:p>
            <w:pPr>
              <w:spacing w:line="360" w:lineRule="auto"/>
              <w:jc w:val="center"/>
              <w:rPr>
                <w:rFonts w:ascii="宋体" w:hAnsi="宋体"/>
                <w:color w:val="auto"/>
              </w:rPr>
            </w:pPr>
            <w:r>
              <w:rPr>
                <w:rFonts w:hint="eastAsia" w:ascii="宋体" w:hAnsi="宋体"/>
                <w:color w:val="auto"/>
              </w:rPr>
              <w:t>1</w:t>
            </w:r>
          </w:p>
        </w:tc>
        <w:tc>
          <w:tcPr>
            <w:tcW w:w="2126" w:type="dxa"/>
            <w:vAlign w:val="center"/>
          </w:tcPr>
          <w:p>
            <w:pPr>
              <w:spacing w:line="360" w:lineRule="auto"/>
              <w:jc w:val="center"/>
              <w:rPr>
                <w:rFonts w:ascii="宋体" w:hAnsi="宋体"/>
                <w:color w:val="auto"/>
              </w:rPr>
            </w:pPr>
            <w:r>
              <w:rPr>
                <w:rFonts w:hint="eastAsia" w:ascii="宋体" w:hAnsi="宋体"/>
                <w:color w:val="auto"/>
              </w:rPr>
              <w:t>年度物业服务费总价</w:t>
            </w:r>
          </w:p>
        </w:tc>
        <w:tc>
          <w:tcPr>
            <w:tcW w:w="5437" w:type="dxa"/>
            <w:vAlign w:val="center"/>
          </w:tcPr>
          <w:p>
            <w:pPr>
              <w:spacing w:line="360" w:lineRule="auto"/>
              <w:jc w:val="left"/>
              <w:rPr>
                <w:rFonts w:ascii="宋体" w:hAnsi="宋体"/>
                <w:color w:val="auto"/>
              </w:rPr>
            </w:pPr>
            <w:r>
              <w:rPr>
                <w:rFonts w:hint="eastAsia" w:ascii="宋体" w:hAnsi="宋体"/>
                <w:color w:val="auto"/>
              </w:rPr>
              <w:t>人民币(大写):</w:t>
            </w:r>
            <w:r>
              <w:rPr>
                <w:rFonts w:hint="eastAsia" w:ascii="宋体" w:hAnsi="宋体"/>
                <w:color w:val="auto"/>
                <w:u w:val="single"/>
              </w:rPr>
              <w:t xml:space="preserve">                      </w:t>
            </w:r>
            <w:r>
              <w:rPr>
                <w:rFonts w:hint="eastAsia" w:ascii="宋体" w:hAnsi="宋体"/>
                <w:color w:val="auto"/>
              </w:rPr>
              <w:t>元</w:t>
            </w:r>
          </w:p>
          <w:p>
            <w:pPr>
              <w:spacing w:line="360" w:lineRule="auto"/>
              <w:ind w:firstLine="105" w:firstLineChars="50"/>
              <w:jc w:val="left"/>
              <w:rPr>
                <w:rFonts w:ascii="宋体" w:hAnsi="宋体"/>
                <w:color w:val="auto"/>
                <w:u w:val="single"/>
              </w:rPr>
            </w:pPr>
            <w:r>
              <w:rPr>
                <w:rFonts w:hint="eastAsia" w:ascii="宋体" w:hAnsi="宋体"/>
                <w:color w:val="auto"/>
              </w:rPr>
              <w:t>RMB¥：</w:t>
            </w:r>
            <w:r>
              <w:rPr>
                <w:rFonts w:hint="eastAsia" w:ascii="宋体" w:hAnsi="宋体"/>
                <w:color w:val="auto"/>
                <w:u w:val="single"/>
              </w:rPr>
              <w:t xml:space="preserve">             </w:t>
            </w:r>
            <w:r>
              <w:rPr>
                <w:rFonts w:hint="eastAsia" w:ascii="宋体" w:hAnsi="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959" w:type="dxa"/>
            <w:vAlign w:val="center"/>
          </w:tcPr>
          <w:p>
            <w:pPr>
              <w:spacing w:line="360" w:lineRule="auto"/>
              <w:jc w:val="center"/>
              <w:rPr>
                <w:rFonts w:ascii="宋体" w:hAnsi="宋体"/>
                <w:color w:val="auto"/>
              </w:rPr>
            </w:pPr>
            <w:r>
              <w:rPr>
                <w:rFonts w:hint="eastAsia" w:ascii="宋体" w:hAnsi="宋体"/>
                <w:color w:val="auto"/>
              </w:rPr>
              <w:t>2</w:t>
            </w:r>
          </w:p>
        </w:tc>
        <w:tc>
          <w:tcPr>
            <w:tcW w:w="2126" w:type="dxa"/>
            <w:vAlign w:val="center"/>
          </w:tcPr>
          <w:p>
            <w:pPr>
              <w:spacing w:line="360" w:lineRule="auto"/>
              <w:jc w:val="center"/>
              <w:rPr>
                <w:rFonts w:ascii="宋体" w:hAnsi="宋体"/>
                <w:color w:val="auto"/>
              </w:rPr>
            </w:pPr>
            <w:r>
              <w:rPr>
                <w:rFonts w:hint="eastAsia" w:ascii="宋体" w:hAnsi="宋体"/>
                <w:color w:val="auto"/>
              </w:rPr>
              <w:t>物业管理费单价</w:t>
            </w:r>
          </w:p>
        </w:tc>
        <w:tc>
          <w:tcPr>
            <w:tcW w:w="5437" w:type="dxa"/>
            <w:vAlign w:val="center"/>
          </w:tcPr>
          <w:p>
            <w:pPr>
              <w:spacing w:line="360" w:lineRule="auto"/>
              <w:jc w:val="left"/>
              <w:rPr>
                <w:rFonts w:ascii="宋体" w:hAnsi="宋体"/>
                <w:color w:val="auto"/>
              </w:rPr>
            </w:pPr>
            <w:r>
              <w:rPr>
                <w:rFonts w:hint="eastAsia" w:ascii="宋体" w:hAnsi="宋体"/>
                <w:color w:val="auto"/>
              </w:rPr>
              <w:t>高层住宅：</w:t>
            </w:r>
            <w:r>
              <w:rPr>
                <w:rFonts w:hint="eastAsia" w:ascii="宋体" w:hAnsi="宋体"/>
                <w:color w:val="auto"/>
                <w:u w:val="single"/>
              </w:rPr>
              <w:t xml:space="preserve">          </w:t>
            </w:r>
            <w:r>
              <w:rPr>
                <w:rFonts w:hint="eastAsia" w:ascii="宋体" w:hAnsi="宋体"/>
                <w:color w:val="auto"/>
              </w:rPr>
              <w:t>元/月.平方米</w:t>
            </w:r>
          </w:p>
          <w:p>
            <w:pPr>
              <w:spacing w:line="360" w:lineRule="auto"/>
              <w:jc w:val="left"/>
              <w:rPr>
                <w:rFonts w:ascii="宋体" w:hAnsi="宋体"/>
                <w:color w:val="auto"/>
              </w:rPr>
            </w:pPr>
            <w:r>
              <w:rPr>
                <w:rFonts w:hint="eastAsia" w:ascii="宋体" w:hAnsi="宋体"/>
                <w:color w:val="auto"/>
              </w:rPr>
              <w:t>商业用户：</w:t>
            </w:r>
            <w:r>
              <w:rPr>
                <w:rFonts w:hint="eastAsia" w:ascii="宋体" w:hAnsi="宋体"/>
                <w:color w:val="auto"/>
                <w:u w:val="single"/>
              </w:rPr>
              <w:t xml:space="preserve">          </w:t>
            </w:r>
            <w:r>
              <w:rPr>
                <w:rFonts w:hint="eastAsia" w:ascii="宋体" w:hAnsi="宋体"/>
                <w:color w:val="auto"/>
              </w:rPr>
              <w:t>元/月.平方米</w:t>
            </w:r>
          </w:p>
        </w:tc>
      </w:tr>
    </w:tbl>
    <w:p>
      <w:pPr>
        <w:spacing w:line="360" w:lineRule="auto"/>
        <w:ind w:firstLine="434" w:firstLineChars="207"/>
        <w:rPr>
          <w:rFonts w:ascii="宋体" w:hAnsi="宋体"/>
          <w:color w:val="auto"/>
        </w:rPr>
      </w:pPr>
      <w:r>
        <w:rPr>
          <w:rFonts w:hint="eastAsia" w:ascii="宋体" w:hAnsi="宋体"/>
          <w:color w:val="auto"/>
        </w:rPr>
        <w:t>如果我方中标，我方保证忠实地执行双方所签订的合同，并承担合同规定的责任和义务，并保证遵守招标文件中的其他有关规定。</w:t>
      </w:r>
    </w:p>
    <w:p>
      <w:pPr>
        <w:spacing w:line="360" w:lineRule="auto"/>
        <w:ind w:firstLine="434" w:firstLineChars="207"/>
        <w:rPr>
          <w:rFonts w:ascii="宋体" w:hAnsi="宋体"/>
          <w:color w:val="auto"/>
        </w:rPr>
      </w:pPr>
      <w:r>
        <w:rPr>
          <w:rFonts w:hint="eastAsia" w:ascii="宋体" w:hAnsi="宋体"/>
          <w:color w:val="auto"/>
        </w:rPr>
        <w:t>我方同意本投标函在招标文件规定的提交投标文件截止时间后，在招标文件规定的投标有效期期满前对我方具有约束力，且随时准备接受你方发出的中标通知书。在签署协议书之前，你方的中标通知书连同本投标函，对双方具有约束力。</w:t>
      </w:r>
    </w:p>
    <w:p>
      <w:pPr>
        <w:spacing w:line="360" w:lineRule="auto"/>
        <w:ind w:firstLine="434" w:firstLineChars="207"/>
        <w:rPr>
          <w:rFonts w:ascii="宋体" w:hAnsi="宋体"/>
          <w:color w:val="auto"/>
        </w:rPr>
      </w:pPr>
      <w:r>
        <w:rPr>
          <w:rFonts w:hint="eastAsia" w:ascii="宋体" w:hAnsi="宋体"/>
          <w:color w:val="auto"/>
        </w:rPr>
        <w:t>我方随同本投标函递交投标保证金一份， 金额为人民币(大写):</w:t>
      </w:r>
      <w:r>
        <w:rPr>
          <w:rFonts w:hint="eastAsia" w:ascii="宋体" w:hAnsi="宋体"/>
          <w:color w:val="auto"/>
          <w:u w:val="single"/>
        </w:rPr>
        <w:t xml:space="preserve">        </w:t>
      </w:r>
      <w:r>
        <w:rPr>
          <w:rFonts w:hint="eastAsia" w:ascii="宋体" w:hAnsi="宋体"/>
          <w:color w:val="auto"/>
        </w:rPr>
        <w:t>元(¥: 元)。如果在开标后规定的投标有效期内撤回投标，我方的投标保证金可被贵方没收。</w:t>
      </w:r>
    </w:p>
    <w:p>
      <w:pPr>
        <w:spacing w:line="360" w:lineRule="auto"/>
        <w:ind w:firstLine="434" w:firstLineChars="207"/>
        <w:rPr>
          <w:rFonts w:ascii="宋体" w:hAnsi="宋体"/>
          <w:color w:val="auto"/>
        </w:rPr>
      </w:pPr>
      <w:r>
        <w:rPr>
          <w:rFonts w:hint="eastAsia" w:ascii="宋体" w:hAnsi="宋体"/>
          <w:color w:val="auto"/>
        </w:rPr>
        <w:t>我方愿意向贵方提供任何与该项投标有关的数据、情况和技术资料。若贵方需要，我方愿意提供我方作出的一切承诺的证明材料。</w:t>
      </w:r>
    </w:p>
    <w:p>
      <w:pPr>
        <w:spacing w:line="360" w:lineRule="auto"/>
        <w:ind w:left="435"/>
        <w:rPr>
          <w:rFonts w:ascii="宋体" w:hAnsi="宋体"/>
          <w:color w:val="auto"/>
        </w:rPr>
      </w:pPr>
    </w:p>
    <w:p>
      <w:pPr>
        <w:spacing w:line="360" w:lineRule="auto"/>
        <w:ind w:left="435"/>
        <w:rPr>
          <w:rFonts w:ascii="宋体" w:hAnsi="宋体"/>
          <w:color w:val="auto"/>
        </w:rPr>
      </w:pPr>
    </w:p>
    <w:p>
      <w:pPr>
        <w:spacing w:line="360" w:lineRule="auto"/>
        <w:ind w:left="435"/>
        <w:rPr>
          <w:rFonts w:ascii="宋体" w:hAnsi="宋体"/>
          <w:color w:val="auto"/>
        </w:rPr>
      </w:pPr>
    </w:p>
    <w:p>
      <w:pPr>
        <w:tabs>
          <w:tab w:val="left" w:pos="6919"/>
        </w:tabs>
        <w:spacing w:line="480" w:lineRule="exact"/>
        <w:ind w:firstLine="3045" w:firstLineChars="1450"/>
        <w:rPr>
          <w:rFonts w:ascii="宋体" w:hAnsi="宋体"/>
          <w:b/>
          <w:bCs/>
          <w:color w:val="auto"/>
          <w:szCs w:val="21"/>
        </w:rPr>
      </w:pPr>
      <w:r>
        <w:rPr>
          <w:rFonts w:ascii="宋体" w:hAnsi="宋体"/>
          <w:color w:val="auto"/>
          <w:szCs w:val="21"/>
        </w:rPr>
        <w:t>投标人（盖章）：</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b/>
          <w:bCs/>
          <w:color w:val="auto"/>
          <w:szCs w:val="21"/>
          <w:u w:val="single"/>
        </w:rPr>
        <w:t xml:space="preserve">           </w:t>
      </w:r>
    </w:p>
    <w:p>
      <w:pPr>
        <w:tabs>
          <w:tab w:val="left" w:pos="6919"/>
        </w:tabs>
        <w:spacing w:line="480" w:lineRule="exact"/>
        <w:ind w:firstLine="3045" w:firstLineChars="1450"/>
        <w:rPr>
          <w:rFonts w:ascii="宋体" w:hAnsi="宋体"/>
          <w:color w:val="auto"/>
          <w:szCs w:val="21"/>
        </w:rPr>
      </w:pPr>
      <w:r>
        <w:rPr>
          <w:rFonts w:ascii="宋体" w:hAnsi="宋体"/>
          <w:color w:val="auto"/>
          <w:szCs w:val="21"/>
        </w:rPr>
        <w:t>法定代表人</w:t>
      </w:r>
      <w:r>
        <w:rPr>
          <w:rFonts w:ascii="宋体" w:hAnsi="宋体"/>
          <w:bCs/>
          <w:color w:val="auto"/>
          <w:szCs w:val="21"/>
        </w:rPr>
        <w:t>（签字或盖章）</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pPr>
        <w:spacing w:line="360" w:lineRule="auto"/>
        <w:ind w:firstLine="3045" w:firstLineChars="1450"/>
        <w:rPr>
          <w:rFonts w:ascii="宋体" w:hAnsi="宋体"/>
          <w:color w:val="auto"/>
          <w:szCs w:val="21"/>
        </w:rPr>
      </w:pPr>
      <w:r>
        <w:rPr>
          <w:rFonts w:hint="eastAsia" w:ascii="宋体" w:hAnsi="宋体"/>
          <w:color w:val="auto"/>
          <w:szCs w:val="21"/>
        </w:rPr>
        <w:t>日期</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ind w:firstLine="3045" w:firstLineChars="1450"/>
        <w:rPr>
          <w:rFonts w:ascii="宋体" w:hAnsi="宋体"/>
          <w:color w:val="auto"/>
        </w:rPr>
      </w:pPr>
    </w:p>
    <w:p>
      <w:pPr>
        <w:spacing w:line="360" w:lineRule="auto"/>
        <w:rPr>
          <w:rFonts w:ascii="宋体" w:hAnsi="宋体"/>
          <w:color w:val="auto"/>
        </w:rPr>
      </w:pPr>
    </w:p>
    <w:p>
      <w:pPr>
        <w:pStyle w:val="4"/>
        <w:spacing w:before="0" w:after="0" w:line="360" w:lineRule="auto"/>
        <w:jc w:val="center"/>
        <w:rPr>
          <w:rFonts w:ascii="宋体" w:hAnsi="宋体"/>
          <w:bCs w:val="0"/>
          <w:color w:val="auto"/>
        </w:rPr>
      </w:pPr>
      <w:bookmarkStart w:id="15" w:name="_Toc215656183"/>
      <w:bookmarkStart w:id="16" w:name="_Toc262677529"/>
      <w:bookmarkStart w:id="17" w:name="_Toc268054351"/>
      <w:bookmarkStart w:id="18" w:name="_Toc269299777"/>
      <w:bookmarkStart w:id="19" w:name="_Toc268968226"/>
      <w:bookmarkStart w:id="20" w:name="_Toc269044503"/>
      <w:bookmarkStart w:id="21" w:name="_Toc269044462"/>
      <w:r>
        <w:rPr>
          <w:rFonts w:hint="eastAsia" w:ascii="宋体" w:hAnsi="宋体"/>
          <w:bCs w:val="0"/>
          <w:color w:val="auto"/>
        </w:rPr>
        <w:t>二、法定代表人身份证明</w:t>
      </w:r>
      <w:bookmarkEnd w:id="15"/>
      <w:bookmarkEnd w:id="16"/>
      <w:bookmarkEnd w:id="17"/>
      <w:bookmarkEnd w:id="18"/>
      <w:bookmarkEnd w:id="19"/>
      <w:bookmarkEnd w:id="20"/>
      <w:bookmarkEnd w:id="21"/>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投标人名称：</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单位性质：</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ind w:firstLine="420" w:firstLineChars="200"/>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姓名：</w:t>
      </w:r>
      <w:r>
        <w:rPr>
          <w:rFonts w:hint="eastAsia" w:ascii="宋体" w:hAnsi="宋体"/>
          <w:color w:val="auto"/>
          <w:szCs w:val="21"/>
          <w:u w:val="single"/>
        </w:rPr>
        <w:t xml:space="preserve">           </w:t>
      </w:r>
      <w:r>
        <w:rPr>
          <w:rFonts w:hint="eastAsia" w:ascii="宋体" w:hAnsi="宋体"/>
          <w:color w:val="auto"/>
          <w:szCs w:val="21"/>
        </w:rPr>
        <w:t>性别：</w:t>
      </w:r>
      <w:r>
        <w:rPr>
          <w:rFonts w:hint="eastAsia" w:ascii="宋体" w:hAnsi="宋体"/>
          <w:color w:val="auto"/>
          <w:szCs w:val="21"/>
          <w:u w:val="single"/>
        </w:rPr>
        <w:t xml:space="preserve">   </w:t>
      </w:r>
      <w:r>
        <w:rPr>
          <w:rFonts w:hint="eastAsia" w:ascii="宋体" w:hAnsi="宋体"/>
          <w:color w:val="auto"/>
          <w:szCs w:val="21"/>
        </w:rPr>
        <w:t>年龄：</w:t>
      </w:r>
      <w:r>
        <w:rPr>
          <w:rFonts w:hint="eastAsia" w:ascii="宋体" w:hAnsi="宋体"/>
          <w:color w:val="auto"/>
          <w:szCs w:val="21"/>
          <w:u w:val="single"/>
        </w:rPr>
        <w:t xml:space="preserve">    </w:t>
      </w:r>
      <w:r>
        <w:rPr>
          <w:rFonts w:hint="eastAsia" w:ascii="宋体" w:hAnsi="宋体"/>
          <w:color w:val="auto"/>
          <w:szCs w:val="21"/>
        </w:rPr>
        <w:t>身份证号码：</w:t>
      </w:r>
      <w:r>
        <w:rPr>
          <w:rFonts w:hint="eastAsia" w:ascii="宋体" w:hAnsi="宋体"/>
          <w:color w:val="auto"/>
          <w:szCs w:val="21"/>
          <w:u w:val="single"/>
        </w:rPr>
        <w:t xml:space="preserve">                   </w:t>
      </w:r>
      <w:r>
        <w:rPr>
          <w:rFonts w:hint="eastAsia" w:ascii="宋体" w:hAnsi="宋体"/>
          <w:color w:val="auto"/>
          <w:szCs w:val="21"/>
        </w:rPr>
        <w:t>_</w:t>
      </w:r>
    </w:p>
    <w:p>
      <w:pPr>
        <w:spacing w:line="360" w:lineRule="auto"/>
        <w:ind w:firstLine="420" w:firstLineChars="20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w:t>
      </w:r>
      <w:r>
        <w:rPr>
          <w:rFonts w:hint="eastAsia" w:ascii="宋体" w:hAnsi="宋体"/>
          <w:color w:val="auto"/>
          <w:szCs w:val="21"/>
        </w:rPr>
        <w:t>（投标人名称）的法定代表人。</w:t>
      </w:r>
    </w:p>
    <w:p>
      <w:pPr>
        <w:spacing w:line="360" w:lineRule="auto"/>
        <w:ind w:firstLine="840" w:firstLineChars="400"/>
        <w:rPr>
          <w:rFonts w:ascii="宋体" w:hAnsi="宋体"/>
          <w:color w:val="auto"/>
          <w:szCs w:val="21"/>
        </w:rPr>
      </w:pPr>
      <w:r>
        <w:rPr>
          <w:rFonts w:hint="eastAsia" w:ascii="宋体" w:hAnsi="宋体"/>
          <w:color w:val="auto"/>
          <w:szCs w:val="21"/>
        </w:rPr>
        <w:t>特此证明。</w:t>
      </w:r>
    </w:p>
    <w:p>
      <w:pPr>
        <w:spacing w:line="360" w:lineRule="auto"/>
        <w:ind w:firstLine="420" w:firstLineChars="200"/>
        <w:rPr>
          <w:rFonts w:ascii="宋体" w:hAnsi="宋体"/>
          <w:color w:val="auto"/>
          <w:szCs w:val="21"/>
        </w:rPr>
      </w:pPr>
    </w:p>
    <w:tbl>
      <w:tblPr>
        <w:tblStyle w:val="10"/>
        <w:tblW w:w="6722" w:type="dxa"/>
        <w:jc w:val="center"/>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2" w:hRule="atLeast"/>
          <w:jc w:val="center"/>
        </w:trPr>
        <w:tc>
          <w:tcPr>
            <w:tcW w:w="6722" w:type="dxa"/>
            <w:vAlign w:val="center"/>
          </w:tcPr>
          <w:p>
            <w:pPr>
              <w:spacing w:line="360" w:lineRule="auto"/>
              <w:jc w:val="center"/>
              <w:rPr>
                <w:rFonts w:ascii="宋体" w:hAnsi="宋体"/>
                <w:color w:val="auto"/>
                <w:szCs w:val="21"/>
              </w:rPr>
            </w:pPr>
            <w:r>
              <w:rPr>
                <w:rFonts w:hint="eastAsia" w:ascii="宋体" w:hAnsi="宋体"/>
                <w:color w:val="auto"/>
                <w:szCs w:val="21"/>
              </w:rPr>
              <w:t>法定代表人二代身份证复印件</w:t>
            </w:r>
          </w:p>
          <w:p>
            <w:pPr>
              <w:spacing w:line="360" w:lineRule="auto"/>
              <w:jc w:val="center"/>
              <w:rPr>
                <w:rFonts w:ascii="宋体" w:hAnsi="宋体"/>
                <w:color w:val="auto"/>
                <w:szCs w:val="21"/>
              </w:rPr>
            </w:pPr>
            <w:r>
              <w:rPr>
                <w:rFonts w:hint="eastAsia" w:ascii="宋体" w:hAnsi="宋体"/>
                <w:color w:val="auto"/>
                <w:szCs w:val="21"/>
              </w:rPr>
              <w:t>（正反两面）</w:t>
            </w:r>
          </w:p>
        </w:tc>
      </w:tr>
    </w:tbl>
    <w:p>
      <w:pPr>
        <w:spacing w:line="360" w:lineRule="auto"/>
        <w:ind w:firstLine="4200" w:firstLineChars="2000"/>
        <w:rPr>
          <w:rFonts w:ascii="宋体" w:hAnsi="宋体"/>
          <w:color w:val="auto"/>
          <w:szCs w:val="21"/>
        </w:rPr>
      </w:pPr>
    </w:p>
    <w:p>
      <w:pPr>
        <w:spacing w:line="360" w:lineRule="auto"/>
        <w:ind w:firstLine="4200" w:firstLineChars="2000"/>
        <w:rPr>
          <w:rFonts w:ascii="宋体" w:hAnsi="宋体"/>
          <w:color w:val="auto"/>
          <w:szCs w:val="21"/>
        </w:rPr>
      </w:pPr>
    </w:p>
    <w:p>
      <w:pPr>
        <w:spacing w:line="360" w:lineRule="auto"/>
        <w:ind w:firstLine="4200" w:firstLineChars="2000"/>
        <w:rPr>
          <w:rFonts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4200" w:firstLineChars="2000"/>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p>
    <w:p>
      <w:pPr>
        <w:adjustRightInd w:val="0"/>
        <w:snapToGrid w:val="0"/>
        <w:spacing w:beforeLines="50" w:line="360" w:lineRule="auto"/>
        <w:ind w:firstLine="1084" w:firstLineChars="450"/>
        <w:rPr>
          <w:rFonts w:ascii="宋体" w:hAnsi="宋体"/>
          <w:color w:val="auto"/>
          <w:szCs w:val="21"/>
        </w:rPr>
      </w:pPr>
      <w:r>
        <w:rPr>
          <w:rFonts w:hint="eastAsia" w:ascii="宋体" w:hAnsi="宋体"/>
          <w:b/>
          <w:color w:val="auto"/>
          <w:sz w:val="24"/>
        </w:rPr>
        <w:t>（请自备两份，其中一份用于开标现场进行身份验证。）</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pStyle w:val="4"/>
        <w:spacing w:before="0" w:after="0" w:line="360" w:lineRule="auto"/>
        <w:jc w:val="center"/>
        <w:rPr>
          <w:rFonts w:ascii="宋体" w:hAnsi="宋体" w:eastAsia="宋体" w:cs="Times New Roman"/>
          <w:bCs w:val="0"/>
          <w:color w:val="auto"/>
        </w:rPr>
      </w:pPr>
      <w:bookmarkStart w:id="22" w:name="_Toc269044504"/>
      <w:bookmarkStart w:id="23" w:name="_Toc268968227"/>
      <w:bookmarkStart w:id="24" w:name="_Toc262677530"/>
      <w:bookmarkStart w:id="25" w:name="_Toc269044463"/>
      <w:bookmarkStart w:id="26" w:name="_Toc269299778"/>
      <w:bookmarkStart w:id="27" w:name="_Toc184635140"/>
      <w:bookmarkStart w:id="28" w:name="_Toc268054352"/>
      <w:bookmarkStart w:id="29" w:name="_Toc215656184"/>
      <w:r>
        <w:rPr>
          <w:rFonts w:hint="eastAsia" w:ascii="宋体" w:hAnsi="宋体" w:eastAsia="宋体" w:cs="Times New Roman"/>
          <w:bCs w:val="0"/>
          <w:color w:val="auto"/>
        </w:rPr>
        <w:t>三、法定代表人授权委托书</w:t>
      </w:r>
      <w:bookmarkEnd w:id="22"/>
      <w:bookmarkEnd w:id="23"/>
      <w:bookmarkEnd w:id="24"/>
      <w:bookmarkEnd w:id="25"/>
      <w:bookmarkEnd w:id="26"/>
      <w:bookmarkEnd w:id="27"/>
      <w:bookmarkEnd w:id="28"/>
      <w:bookmarkEnd w:id="29"/>
    </w:p>
    <w:p>
      <w:pPr>
        <w:spacing w:line="360" w:lineRule="auto"/>
        <w:ind w:firstLine="420" w:firstLineChars="200"/>
        <w:rPr>
          <w:rFonts w:ascii="宋体" w:hAnsi="宋体" w:eastAsia="宋体" w:cs="Times New Roman"/>
          <w:color w:val="auto"/>
          <w:szCs w:val="21"/>
        </w:rPr>
      </w:pPr>
    </w:p>
    <w:p>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本人</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（姓名）系</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（投标人名称）的法定代表人，现委托</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（姓名，职务）为我方代理人。代理人根据授权，以我方名义签署、澄清、说明、补正、递交、撤回、修改</w:t>
      </w:r>
      <w:r>
        <w:rPr>
          <w:rFonts w:hint="eastAsia" w:ascii="宋体" w:hAnsi="宋体"/>
          <w:b/>
          <w:color w:val="auto"/>
          <w:szCs w:val="21"/>
          <w:u w:val="single"/>
        </w:rPr>
        <w:t xml:space="preserve">                           </w:t>
      </w:r>
      <w:r>
        <w:rPr>
          <w:rFonts w:hint="eastAsia" w:ascii="宋体" w:hAnsi="宋体"/>
          <w:color w:val="auto"/>
          <w:szCs w:val="21"/>
        </w:rPr>
        <w:t>（项目名称）</w:t>
      </w:r>
      <w:r>
        <w:rPr>
          <w:rFonts w:hint="eastAsia" w:ascii="宋体" w:hAnsi="宋体" w:eastAsia="宋体" w:cs="Times New Roman"/>
          <w:color w:val="auto"/>
          <w:szCs w:val="21"/>
        </w:rPr>
        <w:t>投标文件、签订合同和处理有关事宜，其法律后果由我方承担。</w:t>
      </w:r>
    </w:p>
    <w:p>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委托期限：</w:t>
      </w:r>
      <w:r>
        <w:rPr>
          <w:rFonts w:hint="eastAsia" w:ascii="宋体" w:hAnsi="宋体" w:eastAsia="宋体" w:cs="Times New Roman"/>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代理人无转委托权。</w:t>
      </w:r>
    </w:p>
    <w:p>
      <w:pPr>
        <w:spacing w:line="360" w:lineRule="auto"/>
        <w:ind w:firstLine="420" w:firstLineChars="200"/>
        <w:rPr>
          <w:rFonts w:ascii="宋体" w:hAnsi="宋体"/>
          <w:color w:val="auto"/>
          <w:szCs w:val="21"/>
        </w:rPr>
      </w:pPr>
      <w:r>
        <w:rPr>
          <w:rFonts w:hint="eastAsia" w:ascii="宋体" w:hAnsi="宋体"/>
          <w:color w:val="auto"/>
          <w:szCs w:val="21"/>
        </w:rPr>
        <w:t>附：法定代表人及委托代理人身份证</w:t>
      </w:r>
    </w:p>
    <w:p>
      <w:pPr>
        <w:spacing w:line="360" w:lineRule="auto"/>
        <w:ind w:firstLine="420" w:firstLineChars="200"/>
        <w:rPr>
          <w:rFonts w:ascii="宋体" w:hAnsi="宋体"/>
          <w:color w:val="auto"/>
          <w:szCs w:val="21"/>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3" w:hRule="atLeast"/>
        </w:trPr>
        <w:tc>
          <w:tcPr>
            <w:tcW w:w="4261" w:type="dxa"/>
            <w:vAlign w:val="center"/>
          </w:tcPr>
          <w:p>
            <w:pPr>
              <w:spacing w:line="360" w:lineRule="auto"/>
              <w:jc w:val="center"/>
              <w:rPr>
                <w:rFonts w:ascii="宋体" w:hAnsi="宋体"/>
                <w:color w:val="auto"/>
                <w:szCs w:val="21"/>
              </w:rPr>
            </w:pPr>
            <w:r>
              <w:rPr>
                <w:rFonts w:hint="eastAsia" w:ascii="宋体" w:hAnsi="宋体"/>
                <w:color w:val="auto"/>
                <w:szCs w:val="21"/>
              </w:rPr>
              <w:t>法定代表人二代身份证复印件</w:t>
            </w:r>
          </w:p>
          <w:p>
            <w:pPr>
              <w:spacing w:line="360" w:lineRule="auto"/>
              <w:jc w:val="center"/>
              <w:rPr>
                <w:rFonts w:ascii="宋体" w:hAnsi="宋体"/>
                <w:color w:val="auto"/>
                <w:szCs w:val="21"/>
              </w:rPr>
            </w:pPr>
            <w:r>
              <w:rPr>
                <w:rFonts w:hint="eastAsia" w:ascii="宋体" w:hAnsi="宋体"/>
                <w:color w:val="auto"/>
                <w:szCs w:val="21"/>
              </w:rPr>
              <w:t>（正反两面）</w:t>
            </w:r>
          </w:p>
          <w:p>
            <w:pPr>
              <w:spacing w:line="360" w:lineRule="auto"/>
              <w:jc w:val="center"/>
              <w:rPr>
                <w:rFonts w:ascii="宋体" w:hAnsi="宋体"/>
                <w:color w:val="auto"/>
                <w:szCs w:val="21"/>
              </w:rPr>
            </w:pPr>
          </w:p>
        </w:tc>
        <w:tc>
          <w:tcPr>
            <w:tcW w:w="4261" w:type="dxa"/>
            <w:vAlign w:val="center"/>
          </w:tcPr>
          <w:p>
            <w:pPr>
              <w:spacing w:line="360" w:lineRule="auto"/>
              <w:jc w:val="center"/>
              <w:rPr>
                <w:rFonts w:ascii="宋体" w:hAnsi="宋体"/>
                <w:color w:val="auto"/>
                <w:szCs w:val="21"/>
              </w:rPr>
            </w:pPr>
            <w:r>
              <w:rPr>
                <w:rFonts w:hint="eastAsia" w:ascii="宋体" w:hAnsi="宋体"/>
                <w:color w:val="auto"/>
                <w:szCs w:val="21"/>
              </w:rPr>
              <w:t>委托代理人二代身份证复印件</w:t>
            </w:r>
          </w:p>
          <w:p>
            <w:pPr>
              <w:spacing w:line="360" w:lineRule="auto"/>
              <w:jc w:val="center"/>
              <w:rPr>
                <w:rFonts w:ascii="宋体" w:hAnsi="宋体"/>
                <w:color w:val="auto"/>
                <w:szCs w:val="21"/>
              </w:rPr>
            </w:pPr>
            <w:r>
              <w:rPr>
                <w:rFonts w:hint="eastAsia" w:ascii="宋体" w:hAnsi="宋体"/>
                <w:color w:val="auto"/>
                <w:szCs w:val="21"/>
              </w:rPr>
              <w:t>（正反两面）</w:t>
            </w:r>
          </w:p>
          <w:p>
            <w:pPr>
              <w:spacing w:line="360" w:lineRule="auto"/>
              <w:jc w:val="center"/>
              <w:rPr>
                <w:rFonts w:ascii="宋体" w:hAnsi="宋体"/>
                <w:color w:val="auto"/>
                <w:szCs w:val="21"/>
              </w:rPr>
            </w:pPr>
          </w:p>
        </w:tc>
      </w:tr>
    </w:tbl>
    <w:p>
      <w:pPr>
        <w:spacing w:line="360" w:lineRule="auto"/>
        <w:ind w:firstLine="4200" w:firstLineChars="2000"/>
        <w:rPr>
          <w:rFonts w:ascii="宋体" w:hAnsi="宋体"/>
          <w:color w:val="auto"/>
          <w:szCs w:val="21"/>
        </w:rPr>
      </w:pPr>
    </w:p>
    <w:p>
      <w:pPr>
        <w:spacing w:line="360" w:lineRule="auto"/>
        <w:ind w:firstLine="4200" w:firstLineChars="2000"/>
        <w:rPr>
          <w:rFonts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4200" w:firstLineChars="200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w:t>
      </w:r>
    </w:p>
    <w:p>
      <w:pPr>
        <w:spacing w:line="360" w:lineRule="auto"/>
        <w:ind w:firstLine="4200" w:firstLineChars="200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（签字）</w:t>
      </w:r>
    </w:p>
    <w:p>
      <w:pPr>
        <w:spacing w:line="360" w:lineRule="auto"/>
        <w:ind w:firstLine="4200" w:firstLineChars="2000"/>
        <w:rPr>
          <w:rFonts w:ascii="宋体" w:hAnsi="宋体"/>
          <w:color w:val="auto"/>
          <w:szCs w:val="21"/>
        </w:rPr>
      </w:pPr>
    </w:p>
    <w:p>
      <w:pPr>
        <w:spacing w:line="360" w:lineRule="auto"/>
        <w:ind w:firstLine="4200" w:firstLineChars="2000"/>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p>
    <w:p>
      <w:pPr>
        <w:adjustRightInd w:val="0"/>
        <w:snapToGrid w:val="0"/>
        <w:spacing w:beforeLines="50" w:line="360" w:lineRule="auto"/>
        <w:ind w:firstLine="1084" w:firstLineChars="450"/>
        <w:rPr>
          <w:rFonts w:ascii="宋体" w:hAnsi="宋体"/>
          <w:b/>
          <w:color w:val="auto"/>
          <w:sz w:val="24"/>
        </w:rPr>
      </w:pPr>
      <w:r>
        <w:rPr>
          <w:rFonts w:hint="eastAsia" w:ascii="宋体" w:hAnsi="宋体"/>
          <w:b/>
          <w:color w:val="auto"/>
          <w:sz w:val="24"/>
        </w:rPr>
        <w:t>（请自备两份，其中一份用于开标现场进行身份验证。）</w:t>
      </w:r>
    </w:p>
    <w:p>
      <w:pPr>
        <w:adjustRightInd w:val="0"/>
        <w:snapToGrid w:val="0"/>
        <w:spacing w:beforeLines="50" w:line="360" w:lineRule="auto"/>
        <w:ind w:firstLine="1084" w:firstLineChars="450"/>
        <w:rPr>
          <w:rFonts w:ascii="宋体" w:hAnsi="宋体"/>
          <w:b/>
          <w:color w:val="auto"/>
          <w:sz w:val="24"/>
        </w:rPr>
      </w:pPr>
    </w:p>
    <w:p>
      <w:pPr>
        <w:adjustRightInd w:val="0"/>
        <w:snapToGrid w:val="0"/>
        <w:spacing w:beforeLines="50" w:line="360" w:lineRule="auto"/>
        <w:ind w:firstLine="1084" w:firstLineChars="450"/>
        <w:rPr>
          <w:rFonts w:ascii="宋体" w:hAnsi="宋体"/>
          <w:b/>
          <w:color w:val="auto"/>
          <w:sz w:val="24"/>
        </w:rPr>
      </w:pPr>
    </w:p>
    <w:p>
      <w:pPr>
        <w:adjustRightInd w:val="0"/>
        <w:snapToGrid w:val="0"/>
        <w:spacing w:beforeLines="50" w:line="360" w:lineRule="auto"/>
        <w:ind w:firstLine="1084" w:firstLineChars="450"/>
        <w:rPr>
          <w:rFonts w:ascii="宋体" w:hAnsi="宋体"/>
          <w:b/>
          <w:color w:val="auto"/>
          <w:sz w:val="24"/>
        </w:rPr>
      </w:pPr>
    </w:p>
    <w:p>
      <w:pPr>
        <w:pStyle w:val="4"/>
        <w:spacing w:before="0" w:after="0" w:line="360" w:lineRule="auto"/>
        <w:jc w:val="center"/>
        <w:rPr>
          <w:rFonts w:ascii="宋体" w:hAnsi="宋体"/>
          <w:bCs w:val="0"/>
          <w:color w:val="auto"/>
        </w:rPr>
      </w:pPr>
      <w:r>
        <w:rPr>
          <w:rFonts w:hint="eastAsia" w:ascii="宋体" w:hAnsi="宋体"/>
          <w:bCs w:val="0"/>
          <w:color w:val="auto"/>
        </w:rPr>
        <w:t>四、投标保证金</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附投标保证金交纳凭证。</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pStyle w:val="4"/>
        <w:spacing w:before="0" w:after="0" w:line="360" w:lineRule="auto"/>
        <w:jc w:val="center"/>
        <w:rPr>
          <w:rFonts w:ascii="宋体" w:hAnsi="宋体"/>
          <w:bCs w:val="0"/>
          <w:color w:val="auto"/>
        </w:rPr>
      </w:pPr>
      <w:r>
        <w:rPr>
          <w:rFonts w:hint="eastAsia" w:ascii="宋体" w:hAnsi="宋体"/>
          <w:bCs w:val="0"/>
          <w:color w:val="auto"/>
        </w:rPr>
        <w:t>五、承诺书</w:t>
      </w:r>
    </w:p>
    <w:p>
      <w:pPr>
        <w:rPr>
          <w:color w:val="auto"/>
        </w:rPr>
      </w:pPr>
      <w:r>
        <w:rPr>
          <w:rFonts w:hint="eastAsia"/>
          <w:color w:val="auto"/>
          <w:u w:val="single"/>
        </w:rPr>
        <w:t xml:space="preserve">                        </w:t>
      </w:r>
      <w:r>
        <w:rPr>
          <w:rFonts w:hint="eastAsia"/>
          <w:color w:val="auto"/>
        </w:rPr>
        <w:t>（投标人名称）：</w:t>
      </w:r>
    </w:p>
    <w:p>
      <w:pPr>
        <w:rPr>
          <w:color w:val="auto"/>
        </w:rPr>
      </w:pPr>
    </w:p>
    <w:p>
      <w:pPr>
        <w:rPr>
          <w:rFonts w:ascii="宋体" w:hAnsi="宋体"/>
          <w:color w:val="auto"/>
          <w:szCs w:val="21"/>
        </w:rPr>
      </w:pPr>
      <w:r>
        <w:rPr>
          <w:rFonts w:hint="eastAsia"/>
          <w:color w:val="auto"/>
        </w:rPr>
        <w:t xml:space="preserve">     </w:t>
      </w:r>
      <w:r>
        <w:rPr>
          <w:rFonts w:hint="eastAsia" w:ascii="宋体" w:hAnsi="宋体"/>
          <w:color w:val="auto"/>
          <w:szCs w:val="21"/>
        </w:rPr>
        <w:t>我方在此声明:</w:t>
      </w:r>
    </w:p>
    <w:p>
      <w:pPr>
        <w:spacing w:line="360" w:lineRule="auto"/>
        <w:ind w:firstLine="434" w:firstLineChars="207"/>
        <w:rPr>
          <w:rFonts w:ascii="宋体" w:hAnsi="宋体"/>
          <w:color w:val="auto"/>
        </w:rPr>
      </w:pPr>
      <w:r>
        <w:rPr>
          <w:rFonts w:hint="eastAsia" w:ascii="宋体" w:hAnsi="宋体"/>
          <w:color w:val="auto"/>
        </w:rPr>
        <w:t>1、我方自愿参加</w:t>
      </w:r>
      <w:r>
        <w:rPr>
          <w:rFonts w:hint="eastAsia" w:ascii="宋体" w:hAnsi="宋体"/>
          <w:color w:val="auto"/>
          <w:lang w:eastAsia="zh-CN"/>
        </w:rPr>
        <w:t>双牌县佳兴名城住宅小区和嘉信国际酒店前期物业管理</w:t>
      </w:r>
      <w:r>
        <w:rPr>
          <w:rFonts w:hint="eastAsia" w:ascii="宋体" w:hAnsi="宋体"/>
          <w:color w:val="auto"/>
        </w:rPr>
        <w:t>服务项目的投标，并保证投标文件提供信息的真实和准确，并愿意承担因我方就此弄虚作假所引起的一切后果。</w:t>
      </w:r>
    </w:p>
    <w:p>
      <w:pPr>
        <w:spacing w:line="360" w:lineRule="auto"/>
        <w:ind w:firstLine="434" w:firstLineChars="207"/>
        <w:rPr>
          <w:rFonts w:ascii="宋体" w:hAnsi="宋体"/>
          <w:color w:val="auto"/>
        </w:rPr>
      </w:pPr>
      <w:r>
        <w:rPr>
          <w:rFonts w:hint="eastAsia" w:ascii="宋体" w:hAnsi="宋体"/>
          <w:color w:val="auto"/>
        </w:rPr>
        <w:t>2、我方已详细审核全部招标文件，包括招标文件修改书(如果有)、参考资料及有关附件，确认无误。我方同意此次招标文件中的各项内容。</w:t>
      </w:r>
    </w:p>
    <w:p>
      <w:pPr>
        <w:spacing w:line="360" w:lineRule="auto"/>
        <w:ind w:firstLine="434" w:firstLineChars="207"/>
        <w:rPr>
          <w:rFonts w:ascii="宋体" w:hAnsi="宋体"/>
          <w:color w:val="auto"/>
        </w:rPr>
      </w:pPr>
      <w:r>
        <w:rPr>
          <w:rFonts w:hint="eastAsia" w:ascii="宋体" w:hAnsi="宋体"/>
          <w:color w:val="auto"/>
        </w:rPr>
        <w:t>3、我方同意提供贵方可能要求的与本次投标有关的一切数据或资料等。</w:t>
      </w:r>
    </w:p>
    <w:p>
      <w:pPr>
        <w:spacing w:line="360" w:lineRule="auto"/>
        <w:ind w:firstLine="434" w:firstLineChars="207"/>
        <w:rPr>
          <w:rFonts w:ascii="宋体" w:hAnsi="宋体"/>
          <w:color w:val="auto"/>
        </w:rPr>
      </w:pPr>
      <w:r>
        <w:rPr>
          <w:rFonts w:hint="eastAsia" w:ascii="宋体" w:hAnsi="宋体"/>
          <w:color w:val="auto"/>
        </w:rPr>
        <w:t>4、我方保证我公司不得存在下列情形之一：</w:t>
      </w:r>
    </w:p>
    <w:p>
      <w:pPr>
        <w:spacing w:line="360" w:lineRule="auto"/>
        <w:ind w:firstLine="434" w:firstLineChars="207"/>
        <w:rPr>
          <w:rFonts w:ascii="宋体" w:hAnsi="宋体"/>
          <w:color w:val="auto"/>
        </w:rPr>
      </w:pPr>
      <w:r>
        <w:rPr>
          <w:rFonts w:hint="eastAsia" w:ascii="宋体" w:hAnsi="宋体"/>
          <w:color w:val="auto"/>
        </w:rPr>
        <w:t>(1)为招标人不具有独立法人资格的附属机构(单位)；</w:t>
      </w:r>
    </w:p>
    <w:p>
      <w:pPr>
        <w:spacing w:line="360" w:lineRule="auto"/>
        <w:ind w:firstLine="434" w:firstLineChars="207"/>
        <w:rPr>
          <w:rFonts w:ascii="宋体" w:hAnsi="宋体"/>
          <w:color w:val="auto"/>
        </w:rPr>
      </w:pPr>
      <w:r>
        <w:rPr>
          <w:rFonts w:hint="eastAsia" w:ascii="宋体" w:hAnsi="宋体"/>
          <w:color w:val="auto"/>
        </w:rPr>
        <w:t>(2)为本项目物业服务评估监理机构的；</w:t>
      </w:r>
    </w:p>
    <w:p>
      <w:pPr>
        <w:spacing w:line="360" w:lineRule="auto"/>
        <w:ind w:firstLine="434" w:firstLineChars="207"/>
        <w:rPr>
          <w:rFonts w:ascii="宋体" w:hAnsi="宋体"/>
          <w:color w:val="auto"/>
        </w:rPr>
      </w:pPr>
      <w:r>
        <w:rPr>
          <w:rFonts w:hint="eastAsia" w:ascii="宋体" w:hAnsi="宋体"/>
          <w:color w:val="auto"/>
        </w:rPr>
        <w:t>(3)为本标段提供招标代理服务的；</w:t>
      </w:r>
    </w:p>
    <w:p>
      <w:pPr>
        <w:spacing w:line="360" w:lineRule="auto"/>
        <w:ind w:firstLine="434" w:firstLineChars="207"/>
        <w:rPr>
          <w:rFonts w:ascii="宋体" w:hAnsi="宋体"/>
          <w:color w:val="auto"/>
        </w:rPr>
      </w:pPr>
      <w:r>
        <w:rPr>
          <w:rFonts w:hint="eastAsia" w:ascii="宋体" w:hAnsi="宋体"/>
          <w:color w:val="auto"/>
        </w:rPr>
        <w:t>(4)与本项目物业服务评估监理人或招标代理机构相互控股或参股的；</w:t>
      </w:r>
    </w:p>
    <w:p>
      <w:pPr>
        <w:spacing w:line="360" w:lineRule="auto"/>
        <w:ind w:firstLine="434" w:firstLineChars="207"/>
        <w:rPr>
          <w:rFonts w:ascii="宋体" w:hAnsi="宋体"/>
          <w:color w:val="auto"/>
        </w:rPr>
      </w:pPr>
      <w:r>
        <w:rPr>
          <w:rFonts w:hint="eastAsia" w:ascii="宋体" w:hAnsi="宋体"/>
          <w:color w:val="auto"/>
        </w:rPr>
        <w:t xml:space="preserve">(5)被责令停业的: </w:t>
      </w:r>
    </w:p>
    <w:p>
      <w:pPr>
        <w:spacing w:line="360" w:lineRule="auto"/>
        <w:ind w:firstLine="420" w:firstLineChars="200"/>
        <w:rPr>
          <w:rFonts w:ascii="宋体" w:hAnsi="宋体"/>
          <w:color w:val="auto"/>
        </w:rPr>
      </w:pPr>
      <w:r>
        <w:rPr>
          <w:rFonts w:hint="eastAsia" w:ascii="宋体" w:hAnsi="宋体"/>
          <w:color w:val="auto"/>
        </w:rPr>
        <w:t>(6)被暂停或取消投标资格的；</w:t>
      </w:r>
    </w:p>
    <w:p>
      <w:pPr>
        <w:spacing w:line="360" w:lineRule="auto"/>
        <w:ind w:firstLine="420" w:firstLineChars="200"/>
        <w:rPr>
          <w:rFonts w:ascii="宋体" w:hAnsi="宋体"/>
          <w:color w:val="auto"/>
        </w:rPr>
      </w:pPr>
      <w:r>
        <w:rPr>
          <w:rFonts w:hint="eastAsia" w:ascii="宋体" w:hAnsi="宋体"/>
          <w:color w:val="auto"/>
        </w:rPr>
        <w:t>(7)财产被接管或冻结的；</w:t>
      </w:r>
    </w:p>
    <w:p>
      <w:pPr>
        <w:spacing w:line="360" w:lineRule="auto"/>
        <w:ind w:firstLine="434" w:firstLineChars="207"/>
        <w:rPr>
          <w:rFonts w:ascii="宋体" w:hAnsi="宋体"/>
          <w:color w:val="auto"/>
        </w:rPr>
      </w:pPr>
      <w:r>
        <w:rPr>
          <w:rFonts w:hint="eastAsia" w:ascii="宋体" w:hAnsi="宋体"/>
          <w:color w:val="auto"/>
        </w:rPr>
        <w:t>(8)在最近三年内有骗取中标或严重违约的。</w:t>
      </w:r>
    </w:p>
    <w:p>
      <w:pPr>
        <w:spacing w:line="360" w:lineRule="auto"/>
        <w:ind w:firstLine="434" w:firstLineChars="207"/>
        <w:rPr>
          <w:rFonts w:ascii="宋体" w:hAnsi="宋体"/>
          <w:color w:val="auto"/>
        </w:rPr>
      </w:pPr>
      <w:r>
        <w:rPr>
          <w:rFonts w:hint="eastAsia" w:ascii="宋体" w:hAnsi="宋体"/>
          <w:color w:val="auto"/>
        </w:rPr>
        <w:t>5、我方若中标，保证按照投标文件的承诺与贵方签订合同，保证履行合同条款并缴纳履约保证金。</w:t>
      </w:r>
    </w:p>
    <w:p>
      <w:pPr>
        <w:spacing w:line="360" w:lineRule="auto"/>
        <w:ind w:firstLine="434" w:firstLineChars="207"/>
        <w:rPr>
          <w:rFonts w:ascii="宋体" w:hAnsi="宋体"/>
          <w:color w:val="auto"/>
        </w:rPr>
      </w:pPr>
    </w:p>
    <w:p>
      <w:pPr>
        <w:spacing w:line="360" w:lineRule="auto"/>
        <w:ind w:firstLine="434" w:firstLineChars="207"/>
        <w:rPr>
          <w:rFonts w:ascii="宋体" w:hAnsi="宋体"/>
          <w:color w:val="auto"/>
        </w:rPr>
      </w:pPr>
      <w:r>
        <w:rPr>
          <w:rFonts w:hint="eastAsia" w:ascii="宋体" w:hAnsi="宋体"/>
          <w:color w:val="auto"/>
        </w:rPr>
        <w:t>特此承诺</w:t>
      </w:r>
    </w:p>
    <w:p>
      <w:pPr>
        <w:spacing w:line="360" w:lineRule="auto"/>
        <w:ind w:firstLine="4109" w:firstLineChars="1957"/>
        <w:rPr>
          <w:rFonts w:ascii="宋体" w:hAnsi="宋体"/>
          <w:color w:val="auto"/>
        </w:rPr>
      </w:pPr>
      <w:r>
        <w:rPr>
          <w:rFonts w:hint="eastAsia" w:ascii="宋体" w:hAnsi="宋体"/>
          <w:color w:val="auto"/>
        </w:rPr>
        <w:t>投标人:</w:t>
      </w:r>
      <w:r>
        <w:rPr>
          <w:rFonts w:hint="eastAsia" w:ascii="宋体" w:hAnsi="宋体"/>
          <w:color w:val="auto"/>
          <w:u w:val="single"/>
        </w:rPr>
        <w:t xml:space="preserve">                      </w:t>
      </w:r>
      <w:r>
        <w:rPr>
          <w:rFonts w:hint="eastAsia" w:ascii="宋体" w:hAnsi="宋体"/>
          <w:color w:val="auto"/>
        </w:rPr>
        <w:t>(盖单位章)</w:t>
      </w:r>
    </w:p>
    <w:p>
      <w:pPr>
        <w:spacing w:line="360" w:lineRule="auto"/>
        <w:ind w:firstLine="4200" w:firstLineChars="2000"/>
        <w:rPr>
          <w:rFonts w:ascii="宋体" w:hAnsi="宋体"/>
          <w:color w:val="auto"/>
        </w:rPr>
      </w:pPr>
    </w:p>
    <w:p>
      <w:pPr>
        <w:spacing w:line="360" w:lineRule="auto"/>
        <w:ind w:firstLine="3255" w:firstLineChars="1550"/>
        <w:rPr>
          <w:rFonts w:ascii="宋体" w:hAnsi="宋体"/>
          <w:color w:val="auto"/>
        </w:rPr>
      </w:pPr>
      <w:r>
        <w:rPr>
          <w:rFonts w:hint="eastAsia" w:ascii="宋体" w:hAnsi="宋体"/>
          <w:color w:val="auto"/>
        </w:rPr>
        <w:t>法定代表人或其授权委托人：</w:t>
      </w:r>
      <w:r>
        <w:rPr>
          <w:rFonts w:hint="eastAsia" w:ascii="宋体" w:hAnsi="宋体"/>
          <w:color w:val="auto"/>
          <w:u w:val="single"/>
        </w:rPr>
        <w:t xml:space="preserve">               </w:t>
      </w:r>
      <w:r>
        <w:rPr>
          <w:rFonts w:hint="eastAsia" w:ascii="宋体" w:hAnsi="宋体"/>
          <w:color w:val="auto"/>
        </w:rPr>
        <w:t>(签字)</w:t>
      </w:r>
    </w:p>
    <w:p>
      <w:pPr>
        <w:spacing w:line="360" w:lineRule="auto"/>
        <w:rPr>
          <w:rFonts w:ascii="宋体" w:hAnsi="宋体"/>
          <w:color w:val="auto"/>
        </w:rPr>
      </w:pPr>
    </w:p>
    <w:p>
      <w:pPr>
        <w:spacing w:line="360" w:lineRule="auto"/>
        <w:ind w:firstLine="434" w:firstLineChars="207"/>
        <w:rPr>
          <w:rFonts w:ascii="宋体" w:hAnsi="宋体"/>
          <w:color w:val="auto"/>
        </w:rPr>
      </w:pPr>
    </w:p>
    <w:p>
      <w:pPr>
        <w:spacing w:line="360" w:lineRule="auto"/>
        <w:ind w:firstLine="5894" w:firstLineChars="2807"/>
        <w:rPr>
          <w:rFonts w:ascii="宋体" w:hAnsi="宋体"/>
          <w:color w:val="auto"/>
        </w:rPr>
      </w:pPr>
      <w:r>
        <w:rPr>
          <w:rFonts w:hint="eastAsia" w:ascii="宋体" w:hAnsi="宋体"/>
          <w:color w:val="auto"/>
        </w:rPr>
        <w:t>_</w:t>
      </w:r>
      <w:r>
        <w:rPr>
          <w:rFonts w:hint="eastAsia" w:ascii="宋体" w:hAnsi="宋体"/>
          <w:color w:val="auto"/>
          <w:u w:val="single"/>
        </w:rPr>
        <w:t xml:space="preserve">    </w:t>
      </w:r>
      <w:r>
        <w:rPr>
          <w:rFonts w:hint="eastAsia" w:ascii="宋体" w:hAnsi="宋体"/>
          <w:color w:val="auto"/>
        </w:rPr>
        <w:t>年_</w:t>
      </w:r>
      <w:r>
        <w:rPr>
          <w:rFonts w:hint="eastAsia" w:ascii="宋体" w:hAnsi="宋体"/>
          <w:color w:val="auto"/>
          <w:u w:val="single"/>
        </w:rPr>
        <w:t xml:space="preserve">   </w:t>
      </w:r>
      <w:r>
        <w:rPr>
          <w:rFonts w:hint="eastAsia" w:ascii="宋体" w:hAnsi="宋体"/>
          <w:color w:val="auto"/>
        </w:rPr>
        <w:t xml:space="preserve"> 月____ 日</w:t>
      </w:r>
    </w:p>
    <w:p>
      <w:pPr>
        <w:spacing w:line="360" w:lineRule="auto"/>
        <w:ind w:firstLine="434" w:firstLineChars="207"/>
        <w:rPr>
          <w:rFonts w:ascii="宋体" w:hAnsi="宋体"/>
          <w:color w:val="auto"/>
        </w:rPr>
      </w:pPr>
    </w:p>
    <w:p>
      <w:pPr>
        <w:spacing w:line="360" w:lineRule="auto"/>
        <w:ind w:firstLine="434" w:firstLineChars="207"/>
        <w:rPr>
          <w:rFonts w:ascii="宋体" w:hAnsi="宋体"/>
          <w:color w:val="auto"/>
        </w:rPr>
      </w:pPr>
    </w:p>
    <w:p>
      <w:pPr>
        <w:pStyle w:val="4"/>
        <w:spacing w:before="0" w:after="0" w:line="360" w:lineRule="auto"/>
        <w:jc w:val="center"/>
        <w:rPr>
          <w:rFonts w:ascii="宋体" w:hAnsi="宋体"/>
          <w:bCs w:val="0"/>
          <w:color w:val="auto"/>
        </w:rPr>
      </w:pPr>
      <w:r>
        <w:rPr>
          <w:rFonts w:hint="eastAsia" w:ascii="宋体" w:hAnsi="宋体"/>
          <w:bCs w:val="0"/>
          <w:color w:val="auto"/>
        </w:rPr>
        <w:t>六、专项服务外包计划表(如果有)</w:t>
      </w:r>
    </w:p>
    <w:p>
      <w:pPr>
        <w:rPr>
          <w:color w:val="auto"/>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3"/>
        <w:gridCol w:w="1065"/>
        <w:gridCol w:w="1065"/>
        <w:gridCol w:w="1235"/>
        <w:gridCol w:w="1134"/>
        <w:gridCol w:w="113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17" w:type="dxa"/>
            <w:vMerge w:val="restart"/>
            <w:vAlign w:val="center"/>
          </w:tcPr>
          <w:p>
            <w:pPr>
              <w:jc w:val="center"/>
              <w:rPr>
                <w:rFonts w:asciiTheme="minorEastAsia" w:hAnsiTheme="minorEastAsia"/>
                <w:color w:val="auto"/>
                <w:szCs w:val="21"/>
              </w:rPr>
            </w:pPr>
            <w:r>
              <w:rPr>
                <w:rFonts w:hint="eastAsia" w:asciiTheme="minorEastAsia" w:hAnsiTheme="minorEastAsia"/>
                <w:color w:val="auto"/>
                <w:szCs w:val="21"/>
              </w:rPr>
              <w:t>序号</w:t>
            </w:r>
          </w:p>
        </w:tc>
        <w:tc>
          <w:tcPr>
            <w:tcW w:w="1313" w:type="dxa"/>
            <w:vMerge w:val="restart"/>
            <w:vAlign w:val="center"/>
          </w:tcPr>
          <w:p>
            <w:pPr>
              <w:jc w:val="center"/>
              <w:rPr>
                <w:rFonts w:asciiTheme="minorEastAsia" w:hAnsiTheme="minorEastAsia"/>
                <w:color w:val="auto"/>
                <w:szCs w:val="21"/>
              </w:rPr>
            </w:pPr>
            <w:r>
              <w:rPr>
                <w:rFonts w:hint="eastAsia" w:asciiTheme="minorEastAsia" w:hAnsiTheme="minorEastAsia"/>
                <w:color w:val="auto"/>
                <w:szCs w:val="21"/>
              </w:rPr>
              <w:t>拟外包项目名称、范围及理由</w:t>
            </w:r>
          </w:p>
        </w:tc>
        <w:tc>
          <w:tcPr>
            <w:tcW w:w="5633" w:type="dxa"/>
            <w:gridSpan w:val="5"/>
            <w:vAlign w:val="center"/>
          </w:tcPr>
          <w:p>
            <w:pPr>
              <w:jc w:val="center"/>
              <w:rPr>
                <w:rFonts w:asciiTheme="minorEastAsia" w:hAnsiTheme="minorEastAsia"/>
                <w:color w:val="auto"/>
                <w:szCs w:val="21"/>
              </w:rPr>
            </w:pPr>
            <w:r>
              <w:rPr>
                <w:rFonts w:hint="eastAsia" w:asciiTheme="minorEastAsia" w:hAnsiTheme="minorEastAsia"/>
                <w:color w:val="auto"/>
                <w:szCs w:val="21"/>
              </w:rPr>
              <w:t>拟选外包人</w:t>
            </w:r>
          </w:p>
        </w:tc>
        <w:tc>
          <w:tcPr>
            <w:tcW w:w="759" w:type="dxa"/>
            <w:vMerge w:val="restart"/>
            <w:vAlign w:val="center"/>
          </w:tcPr>
          <w:p>
            <w:pPr>
              <w:jc w:val="center"/>
              <w:rPr>
                <w:rFonts w:asciiTheme="minorEastAsia" w:hAnsiTheme="minorEastAsia"/>
                <w:color w:val="auto"/>
                <w:szCs w:val="21"/>
              </w:rPr>
            </w:pPr>
            <w:r>
              <w:rPr>
                <w:rFonts w:hint="eastAsia" w:asciiTheme="minorEastAsia" w:hAnsiTheme="minor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817" w:type="dxa"/>
            <w:vMerge w:val="continue"/>
            <w:vAlign w:val="center"/>
          </w:tcPr>
          <w:p>
            <w:pPr>
              <w:jc w:val="center"/>
              <w:rPr>
                <w:rFonts w:asciiTheme="minorEastAsia" w:hAnsiTheme="minorEastAsia"/>
                <w:color w:val="auto"/>
                <w:szCs w:val="21"/>
              </w:rPr>
            </w:pPr>
          </w:p>
        </w:tc>
        <w:tc>
          <w:tcPr>
            <w:tcW w:w="1313" w:type="dxa"/>
            <w:vMerge w:val="continue"/>
            <w:vAlign w:val="center"/>
          </w:tcPr>
          <w:p>
            <w:pPr>
              <w:jc w:val="center"/>
              <w:rPr>
                <w:rFonts w:asciiTheme="minorEastAsia" w:hAnsiTheme="minorEastAsia"/>
                <w:color w:val="auto"/>
                <w:szCs w:val="21"/>
              </w:rPr>
            </w:pPr>
          </w:p>
        </w:tc>
        <w:tc>
          <w:tcPr>
            <w:tcW w:w="2130"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拟选外包人名称</w:t>
            </w:r>
          </w:p>
        </w:tc>
        <w:tc>
          <w:tcPr>
            <w:tcW w:w="1235" w:type="dxa"/>
            <w:vAlign w:val="center"/>
          </w:tcPr>
          <w:p>
            <w:pPr>
              <w:jc w:val="center"/>
              <w:rPr>
                <w:rFonts w:asciiTheme="minorEastAsia" w:hAnsiTheme="minorEastAsia"/>
                <w:color w:val="auto"/>
                <w:szCs w:val="21"/>
              </w:rPr>
            </w:pPr>
            <w:r>
              <w:rPr>
                <w:rFonts w:hint="eastAsia" w:asciiTheme="minorEastAsia" w:hAnsiTheme="minorEastAsia"/>
                <w:color w:val="auto"/>
                <w:szCs w:val="21"/>
              </w:rPr>
              <w:t>注册地点</w:t>
            </w:r>
          </w:p>
        </w:tc>
        <w:tc>
          <w:tcPr>
            <w:tcW w:w="1134" w:type="dxa"/>
            <w:vAlign w:val="center"/>
          </w:tcPr>
          <w:p>
            <w:pPr>
              <w:jc w:val="center"/>
              <w:rPr>
                <w:rFonts w:asciiTheme="minorEastAsia" w:hAnsiTheme="minorEastAsia"/>
                <w:color w:val="auto"/>
                <w:szCs w:val="21"/>
              </w:rPr>
            </w:pPr>
            <w:r>
              <w:rPr>
                <w:rFonts w:hint="eastAsia" w:asciiTheme="minorEastAsia" w:hAnsiTheme="minorEastAsia"/>
                <w:color w:val="auto"/>
                <w:szCs w:val="21"/>
              </w:rPr>
              <w:t>企业资质</w:t>
            </w:r>
          </w:p>
        </w:tc>
        <w:tc>
          <w:tcPr>
            <w:tcW w:w="1134" w:type="dxa"/>
            <w:vAlign w:val="center"/>
          </w:tcPr>
          <w:p>
            <w:pPr>
              <w:jc w:val="center"/>
              <w:rPr>
                <w:rFonts w:asciiTheme="minorEastAsia" w:hAnsiTheme="minorEastAsia"/>
                <w:color w:val="auto"/>
                <w:szCs w:val="21"/>
              </w:rPr>
            </w:pPr>
            <w:r>
              <w:rPr>
                <w:rFonts w:hint="eastAsia" w:asciiTheme="minorEastAsia" w:hAnsiTheme="minorEastAsia"/>
                <w:color w:val="auto"/>
                <w:szCs w:val="21"/>
              </w:rPr>
              <w:t>有关业绩</w:t>
            </w:r>
          </w:p>
        </w:tc>
        <w:tc>
          <w:tcPr>
            <w:tcW w:w="759" w:type="dxa"/>
            <w:vMerge w:val="continue"/>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2130" w:type="dxa"/>
            <w:gridSpan w:val="2"/>
            <w:vMerge w:val="restart"/>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130" w:type="dxa"/>
            <w:gridSpan w:val="2"/>
            <w:vMerge w:val="restart"/>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130" w:type="dxa"/>
            <w:gridSpan w:val="2"/>
            <w:vMerge w:val="restart"/>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130" w:type="dxa"/>
            <w:gridSpan w:val="2"/>
            <w:vMerge w:val="restart"/>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30" w:type="dxa"/>
            <w:gridSpan w:val="2"/>
            <w:vMerge w:val="continue"/>
            <w:vAlign w:val="center"/>
          </w:tcPr>
          <w:p>
            <w:pPr>
              <w:jc w:val="center"/>
              <w:rPr>
                <w:rFonts w:asciiTheme="minorEastAsia" w:hAnsiTheme="minorEastAsia"/>
                <w:color w:val="auto"/>
                <w:szCs w:val="21"/>
              </w:rPr>
            </w:pPr>
          </w:p>
        </w:tc>
        <w:tc>
          <w:tcPr>
            <w:tcW w:w="1065"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c>
          <w:tcPr>
            <w:tcW w:w="1065" w:type="dxa"/>
            <w:vAlign w:val="center"/>
          </w:tcPr>
          <w:p>
            <w:pPr>
              <w:jc w:val="center"/>
              <w:rPr>
                <w:rFonts w:asciiTheme="minorEastAsia" w:hAnsiTheme="minorEastAsia"/>
                <w:color w:val="auto"/>
                <w:szCs w:val="21"/>
              </w:rPr>
            </w:pPr>
          </w:p>
        </w:tc>
        <w:tc>
          <w:tcPr>
            <w:tcW w:w="1235"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1134" w:type="dxa"/>
            <w:vAlign w:val="center"/>
          </w:tcPr>
          <w:p>
            <w:pPr>
              <w:jc w:val="center"/>
              <w:rPr>
                <w:rFonts w:asciiTheme="minorEastAsia" w:hAnsiTheme="minorEastAsia"/>
                <w:color w:val="auto"/>
                <w:szCs w:val="21"/>
              </w:rPr>
            </w:pPr>
          </w:p>
        </w:tc>
        <w:tc>
          <w:tcPr>
            <w:tcW w:w="759" w:type="dxa"/>
            <w:vAlign w:val="center"/>
          </w:tcPr>
          <w:p>
            <w:pPr>
              <w:jc w:val="center"/>
              <w:rPr>
                <w:rFonts w:asciiTheme="minorEastAsia" w:hAnsiTheme="minorEastAsia"/>
                <w:color w:val="auto"/>
                <w:szCs w:val="21"/>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
        <w:spacing w:before="0" w:after="0" w:line="360" w:lineRule="auto"/>
        <w:jc w:val="center"/>
        <w:rPr>
          <w:rFonts w:ascii="宋体" w:hAnsi="宋体"/>
          <w:bCs w:val="0"/>
          <w:color w:val="auto"/>
        </w:rPr>
      </w:pPr>
      <w:r>
        <w:rPr>
          <w:rFonts w:hint="eastAsia" w:ascii="宋体" w:hAnsi="宋体"/>
          <w:bCs w:val="0"/>
          <w:color w:val="auto"/>
        </w:rPr>
        <w:t>七、资格审查资料</w:t>
      </w:r>
    </w:p>
    <w:p>
      <w:pPr>
        <w:rPr>
          <w:color w:val="auto"/>
        </w:rPr>
      </w:pPr>
    </w:p>
    <w:p>
      <w:pPr>
        <w:rPr>
          <w:b/>
          <w:color w:val="auto"/>
          <w:sz w:val="32"/>
          <w:szCs w:val="32"/>
        </w:rPr>
      </w:pPr>
      <w:r>
        <w:rPr>
          <w:rFonts w:hint="eastAsia"/>
          <w:b/>
          <w:color w:val="auto"/>
          <w:sz w:val="32"/>
          <w:szCs w:val="32"/>
        </w:rPr>
        <w:t>（7.1）投标人简介</w:t>
      </w:r>
    </w:p>
    <w:p>
      <w:pPr>
        <w:rPr>
          <w:color w:val="auto"/>
        </w:rPr>
      </w:pPr>
    </w:p>
    <w:p>
      <w:pPr>
        <w:rPr>
          <w:color w:val="auto"/>
        </w:rPr>
      </w:pPr>
    </w:p>
    <w:p>
      <w:pPr>
        <w:rPr>
          <w:color w:val="auto"/>
        </w:rPr>
      </w:pPr>
      <w:r>
        <w:rPr>
          <w:rFonts w:hint="eastAsia"/>
          <w:color w:val="auto"/>
        </w:rPr>
        <w:t xml:space="preserve">   由投标人自行编写。</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b/>
          <w:color w:val="auto"/>
          <w:sz w:val="32"/>
          <w:szCs w:val="32"/>
        </w:rPr>
      </w:pPr>
      <w:r>
        <w:rPr>
          <w:rFonts w:hint="eastAsia"/>
          <w:b/>
          <w:color w:val="auto"/>
          <w:sz w:val="32"/>
          <w:szCs w:val="32"/>
        </w:rPr>
        <w:t>（7.2）投标人基本情况表</w:t>
      </w:r>
    </w:p>
    <w:tbl>
      <w:tblPr>
        <w:tblStyle w:val="11"/>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17"/>
        <w:gridCol w:w="1217"/>
        <w:gridCol w:w="705"/>
        <w:gridCol w:w="512"/>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投标人名称</w:t>
            </w:r>
          </w:p>
        </w:tc>
        <w:tc>
          <w:tcPr>
            <w:tcW w:w="7305" w:type="dxa"/>
            <w:gridSpan w:val="7"/>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注册地点</w:t>
            </w:r>
          </w:p>
        </w:tc>
        <w:tc>
          <w:tcPr>
            <w:tcW w:w="4869" w:type="dxa"/>
            <w:gridSpan w:val="5"/>
            <w:vAlign w:val="center"/>
          </w:tcPr>
          <w:p>
            <w:pPr>
              <w:jc w:val="center"/>
              <w:rPr>
                <w:rFonts w:asciiTheme="minorEastAsia" w:hAnsiTheme="minorEastAsia"/>
                <w:color w:val="auto"/>
                <w:sz w:val="18"/>
                <w:szCs w:val="18"/>
              </w:rPr>
            </w:pPr>
          </w:p>
        </w:tc>
        <w:tc>
          <w:tcPr>
            <w:tcW w:w="1218"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邮政编码</w:t>
            </w:r>
          </w:p>
        </w:tc>
        <w:tc>
          <w:tcPr>
            <w:tcW w:w="1218" w:type="dxa"/>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393" w:type="dxa"/>
            <w:vMerge w:val="restart"/>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联系方式</w:t>
            </w:r>
          </w:p>
        </w:tc>
        <w:tc>
          <w:tcPr>
            <w:tcW w:w="1217"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联系人</w:t>
            </w:r>
          </w:p>
        </w:tc>
        <w:tc>
          <w:tcPr>
            <w:tcW w:w="3652" w:type="dxa"/>
            <w:gridSpan w:val="4"/>
            <w:vAlign w:val="center"/>
          </w:tcPr>
          <w:p>
            <w:pPr>
              <w:jc w:val="center"/>
              <w:rPr>
                <w:rFonts w:asciiTheme="minorEastAsia" w:hAnsiTheme="minorEastAsia"/>
                <w:color w:val="auto"/>
                <w:sz w:val="18"/>
                <w:szCs w:val="18"/>
              </w:rPr>
            </w:pPr>
          </w:p>
        </w:tc>
        <w:tc>
          <w:tcPr>
            <w:tcW w:w="1218"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电话</w:t>
            </w:r>
          </w:p>
        </w:tc>
        <w:tc>
          <w:tcPr>
            <w:tcW w:w="1218" w:type="dxa"/>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393" w:type="dxa"/>
            <w:vMerge w:val="continue"/>
            <w:vAlign w:val="center"/>
          </w:tcPr>
          <w:p>
            <w:pPr>
              <w:jc w:val="center"/>
              <w:rPr>
                <w:rFonts w:asciiTheme="minorEastAsia" w:hAnsiTheme="minorEastAsia"/>
                <w:color w:val="auto"/>
                <w:sz w:val="18"/>
                <w:szCs w:val="18"/>
              </w:rPr>
            </w:pPr>
          </w:p>
        </w:tc>
        <w:tc>
          <w:tcPr>
            <w:tcW w:w="1217"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传  真</w:t>
            </w:r>
          </w:p>
        </w:tc>
        <w:tc>
          <w:tcPr>
            <w:tcW w:w="3652" w:type="dxa"/>
            <w:gridSpan w:val="4"/>
            <w:vAlign w:val="center"/>
          </w:tcPr>
          <w:p>
            <w:pPr>
              <w:jc w:val="center"/>
              <w:rPr>
                <w:rFonts w:asciiTheme="minorEastAsia" w:hAnsiTheme="minorEastAsia"/>
                <w:color w:val="auto"/>
                <w:sz w:val="18"/>
                <w:szCs w:val="18"/>
              </w:rPr>
            </w:pPr>
          </w:p>
        </w:tc>
        <w:tc>
          <w:tcPr>
            <w:tcW w:w="1218"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网址</w:t>
            </w:r>
          </w:p>
        </w:tc>
        <w:tc>
          <w:tcPr>
            <w:tcW w:w="1218" w:type="dxa"/>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法定代表人</w:t>
            </w:r>
          </w:p>
        </w:tc>
        <w:tc>
          <w:tcPr>
            <w:tcW w:w="1217"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姓名</w:t>
            </w:r>
          </w:p>
        </w:tc>
        <w:tc>
          <w:tcPr>
            <w:tcW w:w="1217" w:type="dxa"/>
            <w:vAlign w:val="center"/>
          </w:tcPr>
          <w:p>
            <w:pPr>
              <w:jc w:val="center"/>
              <w:rPr>
                <w:rFonts w:asciiTheme="minorEastAsia" w:hAnsiTheme="minorEastAsia"/>
                <w:color w:val="auto"/>
                <w:sz w:val="18"/>
                <w:szCs w:val="18"/>
              </w:rPr>
            </w:pPr>
          </w:p>
        </w:tc>
        <w:tc>
          <w:tcPr>
            <w:tcW w:w="1217"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技术职称</w:t>
            </w:r>
          </w:p>
        </w:tc>
        <w:tc>
          <w:tcPr>
            <w:tcW w:w="1218" w:type="dxa"/>
            <w:vAlign w:val="center"/>
          </w:tcPr>
          <w:p>
            <w:pPr>
              <w:jc w:val="center"/>
              <w:rPr>
                <w:rFonts w:asciiTheme="minorEastAsia" w:hAnsiTheme="minorEastAsia"/>
                <w:color w:val="auto"/>
                <w:sz w:val="18"/>
                <w:szCs w:val="18"/>
              </w:rPr>
            </w:pPr>
          </w:p>
        </w:tc>
        <w:tc>
          <w:tcPr>
            <w:tcW w:w="1218"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电话</w:t>
            </w:r>
          </w:p>
        </w:tc>
        <w:tc>
          <w:tcPr>
            <w:tcW w:w="1218" w:type="dxa"/>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技术负责人</w:t>
            </w:r>
          </w:p>
        </w:tc>
        <w:tc>
          <w:tcPr>
            <w:tcW w:w="1217"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姓名</w:t>
            </w:r>
          </w:p>
        </w:tc>
        <w:tc>
          <w:tcPr>
            <w:tcW w:w="1217" w:type="dxa"/>
            <w:vAlign w:val="center"/>
          </w:tcPr>
          <w:p>
            <w:pPr>
              <w:jc w:val="center"/>
              <w:rPr>
                <w:rFonts w:asciiTheme="minorEastAsia" w:hAnsiTheme="minorEastAsia"/>
                <w:color w:val="auto"/>
                <w:sz w:val="18"/>
                <w:szCs w:val="18"/>
              </w:rPr>
            </w:pPr>
          </w:p>
        </w:tc>
        <w:tc>
          <w:tcPr>
            <w:tcW w:w="1217"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技术职称</w:t>
            </w:r>
          </w:p>
        </w:tc>
        <w:tc>
          <w:tcPr>
            <w:tcW w:w="1218" w:type="dxa"/>
            <w:vAlign w:val="center"/>
          </w:tcPr>
          <w:p>
            <w:pPr>
              <w:jc w:val="center"/>
              <w:rPr>
                <w:rFonts w:asciiTheme="minorEastAsia" w:hAnsiTheme="minorEastAsia"/>
                <w:color w:val="auto"/>
                <w:sz w:val="18"/>
                <w:szCs w:val="18"/>
              </w:rPr>
            </w:pPr>
          </w:p>
        </w:tc>
        <w:tc>
          <w:tcPr>
            <w:tcW w:w="1218"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电话</w:t>
            </w:r>
          </w:p>
        </w:tc>
        <w:tc>
          <w:tcPr>
            <w:tcW w:w="1218" w:type="dxa"/>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成立时间</w:t>
            </w:r>
          </w:p>
        </w:tc>
        <w:tc>
          <w:tcPr>
            <w:tcW w:w="2434" w:type="dxa"/>
            <w:gridSpan w:val="2"/>
            <w:vAlign w:val="center"/>
          </w:tcPr>
          <w:p>
            <w:pPr>
              <w:jc w:val="center"/>
              <w:rPr>
                <w:rFonts w:asciiTheme="minorEastAsia" w:hAnsiTheme="minorEastAsia"/>
                <w:color w:val="auto"/>
                <w:sz w:val="18"/>
                <w:szCs w:val="18"/>
              </w:rPr>
            </w:pPr>
          </w:p>
        </w:tc>
        <w:tc>
          <w:tcPr>
            <w:tcW w:w="4871" w:type="dxa"/>
            <w:gridSpan w:val="5"/>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企业资质等级</w:t>
            </w:r>
          </w:p>
        </w:tc>
        <w:tc>
          <w:tcPr>
            <w:tcW w:w="2434" w:type="dxa"/>
            <w:gridSpan w:val="2"/>
            <w:vAlign w:val="center"/>
          </w:tcPr>
          <w:p>
            <w:pPr>
              <w:jc w:val="center"/>
              <w:rPr>
                <w:rFonts w:asciiTheme="minorEastAsia" w:hAnsiTheme="minorEastAsia"/>
                <w:color w:val="auto"/>
                <w:sz w:val="18"/>
                <w:szCs w:val="18"/>
              </w:rPr>
            </w:pPr>
          </w:p>
        </w:tc>
        <w:tc>
          <w:tcPr>
            <w:tcW w:w="705" w:type="dxa"/>
            <w:vMerge w:val="restart"/>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其中</w:t>
            </w:r>
          </w:p>
        </w:tc>
        <w:tc>
          <w:tcPr>
            <w:tcW w:w="1730"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项目负责人人员</w:t>
            </w:r>
          </w:p>
        </w:tc>
        <w:tc>
          <w:tcPr>
            <w:tcW w:w="2436" w:type="dxa"/>
            <w:gridSpan w:val="2"/>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营业执照号</w:t>
            </w:r>
          </w:p>
        </w:tc>
        <w:tc>
          <w:tcPr>
            <w:tcW w:w="2434" w:type="dxa"/>
            <w:gridSpan w:val="2"/>
            <w:vAlign w:val="center"/>
          </w:tcPr>
          <w:p>
            <w:pPr>
              <w:jc w:val="center"/>
              <w:rPr>
                <w:rFonts w:asciiTheme="minorEastAsia" w:hAnsiTheme="minorEastAsia"/>
                <w:color w:val="auto"/>
                <w:sz w:val="18"/>
                <w:szCs w:val="18"/>
              </w:rPr>
            </w:pPr>
          </w:p>
        </w:tc>
        <w:tc>
          <w:tcPr>
            <w:tcW w:w="705" w:type="dxa"/>
            <w:vMerge w:val="continue"/>
            <w:vAlign w:val="center"/>
          </w:tcPr>
          <w:p>
            <w:pPr>
              <w:jc w:val="center"/>
              <w:rPr>
                <w:rFonts w:asciiTheme="minorEastAsia" w:hAnsiTheme="minorEastAsia"/>
                <w:color w:val="auto"/>
                <w:sz w:val="18"/>
                <w:szCs w:val="18"/>
              </w:rPr>
            </w:pPr>
          </w:p>
        </w:tc>
        <w:tc>
          <w:tcPr>
            <w:tcW w:w="1730"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高级职称人员</w:t>
            </w:r>
          </w:p>
        </w:tc>
        <w:tc>
          <w:tcPr>
            <w:tcW w:w="2436" w:type="dxa"/>
            <w:gridSpan w:val="2"/>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注册资金</w:t>
            </w:r>
          </w:p>
        </w:tc>
        <w:tc>
          <w:tcPr>
            <w:tcW w:w="2434" w:type="dxa"/>
            <w:gridSpan w:val="2"/>
            <w:vAlign w:val="center"/>
          </w:tcPr>
          <w:p>
            <w:pPr>
              <w:jc w:val="center"/>
              <w:rPr>
                <w:rFonts w:asciiTheme="minorEastAsia" w:hAnsiTheme="minorEastAsia"/>
                <w:color w:val="auto"/>
                <w:sz w:val="18"/>
                <w:szCs w:val="18"/>
              </w:rPr>
            </w:pPr>
          </w:p>
        </w:tc>
        <w:tc>
          <w:tcPr>
            <w:tcW w:w="705" w:type="dxa"/>
            <w:vMerge w:val="continue"/>
            <w:vAlign w:val="center"/>
          </w:tcPr>
          <w:p>
            <w:pPr>
              <w:jc w:val="center"/>
              <w:rPr>
                <w:rFonts w:asciiTheme="minorEastAsia" w:hAnsiTheme="minorEastAsia"/>
                <w:color w:val="auto"/>
                <w:sz w:val="18"/>
                <w:szCs w:val="18"/>
              </w:rPr>
            </w:pPr>
          </w:p>
        </w:tc>
        <w:tc>
          <w:tcPr>
            <w:tcW w:w="1730"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中级职称人员</w:t>
            </w:r>
          </w:p>
        </w:tc>
        <w:tc>
          <w:tcPr>
            <w:tcW w:w="2436" w:type="dxa"/>
            <w:gridSpan w:val="2"/>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开户银行</w:t>
            </w:r>
          </w:p>
        </w:tc>
        <w:tc>
          <w:tcPr>
            <w:tcW w:w="2434" w:type="dxa"/>
            <w:gridSpan w:val="2"/>
            <w:vAlign w:val="center"/>
          </w:tcPr>
          <w:p>
            <w:pPr>
              <w:jc w:val="center"/>
              <w:rPr>
                <w:rFonts w:asciiTheme="minorEastAsia" w:hAnsiTheme="minorEastAsia"/>
                <w:color w:val="auto"/>
                <w:sz w:val="18"/>
                <w:szCs w:val="18"/>
              </w:rPr>
            </w:pPr>
          </w:p>
        </w:tc>
        <w:tc>
          <w:tcPr>
            <w:tcW w:w="705" w:type="dxa"/>
            <w:vMerge w:val="continue"/>
            <w:vAlign w:val="center"/>
          </w:tcPr>
          <w:p>
            <w:pPr>
              <w:jc w:val="center"/>
              <w:rPr>
                <w:rFonts w:asciiTheme="minorEastAsia" w:hAnsiTheme="minorEastAsia"/>
                <w:color w:val="auto"/>
                <w:sz w:val="18"/>
                <w:szCs w:val="18"/>
              </w:rPr>
            </w:pPr>
          </w:p>
        </w:tc>
        <w:tc>
          <w:tcPr>
            <w:tcW w:w="1730"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初级职称人员</w:t>
            </w:r>
          </w:p>
        </w:tc>
        <w:tc>
          <w:tcPr>
            <w:tcW w:w="2436" w:type="dxa"/>
            <w:gridSpan w:val="2"/>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帐号</w:t>
            </w:r>
          </w:p>
        </w:tc>
        <w:tc>
          <w:tcPr>
            <w:tcW w:w="2434" w:type="dxa"/>
            <w:gridSpan w:val="2"/>
            <w:vAlign w:val="center"/>
          </w:tcPr>
          <w:p>
            <w:pPr>
              <w:jc w:val="center"/>
              <w:rPr>
                <w:rFonts w:asciiTheme="minorEastAsia" w:hAnsiTheme="minorEastAsia"/>
                <w:color w:val="auto"/>
                <w:sz w:val="18"/>
                <w:szCs w:val="18"/>
              </w:rPr>
            </w:pPr>
          </w:p>
        </w:tc>
        <w:tc>
          <w:tcPr>
            <w:tcW w:w="705" w:type="dxa"/>
            <w:vMerge w:val="continue"/>
            <w:vAlign w:val="center"/>
          </w:tcPr>
          <w:p>
            <w:pPr>
              <w:jc w:val="center"/>
              <w:rPr>
                <w:rFonts w:asciiTheme="minorEastAsia" w:hAnsiTheme="minorEastAsia"/>
                <w:color w:val="auto"/>
                <w:sz w:val="18"/>
                <w:szCs w:val="18"/>
              </w:rPr>
            </w:pPr>
          </w:p>
        </w:tc>
        <w:tc>
          <w:tcPr>
            <w:tcW w:w="1730" w:type="dxa"/>
            <w:gridSpan w:val="2"/>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技工</w:t>
            </w:r>
          </w:p>
        </w:tc>
        <w:tc>
          <w:tcPr>
            <w:tcW w:w="2436" w:type="dxa"/>
            <w:gridSpan w:val="2"/>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经营范围</w:t>
            </w:r>
          </w:p>
        </w:tc>
        <w:tc>
          <w:tcPr>
            <w:tcW w:w="7305" w:type="dxa"/>
            <w:gridSpan w:val="7"/>
            <w:vAlign w:val="center"/>
          </w:tcPr>
          <w:p>
            <w:pPr>
              <w:jc w:val="center"/>
              <w:rPr>
                <w:rFonts w:asciiTheme="minorEastAsia" w:hAnsi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393" w:type="dxa"/>
            <w:vAlign w:val="center"/>
          </w:tcPr>
          <w:p>
            <w:pPr>
              <w:jc w:val="center"/>
              <w:rPr>
                <w:rFonts w:asciiTheme="minorEastAsia" w:hAnsiTheme="minorEastAsia"/>
                <w:color w:val="auto"/>
                <w:sz w:val="18"/>
                <w:szCs w:val="18"/>
              </w:rPr>
            </w:pPr>
            <w:r>
              <w:rPr>
                <w:rFonts w:hint="eastAsia" w:asciiTheme="minorEastAsia" w:hAnsiTheme="minorEastAsia"/>
                <w:color w:val="auto"/>
                <w:sz w:val="18"/>
                <w:szCs w:val="18"/>
              </w:rPr>
              <w:t>备注</w:t>
            </w:r>
          </w:p>
        </w:tc>
        <w:tc>
          <w:tcPr>
            <w:tcW w:w="7305" w:type="dxa"/>
            <w:gridSpan w:val="7"/>
            <w:vAlign w:val="center"/>
          </w:tcPr>
          <w:p>
            <w:pPr>
              <w:jc w:val="center"/>
              <w:rPr>
                <w:rFonts w:asciiTheme="minorEastAsia" w:hAnsiTheme="minorEastAsia"/>
                <w:color w:val="auto"/>
                <w:sz w:val="18"/>
                <w:szCs w:val="18"/>
              </w:rPr>
            </w:pP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b/>
          <w:color w:val="auto"/>
          <w:sz w:val="32"/>
          <w:szCs w:val="32"/>
        </w:rPr>
      </w:pPr>
      <w:r>
        <w:rPr>
          <w:rFonts w:hint="eastAsia"/>
          <w:b/>
          <w:color w:val="auto"/>
          <w:sz w:val="32"/>
          <w:szCs w:val="32"/>
        </w:rPr>
        <w:t>（7.3)业绩项目情况</w:t>
      </w:r>
    </w:p>
    <w:p>
      <w:pPr>
        <w:rPr>
          <w:color w:val="auto"/>
          <w:szCs w:val="21"/>
        </w:rPr>
      </w:pPr>
    </w:p>
    <w:p>
      <w:pPr>
        <w:rPr>
          <w:color w:val="auto"/>
          <w:szCs w:val="21"/>
        </w:rPr>
      </w:pPr>
      <w:r>
        <w:rPr>
          <w:rFonts w:hint="eastAsia"/>
          <w:color w:val="auto"/>
          <w:szCs w:val="21"/>
        </w:rPr>
        <w:t>备注：须提供中标通知书或合同原件备查。</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rPr>
          <w:b/>
          <w:color w:val="auto"/>
          <w:sz w:val="32"/>
          <w:szCs w:val="32"/>
        </w:rPr>
      </w:pPr>
      <w:r>
        <w:rPr>
          <w:b/>
          <w:color w:val="auto"/>
          <w:sz w:val="32"/>
          <w:szCs w:val="32"/>
        </w:rPr>
        <w:t>(7.4)企业和项目获省优、市优情况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4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959" w:type="dxa"/>
            <w:vAlign w:val="center"/>
          </w:tcPr>
          <w:p>
            <w:pPr>
              <w:jc w:val="center"/>
              <w:rPr>
                <w:color w:val="auto"/>
              </w:rPr>
            </w:pPr>
            <w:r>
              <w:rPr>
                <w:rFonts w:hint="eastAsia"/>
                <w:color w:val="auto"/>
              </w:rPr>
              <w:t>序号</w:t>
            </w:r>
          </w:p>
        </w:tc>
        <w:tc>
          <w:tcPr>
            <w:tcW w:w="2449" w:type="dxa"/>
            <w:vAlign w:val="center"/>
          </w:tcPr>
          <w:p>
            <w:pPr>
              <w:jc w:val="center"/>
              <w:rPr>
                <w:color w:val="auto"/>
              </w:rPr>
            </w:pPr>
            <w:r>
              <w:rPr>
                <w:rFonts w:hint="eastAsia"/>
                <w:color w:val="auto"/>
              </w:rPr>
              <w:t>项目名称</w:t>
            </w:r>
          </w:p>
        </w:tc>
        <w:tc>
          <w:tcPr>
            <w:tcW w:w="1704" w:type="dxa"/>
            <w:vAlign w:val="center"/>
          </w:tcPr>
          <w:p>
            <w:pPr>
              <w:jc w:val="center"/>
              <w:rPr>
                <w:color w:val="auto"/>
              </w:rPr>
            </w:pPr>
            <w:r>
              <w:rPr>
                <w:rFonts w:hint="eastAsia"/>
                <w:color w:val="auto"/>
              </w:rPr>
              <w:t>获奖时间</w:t>
            </w:r>
          </w:p>
        </w:tc>
        <w:tc>
          <w:tcPr>
            <w:tcW w:w="1705" w:type="dxa"/>
            <w:vAlign w:val="center"/>
          </w:tcPr>
          <w:p>
            <w:pPr>
              <w:jc w:val="center"/>
              <w:rPr>
                <w:color w:val="auto"/>
              </w:rPr>
            </w:pPr>
            <w:r>
              <w:rPr>
                <w:rFonts w:hint="eastAsia"/>
                <w:color w:val="auto"/>
              </w:rPr>
              <w:t>奖项名称</w:t>
            </w:r>
          </w:p>
        </w:tc>
        <w:tc>
          <w:tcPr>
            <w:tcW w:w="1705" w:type="dxa"/>
            <w:vAlign w:val="center"/>
          </w:tcPr>
          <w:p>
            <w:pPr>
              <w:jc w:val="center"/>
              <w:rPr>
                <w:color w:val="auto"/>
              </w:rPr>
            </w:pPr>
            <w:r>
              <w:rPr>
                <w:rFonts w:hint="eastAsia"/>
                <w:color w:val="auto"/>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b/>
                <w:color w:val="auto"/>
                <w:sz w:val="32"/>
                <w:szCs w:val="32"/>
              </w:rPr>
            </w:pPr>
          </w:p>
        </w:tc>
        <w:tc>
          <w:tcPr>
            <w:tcW w:w="2449" w:type="dxa"/>
            <w:vAlign w:val="center"/>
          </w:tcPr>
          <w:p>
            <w:pPr>
              <w:jc w:val="center"/>
              <w:rPr>
                <w:b/>
                <w:color w:val="auto"/>
                <w:sz w:val="32"/>
                <w:szCs w:val="32"/>
              </w:rPr>
            </w:pPr>
          </w:p>
        </w:tc>
        <w:tc>
          <w:tcPr>
            <w:tcW w:w="1704" w:type="dxa"/>
            <w:vAlign w:val="center"/>
          </w:tcPr>
          <w:p>
            <w:pPr>
              <w:jc w:val="center"/>
              <w:rPr>
                <w:b/>
                <w:color w:val="auto"/>
                <w:sz w:val="32"/>
                <w:szCs w:val="32"/>
              </w:rPr>
            </w:pPr>
          </w:p>
        </w:tc>
        <w:tc>
          <w:tcPr>
            <w:tcW w:w="1705" w:type="dxa"/>
            <w:vAlign w:val="center"/>
          </w:tcPr>
          <w:p>
            <w:pPr>
              <w:jc w:val="center"/>
              <w:rPr>
                <w:b/>
                <w:color w:val="auto"/>
                <w:sz w:val="32"/>
                <w:szCs w:val="32"/>
              </w:rPr>
            </w:pPr>
          </w:p>
        </w:tc>
        <w:tc>
          <w:tcPr>
            <w:tcW w:w="1705" w:type="dxa"/>
            <w:vAlign w:val="center"/>
          </w:tcPr>
          <w:p>
            <w:pPr>
              <w:jc w:val="center"/>
              <w:rPr>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b/>
                <w:color w:val="auto"/>
                <w:sz w:val="32"/>
                <w:szCs w:val="32"/>
              </w:rPr>
            </w:pPr>
          </w:p>
        </w:tc>
        <w:tc>
          <w:tcPr>
            <w:tcW w:w="2449" w:type="dxa"/>
            <w:vAlign w:val="center"/>
          </w:tcPr>
          <w:p>
            <w:pPr>
              <w:jc w:val="center"/>
              <w:rPr>
                <w:b/>
                <w:color w:val="auto"/>
                <w:sz w:val="32"/>
                <w:szCs w:val="32"/>
              </w:rPr>
            </w:pPr>
          </w:p>
        </w:tc>
        <w:tc>
          <w:tcPr>
            <w:tcW w:w="1704" w:type="dxa"/>
            <w:vAlign w:val="center"/>
          </w:tcPr>
          <w:p>
            <w:pPr>
              <w:jc w:val="center"/>
              <w:rPr>
                <w:b/>
                <w:color w:val="auto"/>
                <w:sz w:val="32"/>
                <w:szCs w:val="32"/>
              </w:rPr>
            </w:pPr>
          </w:p>
        </w:tc>
        <w:tc>
          <w:tcPr>
            <w:tcW w:w="1705" w:type="dxa"/>
            <w:vAlign w:val="center"/>
          </w:tcPr>
          <w:p>
            <w:pPr>
              <w:jc w:val="center"/>
              <w:rPr>
                <w:b/>
                <w:color w:val="auto"/>
                <w:sz w:val="32"/>
                <w:szCs w:val="32"/>
              </w:rPr>
            </w:pPr>
          </w:p>
        </w:tc>
        <w:tc>
          <w:tcPr>
            <w:tcW w:w="1705" w:type="dxa"/>
            <w:vAlign w:val="center"/>
          </w:tcPr>
          <w:p>
            <w:pPr>
              <w:jc w:val="center"/>
              <w:rPr>
                <w:b/>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b/>
                <w:color w:val="auto"/>
                <w:sz w:val="32"/>
                <w:szCs w:val="32"/>
              </w:rPr>
            </w:pPr>
          </w:p>
        </w:tc>
        <w:tc>
          <w:tcPr>
            <w:tcW w:w="2449" w:type="dxa"/>
            <w:vAlign w:val="center"/>
          </w:tcPr>
          <w:p>
            <w:pPr>
              <w:jc w:val="center"/>
              <w:rPr>
                <w:b/>
                <w:color w:val="auto"/>
                <w:sz w:val="32"/>
                <w:szCs w:val="32"/>
              </w:rPr>
            </w:pPr>
          </w:p>
        </w:tc>
        <w:tc>
          <w:tcPr>
            <w:tcW w:w="1704" w:type="dxa"/>
            <w:vAlign w:val="center"/>
          </w:tcPr>
          <w:p>
            <w:pPr>
              <w:jc w:val="center"/>
              <w:rPr>
                <w:b/>
                <w:color w:val="auto"/>
                <w:sz w:val="32"/>
                <w:szCs w:val="32"/>
              </w:rPr>
            </w:pPr>
          </w:p>
        </w:tc>
        <w:tc>
          <w:tcPr>
            <w:tcW w:w="1705" w:type="dxa"/>
            <w:vAlign w:val="center"/>
          </w:tcPr>
          <w:p>
            <w:pPr>
              <w:jc w:val="center"/>
              <w:rPr>
                <w:b/>
                <w:color w:val="auto"/>
                <w:sz w:val="32"/>
                <w:szCs w:val="32"/>
              </w:rPr>
            </w:pPr>
          </w:p>
        </w:tc>
        <w:tc>
          <w:tcPr>
            <w:tcW w:w="1705" w:type="dxa"/>
            <w:vAlign w:val="center"/>
          </w:tcPr>
          <w:p>
            <w:pPr>
              <w:jc w:val="center"/>
              <w:rPr>
                <w:b/>
                <w:color w:val="auto"/>
                <w:sz w:val="32"/>
                <w:szCs w:val="32"/>
              </w:rPr>
            </w:pPr>
          </w:p>
        </w:tc>
      </w:tr>
    </w:tbl>
    <w:p>
      <w:pPr>
        <w:rPr>
          <w:b/>
          <w:color w:val="auto"/>
          <w:sz w:val="32"/>
          <w:szCs w:val="32"/>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b/>
          <w:color w:val="auto"/>
          <w:sz w:val="32"/>
          <w:szCs w:val="32"/>
        </w:rPr>
      </w:pPr>
      <w:r>
        <w:rPr>
          <w:rFonts w:hint="eastAsia"/>
          <w:b/>
          <w:color w:val="auto"/>
          <w:sz w:val="32"/>
          <w:szCs w:val="32"/>
        </w:rPr>
        <w:t>(7. 5)企业证件复印件</w:t>
      </w:r>
    </w:p>
    <w:p>
      <w:pPr>
        <w:rPr>
          <w:color w:val="auto"/>
          <w:szCs w:val="21"/>
        </w:rPr>
      </w:pPr>
      <w:r>
        <w:rPr>
          <w:rFonts w:hint="eastAsia"/>
          <w:color w:val="auto"/>
          <w:szCs w:val="21"/>
        </w:rPr>
        <w:t>包含:</w:t>
      </w:r>
    </w:p>
    <w:p>
      <w:pPr>
        <w:rPr>
          <w:color w:val="auto"/>
          <w:szCs w:val="21"/>
        </w:rPr>
      </w:pPr>
      <w:r>
        <w:rPr>
          <w:rFonts w:hint="eastAsia"/>
          <w:color w:val="auto"/>
          <w:szCs w:val="21"/>
        </w:rPr>
        <w:t>企业营业执照、资质证书、获奖证书、项目负责人职业资格证书的复印件。</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spacing w:line="360" w:lineRule="auto"/>
        <w:jc w:val="center"/>
        <w:rPr>
          <w:b/>
          <w:bCs/>
          <w:color w:val="auto"/>
          <w:sz w:val="32"/>
          <w:szCs w:val="32"/>
        </w:rPr>
      </w:pPr>
      <w:r>
        <w:rPr>
          <w:rFonts w:hint="eastAsia"/>
          <w:b/>
          <w:bCs/>
          <w:color w:val="auto"/>
          <w:sz w:val="32"/>
          <w:szCs w:val="32"/>
        </w:rPr>
        <w:t>第二部分 商务部分格式</w:t>
      </w: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left"/>
        <w:rPr>
          <w:b/>
          <w:bCs/>
          <w:color w:val="auto"/>
          <w:sz w:val="32"/>
          <w:szCs w:val="32"/>
        </w:rPr>
      </w:pPr>
      <w:r>
        <w:rPr>
          <w:rFonts w:hint="eastAsia"/>
          <w:b/>
          <w:bCs/>
          <w:color w:val="auto"/>
          <w:sz w:val="32"/>
          <w:szCs w:val="32"/>
          <w:u w:val="single"/>
        </w:rPr>
        <w:t xml:space="preserve">               </w:t>
      </w:r>
      <w:r>
        <w:rPr>
          <w:rFonts w:hint="eastAsia"/>
          <w:b/>
          <w:bCs/>
          <w:color w:val="auto"/>
          <w:sz w:val="32"/>
          <w:szCs w:val="32"/>
        </w:rPr>
        <w:t>（项目名称）前期物业管理招标</w:t>
      </w:r>
    </w:p>
    <w:p>
      <w:pPr>
        <w:rPr>
          <w:rFonts w:ascii="宋体" w:hAnsi="宋体"/>
          <w:b/>
          <w:color w:val="auto"/>
          <w:sz w:val="72"/>
          <w:szCs w:val="72"/>
        </w:rPr>
      </w:pPr>
    </w:p>
    <w:p>
      <w:pPr>
        <w:rPr>
          <w:rFonts w:ascii="宋体" w:hAnsi="宋体"/>
          <w:b/>
          <w:color w:val="auto"/>
          <w:sz w:val="72"/>
          <w:szCs w:val="72"/>
        </w:rPr>
      </w:pPr>
    </w:p>
    <w:p>
      <w:pPr>
        <w:tabs>
          <w:tab w:val="center" w:pos="4365"/>
        </w:tabs>
        <w:jc w:val="center"/>
        <w:rPr>
          <w:rFonts w:ascii="华文隶书" w:hAnsi="宋体" w:eastAsia="华文隶书"/>
          <w:color w:val="auto"/>
          <w:sz w:val="84"/>
          <w:szCs w:val="84"/>
        </w:rPr>
      </w:pPr>
      <w:r>
        <w:rPr>
          <w:rFonts w:hint="eastAsia" w:ascii="华文隶书" w:hAnsi="宋体" w:eastAsia="华文隶书"/>
          <w:color w:val="auto"/>
          <w:sz w:val="84"/>
          <w:szCs w:val="84"/>
        </w:rPr>
        <w:t>投 标 文 件</w:t>
      </w:r>
    </w:p>
    <w:p>
      <w:pPr>
        <w:tabs>
          <w:tab w:val="center" w:pos="4365"/>
        </w:tabs>
        <w:jc w:val="center"/>
        <w:rPr>
          <w:rFonts w:ascii="宋体" w:hAnsi="宋体"/>
          <w:color w:val="auto"/>
          <w:sz w:val="36"/>
          <w:szCs w:val="36"/>
        </w:rPr>
      </w:pPr>
      <w:r>
        <w:rPr>
          <w:rFonts w:hint="eastAsia"/>
          <w:b/>
          <w:bCs/>
          <w:color w:val="auto"/>
          <w:sz w:val="32"/>
          <w:szCs w:val="32"/>
        </w:rPr>
        <w:t>（投标报价书）</w:t>
      </w:r>
    </w:p>
    <w:p>
      <w:pPr>
        <w:tabs>
          <w:tab w:val="center" w:pos="4365"/>
        </w:tabs>
        <w:jc w:val="center"/>
        <w:rPr>
          <w:b/>
          <w:bCs/>
          <w:color w:val="auto"/>
          <w:sz w:val="32"/>
          <w:szCs w:val="32"/>
        </w:rPr>
      </w:pPr>
      <w:r>
        <w:rPr>
          <w:rFonts w:hint="eastAsia"/>
          <w:b/>
          <w:bCs/>
          <w:color w:val="auto"/>
          <w:sz w:val="32"/>
          <w:szCs w:val="32"/>
        </w:rPr>
        <w:t>（招标编号：</w:t>
      </w:r>
      <w:r>
        <w:rPr>
          <w:rFonts w:hint="eastAsia"/>
          <w:b/>
          <w:bCs/>
          <w:color w:val="auto"/>
          <w:sz w:val="32"/>
          <w:szCs w:val="32"/>
          <w:u w:val="single"/>
        </w:rPr>
        <w:t xml:space="preserve">           </w:t>
      </w:r>
      <w:r>
        <w:rPr>
          <w:rFonts w:hint="eastAsia"/>
          <w:b/>
          <w:bCs/>
          <w:color w:val="auto"/>
          <w:sz w:val="32"/>
          <w:szCs w:val="32"/>
        </w:rPr>
        <w:t>）</w:t>
      </w: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spacing w:line="360" w:lineRule="auto"/>
        <w:jc w:val="left"/>
        <w:rPr>
          <w:rFonts w:ascii="宋体" w:hAnsi="宋体"/>
          <w:color w:val="auto"/>
          <w:sz w:val="28"/>
          <w:szCs w:val="28"/>
        </w:rPr>
      </w:pPr>
      <w:r>
        <w:rPr>
          <w:rFonts w:hint="eastAsia" w:ascii="宋体" w:hAnsi="宋体"/>
          <w:color w:val="auto"/>
          <w:sz w:val="28"/>
          <w:szCs w:val="28"/>
        </w:rPr>
        <w:t>投   标   人：</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jc w:val="left"/>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spacing w:line="360" w:lineRule="auto"/>
        <w:jc w:val="left"/>
        <w:rPr>
          <w:rFonts w:ascii="宋体" w:hAnsi="宋体"/>
          <w:color w:val="auto"/>
          <w:sz w:val="28"/>
          <w:szCs w:val="28"/>
          <w:u w:val="single"/>
        </w:rPr>
      </w:pPr>
      <w:r>
        <w:rPr>
          <w:rFonts w:hint="eastAsia" w:ascii="宋体" w:hAnsi="宋体"/>
          <w:color w:val="auto"/>
          <w:sz w:val="28"/>
          <w:szCs w:val="28"/>
        </w:rPr>
        <w:t>编   制   人：</w:t>
      </w:r>
      <w:r>
        <w:rPr>
          <w:rFonts w:hint="eastAsia" w:ascii="宋体" w:hAnsi="宋体"/>
          <w:color w:val="auto"/>
          <w:sz w:val="28"/>
          <w:szCs w:val="28"/>
          <w:u w:val="single"/>
        </w:rPr>
        <w:t xml:space="preserve">                     </w:t>
      </w:r>
      <w:r>
        <w:rPr>
          <w:rFonts w:hint="eastAsia" w:ascii="宋体" w:hAnsi="宋体"/>
          <w:color w:val="auto"/>
          <w:sz w:val="28"/>
          <w:szCs w:val="28"/>
        </w:rPr>
        <w:t>（项目负责人签字）</w:t>
      </w:r>
    </w:p>
    <w:p>
      <w:pPr>
        <w:spacing w:line="360" w:lineRule="auto"/>
        <w:jc w:val="left"/>
        <w:rPr>
          <w:rFonts w:ascii="宋体" w:hAnsi="宋体"/>
          <w:color w:val="auto"/>
          <w:sz w:val="28"/>
          <w:szCs w:val="28"/>
        </w:rPr>
      </w:pPr>
      <w:r>
        <w:rPr>
          <w:rFonts w:hint="eastAsia" w:ascii="宋体" w:hAnsi="宋体"/>
          <w:color w:val="auto"/>
          <w:sz w:val="28"/>
          <w:szCs w:val="28"/>
        </w:rPr>
        <w:t>日        期：</w:t>
      </w:r>
      <w:r>
        <w:rPr>
          <w:rFonts w:hint="eastAsia" w:ascii="宋体" w:hAnsi="宋体"/>
          <w:color w:val="auto"/>
          <w:szCs w:val="21"/>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rPr>
          <w:color w:val="auto"/>
          <w:szCs w:val="21"/>
        </w:rPr>
      </w:pPr>
    </w:p>
    <w:p>
      <w:pPr>
        <w:rPr>
          <w:color w:val="auto"/>
          <w:szCs w:val="21"/>
        </w:rPr>
      </w:pPr>
    </w:p>
    <w:p>
      <w:pPr>
        <w:rPr>
          <w:b/>
          <w:color w:val="auto"/>
          <w:sz w:val="24"/>
        </w:rPr>
      </w:pPr>
      <w:r>
        <w:rPr>
          <w:rFonts w:hint="eastAsia"/>
          <w:b/>
          <w:color w:val="auto"/>
          <w:sz w:val="24"/>
        </w:rPr>
        <w:t>一、投标报价书内容和要求</w:t>
      </w:r>
    </w:p>
    <w:p>
      <w:pPr>
        <w:spacing w:line="360" w:lineRule="auto"/>
        <w:jc w:val="left"/>
        <w:rPr>
          <w:rFonts w:ascii="宋体" w:hAnsi="宋体"/>
          <w:color w:val="auto"/>
          <w:szCs w:val="21"/>
        </w:rPr>
      </w:pPr>
      <w:r>
        <w:rPr>
          <w:rFonts w:hint="eastAsia" w:ascii="宋体" w:hAnsi="宋体"/>
          <w:color w:val="auto"/>
          <w:szCs w:val="21"/>
        </w:rPr>
        <w:t xml:space="preserve">1、投标报价书内容包括(按此顺序) </w:t>
      </w:r>
    </w:p>
    <w:p>
      <w:pPr>
        <w:spacing w:line="360" w:lineRule="auto"/>
        <w:ind w:firstLine="210" w:firstLineChars="100"/>
        <w:jc w:val="left"/>
        <w:rPr>
          <w:rFonts w:ascii="宋体" w:hAnsi="宋体"/>
          <w:color w:val="auto"/>
          <w:szCs w:val="21"/>
        </w:rPr>
      </w:pPr>
      <w:r>
        <w:rPr>
          <w:rFonts w:hint="eastAsia" w:ascii="宋体" w:hAnsi="宋体"/>
          <w:color w:val="auto"/>
          <w:szCs w:val="21"/>
        </w:rPr>
        <w:t>1)投标报价总表</w:t>
      </w:r>
    </w:p>
    <w:p>
      <w:pPr>
        <w:spacing w:line="360" w:lineRule="auto"/>
        <w:ind w:firstLine="210" w:firstLineChars="100"/>
        <w:jc w:val="left"/>
        <w:rPr>
          <w:rFonts w:ascii="宋体" w:hAnsi="宋体"/>
          <w:color w:val="auto"/>
          <w:szCs w:val="21"/>
        </w:rPr>
      </w:pPr>
      <w:r>
        <w:rPr>
          <w:rFonts w:hint="eastAsia" w:ascii="宋体" w:hAnsi="宋体"/>
          <w:color w:val="auto"/>
          <w:szCs w:val="21"/>
        </w:rPr>
        <w:t>2)人工成本测算表</w:t>
      </w:r>
    </w:p>
    <w:p>
      <w:pPr>
        <w:spacing w:line="360" w:lineRule="auto"/>
        <w:ind w:firstLine="210" w:firstLineChars="100"/>
        <w:jc w:val="left"/>
        <w:rPr>
          <w:rFonts w:ascii="宋体" w:hAnsi="宋体"/>
          <w:color w:val="auto"/>
          <w:szCs w:val="21"/>
        </w:rPr>
      </w:pPr>
      <w:r>
        <w:rPr>
          <w:rFonts w:hint="eastAsia" w:ascii="宋体" w:hAnsi="宋体"/>
          <w:color w:val="auto"/>
          <w:szCs w:val="21"/>
        </w:rPr>
        <w:t>3)办公和固定资产折旧费用测算表</w:t>
      </w:r>
    </w:p>
    <w:p>
      <w:pPr>
        <w:spacing w:line="360" w:lineRule="auto"/>
        <w:ind w:firstLine="210" w:firstLineChars="100"/>
        <w:jc w:val="left"/>
        <w:rPr>
          <w:rFonts w:ascii="宋体" w:hAnsi="宋体"/>
          <w:color w:val="auto"/>
          <w:szCs w:val="21"/>
        </w:rPr>
      </w:pPr>
      <w:r>
        <w:rPr>
          <w:rFonts w:hint="eastAsia" w:ascii="宋体" w:hAnsi="宋体"/>
          <w:color w:val="auto"/>
          <w:szCs w:val="21"/>
        </w:rPr>
        <w:t>4)共用部位和设施设备运行维护费测算表</w:t>
      </w:r>
    </w:p>
    <w:p>
      <w:pPr>
        <w:spacing w:line="360" w:lineRule="auto"/>
        <w:ind w:firstLine="210" w:firstLineChars="100"/>
        <w:jc w:val="left"/>
        <w:rPr>
          <w:rFonts w:ascii="宋体" w:hAnsi="宋体"/>
          <w:color w:val="auto"/>
          <w:szCs w:val="21"/>
        </w:rPr>
      </w:pPr>
      <w:r>
        <w:rPr>
          <w:rFonts w:hint="eastAsia" w:ascii="宋体" w:hAnsi="宋体"/>
          <w:color w:val="auto"/>
          <w:szCs w:val="21"/>
        </w:rPr>
        <w:t>5)清洁绿化费用测算表</w:t>
      </w:r>
    </w:p>
    <w:p>
      <w:pPr>
        <w:spacing w:line="360" w:lineRule="auto"/>
        <w:ind w:firstLine="210" w:firstLineChars="100"/>
        <w:jc w:val="left"/>
        <w:rPr>
          <w:rFonts w:ascii="宋体" w:hAnsi="宋体"/>
          <w:color w:val="auto"/>
          <w:szCs w:val="21"/>
        </w:rPr>
      </w:pPr>
      <w:r>
        <w:rPr>
          <w:rFonts w:hint="eastAsia" w:ascii="宋体" w:hAnsi="宋体"/>
          <w:color w:val="auto"/>
          <w:szCs w:val="21"/>
        </w:rPr>
        <w:t>6)安全保卫费用测算表</w:t>
      </w:r>
    </w:p>
    <w:p>
      <w:pPr>
        <w:spacing w:line="360" w:lineRule="auto"/>
        <w:ind w:firstLine="210" w:firstLineChars="100"/>
        <w:jc w:val="left"/>
        <w:rPr>
          <w:rFonts w:ascii="宋体" w:hAnsi="宋体"/>
          <w:color w:val="auto"/>
          <w:szCs w:val="21"/>
        </w:rPr>
      </w:pPr>
      <w:r>
        <w:rPr>
          <w:rFonts w:hint="eastAsia" w:ascii="宋体" w:hAnsi="宋体"/>
          <w:color w:val="auto"/>
          <w:szCs w:val="21"/>
        </w:rPr>
        <w:t>7)公共水电费测算表</w:t>
      </w:r>
    </w:p>
    <w:p>
      <w:pPr>
        <w:spacing w:line="360" w:lineRule="auto"/>
        <w:ind w:firstLine="210" w:firstLineChars="100"/>
        <w:jc w:val="left"/>
        <w:rPr>
          <w:rFonts w:ascii="宋体" w:hAnsi="宋体"/>
          <w:color w:val="auto"/>
          <w:szCs w:val="21"/>
        </w:rPr>
      </w:pPr>
      <w:r>
        <w:rPr>
          <w:rFonts w:hint="eastAsia" w:ascii="宋体" w:hAnsi="宋体"/>
          <w:color w:val="auto"/>
          <w:szCs w:val="21"/>
        </w:rPr>
        <w:t>8)税费及不可预见费测算表</w:t>
      </w:r>
    </w:p>
    <w:p>
      <w:pPr>
        <w:spacing w:line="360" w:lineRule="auto"/>
        <w:ind w:firstLine="210" w:firstLineChars="100"/>
        <w:jc w:val="left"/>
        <w:rPr>
          <w:rFonts w:ascii="宋体" w:hAnsi="宋体"/>
          <w:color w:val="auto"/>
          <w:szCs w:val="21"/>
        </w:rPr>
      </w:pPr>
      <w:r>
        <w:rPr>
          <w:rFonts w:hint="eastAsia" w:ascii="宋体" w:hAnsi="宋体"/>
          <w:color w:val="auto"/>
          <w:szCs w:val="21"/>
        </w:rPr>
        <w:t>9)投标报价编制说明</w:t>
      </w:r>
    </w:p>
    <w:p>
      <w:pPr>
        <w:spacing w:line="360" w:lineRule="auto"/>
        <w:jc w:val="left"/>
        <w:rPr>
          <w:rFonts w:ascii="宋体" w:hAnsi="宋体"/>
          <w:color w:val="auto"/>
          <w:szCs w:val="21"/>
        </w:rPr>
      </w:pPr>
      <w:r>
        <w:rPr>
          <w:rFonts w:hint="eastAsia" w:ascii="宋体" w:hAnsi="宋体"/>
          <w:color w:val="auto"/>
          <w:szCs w:val="21"/>
        </w:rPr>
        <w:t>2、投标报价编制依据</w:t>
      </w:r>
    </w:p>
    <w:p>
      <w:pPr>
        <w:spacing w:line="360" w:lineRule="auto"/>
        <w:ind w:firstLine="210" w:firstLineChars="100"/>
        <w:jc w:val="left"/>
        <w:rPr>
          <w:rFonts w:ascii="宋体" w:hAnsi="宋体"/>
          <w:color w:val="auto"/>
          <w:szCs w:val="21"/>
        </w:rPr>
      </w:pPr>
      <w:r>
        <w:rPr>
          <w:rFonts w:hint="eastAsia" w:ascii="宋体" w:hAnsi="宋体"/>
          <w:color w:val="auto"/>
          <w:szCs w:val="21"/>
        </w:rPr>
        <w:t>1)按项目全部开发完毕，物业全部交付使用时的住宅物业服务规模计算该项目一年度的费用支出，上述年度费用支出总价应包括</w:t>
      </w:r>
      <w:r>
        <w:rPr>
          <w:rFonts w:hint="eastAsia" w:ascii="宋体" w:hAnsi="宋体"/>
          <w:color w:val="auto"/>
          <w:szCs w:val="21"/>
          <w:lang w:eastAsia="zh-CN"/>
        </w:rPr>
        <w:t>双牌县佳兴名城住宅小区</w:t>
      </w:r>
      <w:r>
        <w:rPr>
          <w:rFonts w:hint="eastAsia" w:ascii="宋体" w:hAnsi="宋体"/>
          <w:color w:val="auto"/>
          <w:szCs w:val="21"/>
        </w:rPr>
        <w:t>物业区域各类型物业的公共性物业服务支出，但停车物业服务支出不在此内。</w:t>
      </w:r>
    </w:p>
    <w:p>
      <w:pPr>
        <w:spacing w:line="360" w:lineRule="auto"/>
        <w:ind w:firstLine="210" w:firstLineChars="100"/>
        <w:jc w:val="left"/>
        <w:rPr>
          <w:rFonts w:ascii="宋体" w:hAnsi="宋体"/>
          <w:color w:val="auto"/>
          <w:szCs w:val="21"/>
        </w:rPr>
      </w:pPr>
      <w:r>
        <w:rPr>
          <w:rFonts w:hint="eastAsia" w:ascii="宋体" w:hAnsi="宋体"/>
          <w:color w:val="auto"/>
          <w:szCs w:val="21"/>
        </w:rPr>
        <w:t>2)在测算公共性物业服务费单价时，以年度总价为依据，根据纳入物业服务收费范围的各类型物业的面积(高层住宅面积</w:t>
      </w:r>
      <w:r>
        <w:rPr>
          <w:rFonts w:hint="eastAsia" w:ascii="宋体" w:hAnsi="宋体"/>
          <w:bCs/>
          <w:color w:val="auto"/>
          <w:szCs w:val="21"/>
        </w:rPr>
        <w:t>66869.62</w:t>
      </w:r>
      <w:r>
        <w:rPr>
          <w:rFonts w:hint="eastAsia" w:ascii="宋体" w:hAnsi="宋体"/>
          <w:color w:val="auto"/>
          <w:szCs w:val="21"/>
        </w:rPr>
        <w:t>平方米，商业用房建筑面积</w:t>
      </w:r>
      <w:r>
        <w:rPr>
          <w:rFonts w:hint="eastAsia" w:ascii="宋体" w:hAnsi="宋体"/>
          <w:bCs/>
          <w:color w:val="auto"/>
          <w:szCs w:val="21"/>
        </w:rPr>
        <w:t>110.3</w:t>
      </w:r>
      <w:r>
        <w:rPr>
          <w:rFonts w:hint="eastAsia" w:ascii="宋体" w:hAnsi="宋体"/>
          <w:color w:val="auto"/>
          <w:szCs w:val="21"/>
        </w:rPr>
        <w:t>方米)，并按下列系数进行测算:</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360" w:lineRule="auto"/>
              <w:jc w:val="left"/>
              <w:rPr>
                <w:rFonts w:ascii="宋体" w:hAnsi="宋体"/>
                <w:b/>
                <w:color w:val="auto"/>
                <w:szCs w:val="21"/>
              </w:rPr>
            </w:pPr>
            <w:r>
              <w:rPr>
                <w:rFonts w:hint="eastAsia" w:ascii="宋体" w:hAnsi="宋体"/>
                <w:b/>
                <w:color w:val="auto"/>
                <w:szCs w:val="21"/>
              </w:rPr>
              <w:t>物业类别</w:t>
            </w:r>
          </w:p>
        </w:tc>
        <w:tc>
          <w:tcPr>
            <w:tcW w:w="4261" w:type="dxa"/>
          </w:tcPr>
          <w:p>
            <w:pPr>
              <w:spacing w:line="360" w:lineRule="auto"/>
              <w:jc w:val="left"/>
              <w:rPr>
                <w:rFonts w:ascii="宋体" w:hAnsi="宋体"/>
                <w:b/>
                <w:color w:val="auto"/>
                <w:szCs w:val="21"/>
              </w:rPr>
            </w:pPr>
            <w:r>
              <w:rPr>
                <w:rFonts w:hint="eastAsia" w:ascii="宋体" w:hAnsi="宋体"/>
                <w:b/>
                <w:color w:val="auto"/>
                <w:szCs w:val="21"/>
              </w:rPr>
              <w:t>收费系数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4261" w:type="dxa"/>
          </w:tcPr>
          <w:p>
            <w:pPr>
              <w:rPr>
                <w:rFonts w:ascii="宋体" w:hAnsi="宋体"/>
                <w:color w:val="auto"/>
                <w:szCs w:val="21"/>
              </w:rPr>
            </w:pPr>
            <w:r>
              <w:rPr>
                <w:rFonts w:hint="eastAsia" w:ascii="宋体" w:hAnsi="宋体"/>
                <w:color w:val="auto"/>
                <w:szCs w:val="21"/>
              </w:rPr>
              <w:t>高层住宅</w:t>
            </w:r>
          </w:p>
        </w:tc>
        <w:tc>
          <w:tcPr>
            <w:tcW w:w="42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4261" w:type="dxa"/>
          </w:tcPr>
          <w:p>
            <w:pPr>
              <w:rPr>
                <w:rFonts w:ascii="宋体" w:hAnsi="宋体"/>
                <w:color w:val="auto"/>
                <w:szCs w:val="21"/>
              </w:rPr>
            </w:pPr>
            <w:r>
              <w:rPr>
                <w:rFonts w:hint="eastAsia" w:ascii="宋体" w:hAnsi="宋体"/>
                <w:color w:val="auto"/>
                <w:szCs w:val="21"/>
              </w:rPr>
              <w:t>商业用房</w:t>
            </w:r>
          </w:p>
        </w:tc>
        <w:tc>
          <w:tcPr>
            <w:tcW w:w="4261" w:type="dxa"/>
          </w:tcPr>
          <w:p>
            <w:pPr>
              <w:rPr>
                <w:color w:val="auto"/>
              </w:rPr>
            </w:pPr>
          </w:p>
        </w:tc>
      </w:tr>
    </w:tbl>
    <w:p>
      <w:pPr>
        <w:spacing w:line="360" w:lineRule="auto"/>
        <w:jc w:val="left"/>
        <w:rPr>
          <w:rFonts w:ascii="宋体" w:hAnsi="宋体"/>
          <w:color w:val="auto"/>
          <w:szCs w:val="21"/>
        </w:rPr>
      </w:pPr>
      <w:r>
        <w:rPr>
          <w:rFonts w:hint="eastAsia" w:ascii="宋体" w:hAnsi="宋体"/>
          <w:color w:val="auto"/>
          <w:szCs w:val="21"/>
        </w:rPr>
        <w:t xml:space="preserve"> 3)测算遵循的有关法律法规依据为物业服务成本监审办法、财政部发布物业企业财务管理规定及我省物业服务收费管理办法。</w:t>
      </w:r>
    </w:p>
    <w:p>
      <w:pPr>
        <w:spacing w:line="360" w:lineRule="auto"/>
        <w:jc w:val="left"/>
        <w:rPr>
          <w:rFonts w:ascii="宋体" w:hAnsi="宋体"/>
          <w:color w:val="auto"/>
          <w:szCs w:val="21"/>
        </w:rPr>
      </w:pPr>
      <w:r>
        <w:rPr>
          <w:rFonts w:hint="eastAsia" w:ascii="宋体" w:hAnsi="宋体"/>
          <w:color w:val="auto"/>
          <w:szCs w:val="21"/>
        </w:rPr>
        <w:t>3、编写要求</w:t>
      </w:r>
    </w:p>
    <w:p>
      <w:pPr>
        <w:spacing w:line="360" w:lineRule="auto"/>
        <w:ind w:firstLine="210" w:firstLineChars="100"/>
        <w:jc w:val="left"/>
        <w:rPr>
          <w:rFonts w:ascii="宋体" w:hAnsi="宋体"/>
          <w:color w:val="auto"/>
          <w:szCs w:val="21"/>
        </w:rPr>
      </w:pPr>
      <w:r>
        <w:rPr>
          <w:rFonts w:hint="eastAsia" w:ascii="宋体" w:hAnsi="宋体"/>
          <w:color w:val="auto"/>
          <w:szCs w:val="21"/>
        </w:rPr>
        <w:t>1)投标报价总表投报年度物业服务费总价，并核算和投报各类型物业服务费单价。</w:t>
      </w:r>
    </w:p>
    <w:p>
      <w:pPr>
        <w:spacing w:line="360" w:lineRule="auto"/>
        <w:ind w:firstLine="210" w:firstLineChars="100"/>
        <w:jc w:val="left"/>
        <w:rPr>
          <w:rFonts w:ascii="宋体" w:hAnsi="宋体"/>
          <w:color w:val="auto"/>
          <w:szCs w:val="21"/>
        </w:rPr>
      </w:pPr>
      <w:r>
        <w:rPr>
          <w:rFonts w:hint="eastAsia" w:ascii="宋体" w:hAnsi="宋体"/>
          <w:color w:val="auto"/>
          <w:szCs w:val="21"/>
        </w:rPr>
        <w:t>2)物业共用部位共用设施设备及公众责任险不单独列表，列入办公费用。</w:t>
      </w:r>
    </w:p>
    <w:p>
      <w:pPr>
        <w:spacing w:line="360" w:lineRule="auto"/>
        <w:ind w:firstLine="210" w:firstLineChars="100"/>
        <w:jc w:val="left"/>
        <w:rPr>
          <w:rFonts w:ascii="宋体" w:hAnsi="宋体"/>
          <w:color w:val="auto"/>
          <w:szCs w:val="21"/>
        </w:rPr>
      </w:pPr>
      <w:r>
        <w:rPr>
          <w:rFonts w:hint="eastAsia" w:ascii="宋体" w:hAnsi="宋体"/>
          <w:color w:val="auto"/>
          <w:szCs w:val="21"/>
        </w:rPr>
        <w:t>3)二次供水供电损耗、增压电费不得计入公共水电费。</w:t>
      </w:r>
    </w:p>
    <w:p>
      <w:pPr>
        <w:spacing w:line="360" w:lineRule="auto"/>
        <w:ind w:firstLine="210" w:firstLineChars="100"/>
        <w:jc w:val="left"/>
        <w:rPr>
          <w:rFonts w:ascii="宋体" w:hAnsi="宋体"/>
          <w:color w:val="auto"/>
          <w:szCs w:val="21"/>
        </w:rPr>
      </w:pPr>
      <w:r>
        <w:rPr>
          <w:rFonts w:hint="eastAsia" w:ascii="宋体" w:hAnsi="宋体"/>
          <w:color w:val="auto"/>
          <w:szCs w:val="21"/>
        </w:rPr>
        <w:t>4)人工成本测算表应将各个岗位工资分别作为分项内容，出现一个岗位有多名工作人员的，应在备注注明，以使评标委员会能准确了解各岗位工资是否低于最低工资标准，社保、各项福利做分项内容填入。</w:t>
      </w:r>
    </w:p>
    <w:p>
      <w:pPr>
        <w:rPr>
          <w:b/>
          <w:color w:val="auto"/>
          <w:sz w:val="24"/>
        </w:rPr>
      </w:pPr>
      <w:r>
        <w:rPr>
          <w:rFonts w:hint="eastAsia"/>
          <w:b/>
          <w:color w:val="auto"/>
          <w:sz w:val="24"/>
        </w:rPr>
        <w:t>二、投标报价书格式</w:t>
      </w:r>
    </w:p>
    <w:p>
      <w:pPr>
        <w:spacing w:line="360" w:lineRule="auto"/>
        <w:ind w:firstLine="210" w:firstLineChars="100"/>
        <w:jc w:val="left"/>
        <w:rPr>
          <w:rFonts w:ascii="宋体" w:hAnsi="宋体"/>
          <w:color w:val="auto"/>
          <w:szCs w:val="21"/>
        </w:rPr>
      </w:pPr>
      <w:r>
        <w:rPr>
          <w:rFonts w:hint="eastAsia" w:ascii="宋体" w:hAnsi="宋体"/>
          <w:color w:val="auto"/>
          <w:szCs w:val="21"/>
        </w:rPr>
        <w:t>1、投标报价总表</w:t>
      </w:r>
    </w:p>
    <w:p>
      <w:pPr>
        <w:spacing w:line="360" w:lineRule="auto"/>
        <w:ind w:firstLine="210" w:firstLineChars="100"/>
        <w:jc w:val="left"/>
        <w:rPr>
          <w:rFonts w:ascii="宋体" w:hAnsi="宋体"/>
          <w:color w:val="auto"/>
          <w:szCs w:val="21"/>
        </w:rPr>
      </w:pPr>
    </w:p>
    <w:p>
      <w:pPr>
        <w:spacing w:line="360" w:lineRule="auto"/>
        <w:ind w:firstLine="241" w:firstLineChars="100"/>
        <w:jc w:val="center"/>
        <w:rPr>
          <w:rFonts w:ascii="宋体" w:hAnsi="宋体"/>
          <w:b/>
          <w:color w:val="auto"/>
          <w:sz w:val="24"/>
        </w:rPr>
      </w:pPr>
      <w:r>
        <w:rPr>
          <w:rFonts w:hint="eastAsia" w:ascii="宋体" w:hAnsi="宋体"/>
          <w:b/>
          <w:color w:val="auto"/>
          <w:sz w:val="24"/>
        </w:rPr>
        <w:t>投标报价汇总表</w:t>
      </w:r>
    </w:p>
    <w:p>
      <w:pPr>
        <w:spacing w:line="360" w:lineRule="auto"/>
        <w:ind w:firstLine="210" w:firstLineChars="100"/>
        <w:jc w:val="left"/>
        <w:rPr>
          <w:rFonts w:ascii="宋体" w:hAnsi="宋体"/>
          <w:b/>
          <w:color w:val="auto"/>
          <w:szCs w:val="21"/>
        </w:rPr>
      </w:pPr>
      <w:r>
        <w:rPr>
          <w:rFonts w:hint="eastAsia" w:ascii="宋体" w:hAnsi="宋体"/>
          <w:color w:val="auto"/>
          <w:szCs w:val="21"/>
        </w:rPr>
        <w:t xml:space="preserve">项目名称: </w:t>
      </w:r>
      <w:r>
        <w:rPr>
          <w:rFonts w:hint="eastAsia" w:ascii="宋体" w:hAnsi="宋体"/>
          <w:color w:val="auto"/>
          <w:szCs w:val="21"/>
          <w:lang w:eastAsia="zh-CN"/>
        </w:rPr>
        <w:t>双牌县佳兴名城住宅小区和嘉信国际酒店前期物业管理</w:t>
      </w:r>
      <w:r>
        <w:rPr>
          <w:rFonts w:hint="eastAsia" w:ascii="宋体" w:hAnsi="宋体"/>
          <w:color w:val="auto"/>
          <w:szCs w:val="21"/>
        </w:rPr>
        <w:t xml:space="preserve">招标  </w:t>
      </w:r>
      <w:r>
        <w:rPr>
          <w:rFonts w:hint="eastAsia" w:ascii="宋体" w:hAnsi="宋体"/>
          <w:b/>
          <w:color w:val="auto"/>
          <w:szCs w:val="21"/>
        </w:rPr>
        <w:t>[</w:t>
      </w:r>
      <w:r>
        <w:rPr>
          <w:rFonts w:hint="eastAsia" w:ascii="宋体" w:hAnsi="宋体"/>
          <w:color w:val="auto"/>
          <w:szCs w:val="21"/>
        </w:rPr>
        <w:t>价格单位: (人民币)元</w:t>
      </w:r>
      <w:r>
        <w:rPr>
          <w:rFonts w:hint="eastAsia" w:ascii="宋体" w:hAnsi="宋体"/>
          <w:b/>
          <w:color w:val="auto"/>
          <w:szCs w:val="21"/>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color w:val="auto"/>
              </w:rPr>
            </w:pPr>
            <w:r>
              <w:rPr>
                <w:rFonts w:hint="eastAsia"/>
                <w:color w:val="auto"/>
              </w:rPr>
              <w:t>序号</w:t>
            </w:r>
          </w:p>
        </w:tc>
        <w:tc>
          <w:tcPr>
            <w:tcW w:w="2130" w:type="dxa"/>
          </w:tcPr>
          <w:p>
            <w:pPr>
              <w:rPr>
                <w:color w:val="auto"/>
              </w:rPr>
            </w:pPr>
            <w:r>
              <w:rPr>
                <w:rFonts w:hint="eastAsia"/>
                <w:color w:val="auto"/>
              </w:rPr>
              <w:t>分项内容</w:t>
            </w:r>
          </w:p>
        </w:tc>
        <w:tc>
          <w:tcPr>
            <w:tcW w:w="2131" w:type="dxa"/>
          </w:tcPr>
          <w:p>
            <w:pPr>
              <w:rPr>
                <w:color w:val="auto"/>
              </w:rPr>
            </w:pPr>
            <w:r>
              <w:rPr>
                <w:rFonts w:hint="eastAsia"/>
                <w:color w:val="auto"/>
              </w:rPr>
              <w:t>报价</w:t>
            </w:r>
          </w:p>
        </w:tc>
        <w:tc>
          <w:tcPr>
            <w:tcW w:w="2131" w:type="dxa"/>
          </w:tcPr>
          <w:p>
            <w:pPr>
              <w:spacing w:line="360" w:lineRule="auto"/>
              <w:jc w:val="left"/>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1</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2</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3</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4</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5</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6</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360" w:lineRule="auto"/>
              <w:jc w:val="left"/>
              <w:rPr>
                <w:rFonts w:ascii="宋体" w:hAnsi="宋体"/>
                <w:color w:val="auto"/>
                <w:szCs w:val="21"/>
              </w:rPr>
            </w:pPr>
            <w:r>
              <w:rPr>
                <w:rFonts w:hint="eastAsia" w:ascii="宋体" w:hAnsi="宋体"/>
                <w:color w:val="auto"/>
                <w:szCs w:val="21"/>
              </w:rPr>
              <w:t>……</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color w:val="auto"/>
              </w:rPr>
            </w:pPr>
            <w:r>
              <w:rPr>
                <w:rFonts w:hint="eastAsia"/>
                <w:color w:val="auto"/>
              </w:rPr>
              <w:t>合计年度总价</w:t>
            </w:r>
          </w:p>
        </w:tc>
        <w:tc>
          <w:tcPr>
            <w:tcW w:w="2130"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c>
          <w:tcPr>
            <w:tcW w:w="2131"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2130" w:type="dxa"/>
            <w:vAlign w:val="center"/>
          </w:tcPr>
          <w:p>
            <w:pPr>
              <w:jc w:val="center"/>
              <w:rPr>
                <w:color w:val="auto"/>
              </w:rPr>
            </w:pPr>
            <w:r>
              <w:rPr>
                <w:rFonts w:hint="eastAsia"/>
                <w:color w:val="auto"/>
              </w:rPr>
              <w:t>物业服务</w:t>
            </w:r>
          </w:p>
          <w:p>
            <w:pPr>
              <w:jc w:val="center"/>
              <w:rPr>
                <w:color w:val="auto"/>
              </w:rPr>
            </w:pPr>
            <w:r>
              <w:rPr>
                <w:rFonts w:hint="eastAsia"/>
                <w:color w:val="auto"/>
              </w:rPr>
              <w:t>收费单价</w:t>
            </w:r>
          </w:p>
        </w:tc>
        <w:tc>
          <w:tcPr>
            <w:tcW w:w="6392" w:type="dxa"/>
            <w:gridSpan w:val="3"/>
            <w:vAlign w:val="center"/>
          </w:tcPr>
          <w:p>
            <w:pPr>
              <w:jc w:val="left"/>
              <w:rPr>
                <w:color w:val="auto"/>
              </w:rPr>
            </w:pPr>
            <w:r>
              <w:rPr>
                <w:rFonts w:hint="eastAsia"/>
                <w:color w:val="auto"/>
              </w:rPr>
              <w:t>高层住宅：</w:t>
            </w:r>
            <w:r>
              <w:rPr>
                <w:rFonts w:hint="eastAsia"/>
                <w:color w:val="auto"/>
                <w:u w:val="single"/>
              </w:rPr>
              <w:t xml:space="preserve">         </w:t>
            </w:r>
            <w:r>
              <w:rPr>
                <w:rFonts w:hint="eastAsia"/>
                <w:color w:val="auto"/>
              </w:rPr>
              <w:t>元/月.平方米</w:t>
            </w:r>
          </w:p>
          <w:p>
            <w:pPr>
              <w:jc w:val="left"/>
              <w:rPr>
                <w:rFonts w:ascii="宋体" w:hAnsi="宋体"/>
                <w:color w:val="auto"/>
                <w:szCs w:val="21"/>
              </w:rPr>
            </w:pPr>
            <w:r>
              <w:rPr>
                <w:rFonts w:hint="eastAsia"/>
                <w:color w:val="auto"/>
              </w:rPr>
              <w:t>商业用户：</w:t>
            </w:r>
            <w:r>
              <w:rPr>
                <w:rFonts w:hint="eastAsia"/>
                <w:color w:val="auto"/>
                <w:u w:val="single"/>
              </w:rPr>
              <w:t xml:space="preserve">         </w:t>
            </w:r>
            <w:r>
              <w:rPr>
                <w:rFonts w:hint="eastAsia"/>
                <w:color w:val="auto"/>
              </w:rPr>
              <w:t>元/月.平方米</w:t>
            </w:r>
          </w:p>
        </w:tc>
      </w:tr>
    </w:tbl>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jc w:val="left"/>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jc w:val="left"/>
        <w:rPr>
          <w:rFonts w:ascii="宋体" w:hAnsi="宋体"/>
          <w:color w:val="auto"/>
          <w:szCs w:val="21"/>
          <w:u w:val="single"/>
        </w:rPr>
      </w:pPr>
      <w:r>
        <w:rPr>
          <w:rFonts w:hint="eastAsia" w:ascii="宋体" w:hAnsi="宋体"/>
          <w:color w:val="auto"/>
          <w:szCs w:val="21"/>
        </w:rPr>
        <w:t>编   制   人：</w:t>
      </w:r>
      <w:r>
        <w:rPr>
          <w:rFonts w:hint="eastAsia" w:ascii="宋体" w:hAnsi="宋体"/>
          <w:color w:val="auto"/>
          <w:szCs w:val="21"/>
          <w:u w:val="single"/>
        </w:rPr>
        <w:t xml:space="preserve">                     </w:t>
      </w:r>
      <w:r>
        <w:rPr>
          <w:rFonts w:hint="eastAsia" w:ascii="宋体" w:hAnsi="宋体"/>
          <w:color w:val="auto"/>
          <w:szCs w:val="21"/>
        </w:rPr>
        <w:t>（项目负责人签字）</w:t>
      </w: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r>
        <w:rPr>
          <w:rFonts w:hint="eastAsia" w:ascii="宋体" w:hAnsi="宋体"/>
          <w:color w:val="auto"/>
          <w:szCs w:val="21"/>
        </w:rPr>
        <w:t>2.人工成本测算表</w:t>
      </w:r>
    </w:p>
    <w:p>
      <w:pPr>
        <w:spacing w:line="360" w:lineRule="auto"/>
        <w:ind w:firstLine="241" w:firstLineChars="100"/>
        <w:jc w:val="center"/>
        <w:rPr>
          <w:rFonts w:ascii="宋体" w:hAnsi="宋体"/>
          <w:b/>
          <w:color w:val="auto"/>
          <w:sz w:val="24"/>
        </w:rPr>
      </w:pPr>
      <w:r>
        <w:rPr>
          <w:rFonts w:hint="eastAsia" w:ascii="宋体" w:hAnsi="宋体"/>
          <w:b/>
          <w:color w:val="auto"/>
          <w:sz w:val="24"/>
        </w:rPr>
        <w:t>人工成本测算表</w:t>
      </w:r>
    </w:p>
    <w:p>
      <w:pPr>
        <w:spacing w:line="360" w:lineRule="auto"/>
        <w:ind w:firstLine="210" w:firstLineChars="100"/>
        <w:jc w:val="left"/>
        <w:rPr>
          <w:rFonts w:ascii="宋体" w:hAnsi="宋体"/>
          <w:b/>
          <w:color w:val="auto"/>
          <w:szCs w:val="21"/>
        </w:rPr>
      </w:pPr>
      <w:r>
        <w:rPr>
          <w:rFonts w:hint="eastAsia" w:ascii="宋体" w:hAnsi="宋体"/>
          <w:color w:val="auto"/>
          <w:szCs w:val="21"/>
        </w:rPr>
        <w:t xml:space="preserve">项目名称: </w:t>
      </w:r>
      <w:r>
        <w:rPr>
          <w:rFonts w:hint="eastAsia" w:ascii="宋体" w:hAnsi="宋体"/>
          <w:color w:val="auto"/>
          <w:szCs w:val="21"/>
          <w:lang w:eastAsia="zh-CN"/>
        </w:rPr>
        <w:t>双牌县佳兴名城住宅小区和嘉信国际酒店前期物业管理</w:t>
      </w:r>
      <w:r>
        <w:rPr>
          <w:rFonts w:hint="eastAsia" w:ascii="宋体" w:hAnsi="宋体"/>
          <w:color w:val="auto"/>
          <w:szCs w:val="21"/>
        </w:rPr>
        <w:t xml:space="preserve">招标  </w:t>
      </w:r>
      <w:r>
        <w:rPr>
          <w:rFonts w:hint="eastAsia" w:ascii="宋体" w:hAnsi="宋体"/>
          <w:b/>
          <w:color w:val="auto"/>
          <w:szCs w:val="21"/>
        </w:rPr>
        <w:t>[</w:t>
      </w:r>
      <w:r>
        <w:rPr>
          <w:rFonts w:hint="eastAsia" w:ascii="宋体" w:hAnsi="宋体"/>
          <w:color w:val="auto"/>
          <w:szCs w:val="21"/>
        </w:rPr>
        <w:t>价格单位: (人民币)元</w:t>
      </w:r>
      <w:r>
        <w:rPr>
          <w:rFonts w:hint="eastAsia" w:ascii="宋体" w:hAnsi="宋体"/>
          <w:b/>
          <w:color w:val="auto"/>
          <w:szCs w:val="21"/>
        </w:rPr>
        <w:t>]</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49"/>
        <w:gridCol w:w="1945"/>
        <w:gridCol w:w="170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color w:val="auto"/>
              </w:rPr>
            </w:pPr>
            <w:r>
              <w:rPr>
                <w:rFonts w:hint="eastAsia"/>
                <w:color w:val="auto"/>
              </w:rPr>
              <w:t>序号</w:t>
            </w:r>
          </w:p>
        </w:tc>
        <w:tc>
          <w:tcPr>
            <w:tcW w:w="2449" w:type="dxa"/>
            <w:vAlign w:val="center"/>
          </w:tcPr>
          <w:p>
            <w:pPr>
              <w:jc w:val="center"/>
              <w:rPr>
                <w:color w:val="auto"/>
              </w:rPr>
            </w:pPr>
            <w:r>
              <w:rPr>
                <w:rFonts w:hint="eastAsia"/>
                <w:color w:val="auto"/>
              </w:rPr>
              <w:t>分项内容</w:t>
            </w:r>
          </w:p>
        </w:tc>
        <w:tc>
          <w:tcPr>
            <w:tcW w:w="1945" w:type="dxa"/>
            <w:vAlign w:val="center"/>
          </w:tcPr>
          <w:p>
            <w:pPr>
              <w:jc w:val="center"/>
              <w:rPr>
                <w:color w:val="auto"/>
              </w:rPr>
            </w:pPr>
            <w:r>
              <w:rPr>
                <w:rFonts w:hint="eastAsia"/>
                <w:color w:val="auto"/>
              </w:rPr>
              <w:t>计算方式</w:t>
            </w:r>
          </w:p>
        </w:tc>
        <w:tc>
          <w:tcPr>
            <w:tcW w:w="1701" w:type="dxa"/>
            <w:vAlign w:val="center"/>
          </w:tcPr>
          <w:p>
            <w:pPr>
              <w:jc w:val="center"/>
              <w:rPr>
                <w:color w:val="auto"/>
              </w:rPr>
            </w:pPr>
            <w:r>
              <w:rPr>
                <w:rFonts w:hint="eastAsia"/>
                <w:color w:val="auto"/>
              </w:rPr>
              <w:t>报价</w:t>
            </w:r>
          </w:p>
        </w:tc>
        <w:tc>
          <w:tcPr>
            <w:tcW w:w="1468" w:type="dxa"/>
            <w:vAlign w:val="center"/>
          </w:tcPr>
          <w:p>
            <w:pPr>
              <w:spacing w:line="360" w:lineRule="auto"/>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1</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2</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3</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4</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5</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6</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spacing w:line="360" w:lineRule="auto"/>
              <w:jc w:val="left"/>
              <w:rPr>
                <w:rFonts w:ascii="宋体" w:hAnsi="宋体"/>
                <w:color w:val="auto"/>
                <w:szCs w:val="21"/>
              </w:rPr>
            </w:pPr>
            <w:r>
              <w:rPr>
                <w:rFonts w:hint="eastAsia" w:ascii="宋体" w:hAnsi="宋体"/>
                <w:color w:val="auto"/>
                <w:szCs w:val="21"/>
              </w:rPr>
              <w:t>合计</w:t>
            </w:r>
          </w:p>
        </w:tc>
        <w:tc>
          <w:tcPr>
            <w:tcW w:w="2449" w:type="dxa"/>
          </w:tcPr>
          <w:p>
            <w:pPr>
              <w:spacing w:line="360" w:lineRule="auto"/>
              <w:jc w:val="left"/>
              <w:rPr>
                <w:rFonts w:ascii="宋体" w:hAnsi="宋体"/>
                <w:color w:val="auto"/>
                <w:szCs w:val="21"/>
              </w:rPr>
            </w:pPr>
          </w:p>
        </w:tc>
        <w:tc>
          <w:tcPr>
            <w:tcW w:w="1945" w:type="dxa"/>
          </w:tcPr>
          <w:p>
            <w:pPr>
              <w:spacing w:line="360" w:lineRule="auto"/>
              <w:jc w:val="left"/>
              <w:rPr>
                <w:rFonts w:ascii="宋体" w:hAnsi="宋体"/>
                <w:color w:val="auto"/>
                <w:szCs w:val="21"/>
              </w:rPr>
            </w:pPr>
          </w:p>
        </w:tc>
        <w:tc>
          <w:tcPr>
            <w:tcW w:w="1701" w:type="dxa"/>
          </w:tcPr>
          <w:p>
            <w:pPr>
              <w:spacing w:line="360" w:lineRule="auto"/>
              <w:jc w:val="left"/>
              <w:rPr>
                <w:rFonts w:ascii="宋体" w:hAnsi="宋体"/>
                <w:color w:val="auto"/>
                <w:szCs w:val="21"/>
              </w:rPr>
            </w:pPr>
          </w:p>
        </w:tc>
        <w:tc>
          <w:tcPr>
            <w:tcW w:w="1468" w:type="dxa"/>
          </w:tcPr>
          <w:p>
            <w:pPr>
              <w:spacing w:line="360" w:lineRule="auto"/>
              <w:jc w:val="left"/>
              <w:rPr>
                <w:rFonts w:ascii="宋体" w:hAnsi="宋体"/>
                <w:color w:val="auto"/>
                <w:szCs w:val="21"/>
              </w:rPr>
            </w:pPr>
          </w:p>
        </w:tc>
      </w:tr>
    </w:tbl>
    <w:p>
      <w:pPr>
        <w:spacing w:line="360" w:lineRule="auto"/>
        <w:jc w:val="left"/>
        <w:rPr>
          <w:rFonts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jc w:val="left"/>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r>
        <w:rPr>
          <w:rFonts w:hint="eastAsia" w:ascii="宋体" w:hAnsi="宋体"/>
          <w:color w:val="auto"/>
          <w:szCs w:val="21"/>
        </w:rPr>
        <w:t>3、其他测算表格式参照人工测算表，最后编写投标报价编制说明。</w:t>
      </w: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center"/>
        <w:rPr>
          <w:b/>
          <w:bCs/>
          <w:color w:val="auto"/>
          <w:sz w:val="32"/>
          <w:szCs w:val="32"/>
        </w:rPr>
      </w:pPr>
      <w:r>
        <w:rPr>
          <w:rFonts w:hint="eastAsia"/>
          <w:b/>
          <w:bCs/>
          <w:color w:val="auto"/>
          <w:sz w:val="32"/>
          <w:szCs w:val="32"/>
        </w:rPr>
        <w:t>第三部分 技术部分格式</w:t>
      </w:r>
    </w:p>
    <w:p>
      <w:pPr>
        <w:spacing w:line="360" w:lineRule="auto"/>
        <w:jc w:val="center"/>
        <w:rPr>
          <w:b/>
          <w:bCs/>
          <w:color w:val="auto"/>
          <w:sz w:val="32"/>
          <w:szCs w:val="32"/>
        </w:rPr>
      </w:pPr>
    </w:p>
    <w:p>
      <w:pPr>
        <w:spacing w:line="360" w:lineRule="auto"/>
        <w:jc w:val="center"/>
        <w:rPr>
          <w:b/>
          <w:bCs/>
          <w:color w:val="auto"/>
          <w:sz w:val="32"/>
          <w:szCs w:val="32"/>
        </w:rPr>
      </w:pPr>
    </w:p>
    <w:p>
      <w:pPr>
        <w:spacing w:line="360" w:lineRule="auto"/>
        <w:jc w:val="left"/>
        <w:rPr>
          <w:b/>
          <w:bCs/>
          <w:color w:val="auto"/>
          <w:sz w:val="32"/>
          <w:szCs w:val="32"/>
        </w:rPr>
      </w:pPr>
      <w:r>
        <w:rPr>
          <w:rFonts w:hint="eastAsia"/>
          <w:b/>
          <w:bCs/>
          <w:color w:val="auto"/>
          <w:sz w:val="32"/>
          <w:szCs w:val="32"/>
          <w:u w:val="single"/>
        </w:rPr>
        <w:t xml:space="preserve">               </w:t>
      </w:r>
      <w:r>
        <w:rPr>
          <w:rFonts w:hint="eastAsia"/>
          <w:b/>
          <w:bCs/>
          <w:color w:val="auto"/>
          <w:sz w:val="32"/>
          <w:szCs w:val="32"/>
        </w:rPr>
        <w:t>（项目名称）前期物业管理招标</w:t>
      </w:r>
    </w:p>
    <w:p>
      <w:pPr>
        <w:rPr>
          <w:rFonts w:ascii="宋体" w:hAnsi="宋体"/>
          <w:b/>
          <w:color w:val="auto"/>
          <w:sz w:val="72"/>
          <w:szCs w:val="72"/>
        </w:rPr>
      </w:pPr>
    </w:p>
    <w:p>
      <w:pPr>
        <w:rPr>
          <w:rFonts w:ascii="宋体" w:hAnsi="宋体"/>
          <w:b/>
          <w:color w:val="auto"/>
          <w:sz w:val="72"/>
          <w:szCs w:val="72"/>
        </w:rPr>
      </w:pPr>
    </w:p>
    <w:p>
      <w:pPr>
        <w:tabs>
          <w:tab w:val="center" w:pos="4365"/>
        </w:tabs>
        <w:jc w:val="center"/>
        <w:rPr>
          <w:rFonts w:ascii="华文隶书" w:hAnsi="宋体" w:eastAsia="华文隶书"/>
          <w:color w:val="auto"/>
          <w:sz w:val="84"/>
          <w:szCs w:val="84"/>
        </w:rPr>
      </w:pPr>
      <w:r>
        <w:rPr>
          <w:rFonts w:hint="eastAsia" w:ascii="华文隶书" w:hAnsi="宋体" w:eastAsia="华文隶书"/>
          <w:color w:val="auto"/>
          <w:sz w:val="84"/>
          <w:szCs w:val="84"/>
        </w:rPr>
        <w:t>投 标 文 件</w:t>
      </w:r>
    </w:p>
    <w:p>
      <w:pPr>
        <w:tabs>
          <w:tab w:val="center" w:pos="4365"/>
        </w:tabs>
        <w:jc w:val="center"/>
        <w:rPr>
          <w:rFonts w:ascii="宋体" w:hAnsi="宋体"/>
          <w:color w:val="auto"/>
          <w:sz w:val="36"/>
          <w:szCs w:val="36"/>
        </w:rPr>
      </w:pPr>
      <w:r>
        <w:rPr>
          <w:rFonts w:hint="eastAsia"/>
          <w:b/>
          <w:bCs/>
          <w:color w:val="auto"/>
          <w:sz w:val="32"/>
          <w:szCs w:val="32"/>
        </w:rPr>
        <w:t>（物业管理方案）</w:t>
      </w:r>
    </w:p>
    <w:p>
      <w:pPr>
        <w:tabs>
          <w:tab w:val="center" w:pos="4365"/>
        </w:tabs>
        <w:jc w:val="center"/>
        <w:rPr>
          <w:b/>
          <w:bCs/>
          <w:color w:val="auto"/>
          <w:sz w:val="32"/>
          <w:szCs w:val="32"/>
        </w:rPr>
      </w:pPr>
      <w:r>
        <w:rPr>
          <w:rFonts w:hint="eastAsia"/>
          <w:b/>
          <w:bCs/>
          <w:color w:val="auto"/>
          <w:sz w:val="32"/>
          <w:szCs w:val="32"/>
        </w:rPr>
        <w:t>（招标编号：</w:t>
      </w:r>
      <w:r>
        <w:rPr>
          <w:rFonts w:hint="eastAsia"/>
          <w:b/>
          <w:bCs/>
          <w:color w:val="auto"/>
          <w:sz w:val="32"/>
          <w:szCs w:val="32"/>
          <w:u w:val="single"/>
        </w:rPr>
        <w:t xml:space="preserve">           </w:t>
      </w:r>
      <w:r>
        <w:rPr>
          <w:rFonts w:hint="eastAsia"/>
          <w:b/>
          <w:bCs/>
          <w:color w:val="auto"/>
          <w:sz w:val="32"/>
          <w:szCs w:val="32"/>
        </w:rPr>
        <w:t>）</w:t>
      </w: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rPr>
          <w:rFonts w:ascii="宋体" w:hAnsi="宋体"/>
          <w:b/>
          <w:color w:val="auto"/>
          <w:sz w:val="44"/>
          <w:szCs w:val="44"/>
        </w:rPr>
      </w:pPr>
    </w:p>
    <w:p>
      <w:pPr>
        <w:spacing w:line="360" w:lineRule="auto"/>
        <w:jc w:val="left"/>
        <w:rPr>
          <w:rFonts w:ascii="宋体" w:hAnsi="宋体"/>
          <w:color w:val="auto"/>
          <w:sz w:val="28"/>
          <w:szCs w:val="28"/>
        </w:rPr>
      </w:pPr>
      <w:r>
        <w:rPr>
          <w:rFonts w:hint="eastAsia" w:ascii="宋体" w:hAnsi="宋体"/>
          <w:color w:val="auto"/>
          <w:sz w:val="28"/>
          <w:szCs w:val="28"/>
        </w:rPr>
        <w:t>投   标   人：</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jc w:val="left"/>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spacing w:line="360" w:lineRule="auto"/>
        <w:jc w:val="left"/>
        <w:rPr>
          <w:rFonts w:ascii="宋体" w:hAnsi="宋体"/>
          <w:color w:val="auto"/>
          <w:sz w:val="28"/>
          <w:szCs w:val="28"/>
        </w:rPr>
      </w:pPr>
      <w:r>
        <w:rPr>
          <w:rFonts w:hint="eastAsia" w:ascii="宋体" w:hAnsi="宋体"/>
          <w:color w:val="auto"/>
          <w:sz w:val="28"/>
          <w:szCs w:val="28"/>
        </w:rPr>
        <w:t>日        期：</w:t>
      </w:r>
      <w:r>
        <w:rPr>
          <w:rFonts w:hint="eastAsia" w:ascii="宋体" w:hAnsi="宋体"/>
          <w:color w:val="auto"/>
          <w:szCs w:val="21"/>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360" w:lineRule="auto"/>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p>
    <w:p>
      <w:pPr>
        <w:spacing w:line="360" w:lineRule="auto"/>
        <w:ind w:firstLine="210" w:firstLineChars="100"/>
        <w:jc w:val="left"/>
        <w:rPr>
          <w:rFonts w:ascii="宋体" w:hAnsi="宋体"/>
          <w:color w:val="auto"/>
          <w:szCs w:val="21"/>
        </w:rPr>
      </w:pPr>
      <w:r>
        <w:rPr>
          <w:rFonts w:hint="eastAsia" w:ascii="宋体" w:hAnsi="宋体"/>
          <w:color w:val="auto"/>
          <w:szCs w:val="21"/>
        </w:rPr>
        <w:t>一、投标文件技术标，采用明标，包括下列内容(按此顺序)：</w:t>
      </w:r>
    </w:p>
    <w:p>
      <w:pPr>
        <w:spacing w:line="360" w:lineRule="auto"/>
        <w:ind w:firstLine="210" w:firstLineChars="100"/>
        <w:jc w:val="left"/>
        <w:rPr>
          <w:rFonts w:ascii="宋体" w:hAnsi="宋体"/>
          <w:color w:val="auto"/>
          <w:szCs w:val="21"/>
        </w:rPr>
      </w:pPr>
      <w:r>
        <w:rPr>
          <w:rFonts w:hint="eastAsia" w:ascii="宋体" w:hAnsi="宋体"/>
          <w:color w:val="auto"/>
          <w:szCs w:val="21"/>
        </w:rPr>
        <w:t>1、管理服务理念目标；</w:t>
      </w:r>
    </w:p>
    <w:p>
      <w:pPr>
        <w:spacing w:line="360" w:lineRule="auto"/>
        <w:ind w:firstLine="210" w:firstLineChars="100"/>
        <w:jc w:val="left"/>
        <w:rPr>
          <w:rFonts w:ascii="宋体" w:hAnsi="宋体"/>
          <w:color w:val="auto"/>
          <w:szCs w:val="21"/>
        </w:rPr>
      </w:pPr>
      <w:r>
        <w:rPr>
          <w:rFonts w:hint="eastAsia" w:ascii="宋体" w:hAnsi="宋体"/>
          <w:color w:val="auto"/>
          <w:szCs w:val="21"/>
        </w:rPr>
        <w:t>2、管理机构运作及管理制度；</w:t>
      </w:r>
    </w:p>
    <w:p>
      <w:pPr>
        <w:spacing w:line="360" w:lineRule="auto"/>
        <w:ind w:firstLine="210" w:firstLineChars="100"/>
        <w:jc w:val="left"/>
        <w:rPr>
          <w:rFonts w:ascii="宋体" w:hAnsi="宋体"/>
          <w:color w:val="auto"/>
          <w:szCs w:val="21"/>
        </w:rPr>
      </w:pPr>
      <w:r>
        <w:rPr>
          <w:rFonts w:hint="eastAsia" w:ascii="宋体" w:hAnsi="宋体"/>
          <w:color w:val="auto"/>
          <w:szCs w:val="21"/>
        </w:rPr>
        <w:t>3、管理服务人员配置；</w:t>
      </w:r>
    </w:p>
    <w:p>
      <w:pPr>
        <w:spacing w:line="360" w:lineRule="auto"/>
        <w:ind w:firstLine="210" w:firstLineChars="100"/>
        <w:jc w:val="left"/>
        <w:rPr>
          <w:rFonts w:ascii="宋体" w:hAnsi="宋体"/>
          <w:color w:val="auto"/>
          <w:szCs w:val="21"/>
        </w:rPr>
      </w:pPr>
      <w:r>
        <w:rPr>
          <w:rFonts w:hint="eastAsia" w:ascii="宋体" w:hAnsi="宋体"/>
          <w:color w:val="auto"/>
          <w:szCs w:val="21"/>
        </w:rPr>
        <w:t>4、物业管理服务的实施方案；</w:t>
      </w:r>
    </w:p>
    <w:p>
      <w:pPr>
        <w:spacing w:line="360" w:lineRule="auto"/>
        <w:ind w:firstLine="210" w:firstLineChars="100"/>
        <w:jc w:val="left"/>
        <w:rPr>
          <w:rFonts w:ascii="宋体" w:hAnsi="宋体"/>
          <w:color w:val="auto"/>
          <w:szCs w:val="21"/>
        </w:rPr>
      </w:pPr>
      <w:r>
        <w:rPr>
          <w:rFonts w:hint="eastAsia" w:ascii="宋体" w:hAnsi="宋体"/>
          <w:color w:val="auto"/>
          <w:szCs w:val="21"/>
        </w:rPr>
        <w:t>5、物业维修养护的应急措施；</w:t>
      </w:r>
    </w:p>
    <w:p>
      <w:pPr>
        <w:spacing w:line="360" w:lineRule="auto"/>
        <w:ind w:firstLine="210" w:firstLineChars="100"/>
        <w:jc w:val="left"/>
        <w:rPr>
          <w:rFonts w:ascii="宋体" w:hAnsi="宋体"/>
          <w:color w:val="auto"/>
          <w:szCs w:val="21"/>
        </w:rPr>
      </w:pPr>
      <w:r>
        <w:rPr>
          <w:rFonts w:hint="eastAsia" w:ascii="宋体" w:hAnsi="宋体"/>
          <w:color w:val="auto"/>
          <w:szCs w:val="21"/>
        </w:rPr>
        <w:t>6、丰富社区文化，加强业主相互沟通的具体措施；</w:t>
      </w:r>
    </w:p>
    <w:p>
      <w:pPr>
        <w:spacing w:line="360" w:lineRule="auto"/>
        <w:ind w:firstLine="210" w:firstLineChars="100"/>
        <w:jc w:val="left"/>
        <w:rPr>
          <w:rFonts w:ascii="宋体" w:hAnsi="宋体"/>
          <w:color w:val="auto"/>
          <w:szCs w:val="21"/>
        </w:rPr>
      </w:pPr>
      <w:r>
        <w:rPr>
          <w:rFonts w:hint="eastAsia" w:ascii="宋体" w:hAnsi="宋体"/>
          <w:color w:val="auto"/>
          <w:szCs w:val="21"/>
        </w:rPr>
        <w:t>7、拟用于本项目的技术装备；</w:t>
      </w:r>
    </w:p>
    <w:p>
      <w:pPr>
        <w:spacing w:line="360" w:lineRule="auto"/>
        <w:ind w:firstLine="210" w:firstLineChars="100"/>
        <w:jc w:val="left"/>
        <w:rPr>
          <w:rFonts w:ascii="宋体" w:hAnsi="宋体"/>
          <w:color w:val="auto"/>
          <w:szCs w:val="21"/>
        </w:rPr>
      </w:pPr>
      <w:r>
        <w:rPr>
          <w:rFonts w:hint="eastAsia" w:ascii="宋体" w:hAnsi="宋体"/>
          <w:color w:val="auto"/>
          <w:szCs w:val="21"/>
        </w:rPr>
        <w:t>二、编写要求</w:t>
      </w:r>
    </w:p>
    <w:p>
      <w:pPr>
        <w:spacing w:line="360" w:lineRule="auto"/>
        <w:ind w:firstLine="210" w:firstLineChars="100"/>
        <w:jc w:val="left"/>
        <w:rPr>
          <w:rFonts w:ascii="宋体" w:hAnsi="宋体"/>
          <w:color w:val="auto"/>
          <w:szCs w:val="21"/>
        </w:rPr>
      </w:pPr>
      <w:r>
        <w:rPr>
          <w:rFonts w:hint="eastAsia" w:ascii="宋体" w:hAnsi="宋体"/>
          <w:color w:val="auto"/>
          <w:szCs w:val="21"/>
        </w:rPr>
        <w:t>1、上述第3项中应以图表形式列明派驻招标项目的服务机构的组织架构及各岗位人员配置。</w:t>
      </w:r>
    </w:p>
    <w:p>
      <w:pPr>
        <w:spacing w:line="360" w:lineRule="auto"/>
        <w:ind w:firstLine="210" w:firstLineChars="100"/>
        <w:jc w:val="left"/>
        <w:rPr>
          <w:rFonts w:ascii="宋体" w:hAnsi="宋体"/>
          <w:color w:val="auto"/>
          <w:szCs w:val="21"/>
        </w:rPr>
      </w:pPr>
      <w:r>
        <w:rPr>
          <w:rFonts w:hint="eastAsia" w:ascii="宋体" w:hAnsi="宋体"/>
          <w:color w:val="auto"/>
          <w:szCs w:val="21"/>
        </w:rPr>
        <w:t>2、上述第4项物业管理服务的实施方案应根据物业管理服务的内容、标准的要求编写，在此项内容下，详细展开下列内容:</w:t>
      </w:r>
    </w:p>
    <w:p>
      <w:pPr>
        <w:spacing w:line="360" w:lineRule="auto"/>
        <w:ind w:firstLine="240" w:firstLineChars="100"/>
        <w:jc w:val="left"/>
        <w:rPr>
          <w:rFonts w:ascii="楷体" w:hAnsi="楷体" w:eastAsia="楷体"/>
          <w:bCs/>
          <w:color w:val="auto"/>
          <w:sz w:val="24"/>
        </w:rPr>
      </w:pPr>
      <w:r>
        <w:rPr>
          <w:rFonts w:hint="eastAsia" w:ascii="楷体" w:hAnsi="楷体" w:eastAsia="楷体"/>
          <w:bCs/>
          <w:color w:val="auto"/>
          <w:sz w:val="24"/>
        </w:rPr>
        <w:t>(一)、对物业共用部位的管理、养护、维修方案；</w:t>
      </w:r>
    </w:p>
    <w:p>
      <w:pPr>
        <w:spacing w:line="360" w:lineRule="auto"/>
        <w:ind w:firstLine="240" w:firstLineChars="100"/>
        <w:jc w:val="left"/>
        <w:rPr>
          <w:rFonts w:ascii="楷体" w:hAnsi="楷体" w:eastAsia="楷体"/>
          <w:bCs/>
          <w:color w:val="auto"/>
          <w:sz w:val="24"/>
        </w:rPr>
      </w:pPr>
      <w:r>
        <w:rPr>
          <w:rFonts w:hint="eastAsia" w:ascii="楷体" w:hAnsi="楷体" w:eastAsia="楷体"/>
          <w:bCs/>
          <w:color w:val="auto"/>
          <w:sz w:val="24"/>
        </w:rPr>
        <w:t>(二)、物业管理区域内共用设施设备的管理、养护、维修方案；</w:t>
      </w:r>
    </w:p>
    <w:p>
      <w:pPr>
        <w:spacing w:line="360" w:lineRule="auto"/>
        <w:ind w:firstLine="240" w:firstLineChars="100"/>
        <w:jc w:val="left"/>
        <w:rPr>
          <w:rFonts w:ascii="楷体" w:hAnsi="楷体" w:eastAsia="楷体"/>
          <w:bCs/>
          <w:color w:val="auto"/>
          <w:sz w:val="24"/>
        </w:rPr>
      </w:pPr>
      <w:r>
        <w:rPr>
          <w:rFonts w:hint="eastAsia" w:ascii="楷体" w:hAnsi="楷体" w:eastAsia="楷体"/>
          <w:bCs/>
          <w:color w:val="auto"/>
          <w:sz w:val="24"/>
        </w:rPr>
        <w:t>(三)、业主、使用人装饰装修管理方案；</w:t>
      </w:r>
    </w:p>
    <w:p>
      <w:pPr>
        <w:spacing w:line="360" w:lineRule="auto"/>
        <w:ind w:firstLine="240" w:firstLineChars="100"/>
        <w:jc w:val="left"/>
        <w:rPr>
          <w:rFonts w:ascii="楷体" w:hAnsi="楷体" w:eastAsia="楷体"/>
          <w:bCs/>
          <w:color w:val="auto"/>
          <w:sz w:val="24"/>
        </w:rPr>
      </w:pPr>
      <w:r>
        <w:rPr>
          <w:rFonts w:hint="eastAsia" w:ascii="楷体" w:hAnsi="楷体" w:eastAsia="楷体"/>
          <w:bCs/>
          <w:color w:val="auto"/>
          <w:sz w:val="24"/>
        </w:rPr>
        <w:t>(四)、物业管理区域内环境清洁保洁方案；</w:t>
      </w:r>
    </w:p>
    <w:p>
      <w:pPr>
        <w:spacing w:line="360" w:lineRule="auto"/>
        <w:ind w:firstLine="240" w:firstLineChars="100"/>
        <w:jc w:val="left"/>
        <w:rPr>
          <w:rFonts w:ascii="楷体" w:hAnsi="楷体" w:eastAsia="楷体"/>
          <w:bCs/>
          <w:color w:val="auto"/>
          <w:sz w:val="24"/>
        </w:rPr>
      </w:pPr>
      <w:r>
        <w:rPr>
          <w:rFonts w:hint="eastAsia" w:ascii="楷体" w:hAnsi="楷体" w:eastAsia="楷体"/>
          <w:bCs/>
          <w:color w:val="auto"/>
          <w:sz w:val="24"/>
        </w:rPr>
        <w:t>(五)、物业管理区域内公共秩序维护方案；</w:t>
      </w:r>
    </w:p>
    <w:p>
      <w:pPr>
        <w:spacing w:line="360" w:lineRule="auto"/>
        <w:ind w:firstLine="240" w:firstLineChars="100"/>
        <w:jc w:val="left"/>
        <w:rPr>
          <w:rFonts w:ascii="楷体" w:hAnsi="楷体" w:eastAsia="楷体"/>
          <w:bCs/>
          <w:color w:val="auto"/>
          <w:sz w:val="24"/>
        </w:rPr>
      </w:pPr>
      <w:r>
        <w:rPr>
          <w:rFonts w:hint="eastAsia" w:ascii="楷体" w:hAnsi="楷体" w:eastAsia="楷体"/>
          <w:bCs/>
          <w:color w:val="auto"/>
          <w:sz w:val="24"/>
        </w:rPr>
        <w:t>(六)、物业入伙工作方案。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华文隶书">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Fm+2iFgIAABUEAAAOAAAAAAAA&#10;AAEAIAAAAB8BAABkcnMvZTJvRG9jLnhtbFBLBQYAAAAABgAGAFkBAACn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3D267"/>
    <w:multiLevelType w:val="singleLevel"/>
    <w:tmpl w:val="C333D267"/>
    <w:lvl w:ilvl="0" w:tentative="0">
      <w:start w:val="10"/>
      <w:numFmt w:val="decimal"/>
      <w:suff w:val="space"/>
      <w:lvlText w:val="%1."/>
      <w:lvlJc w:val="left"/>
    </w:lvl>
  </w:abstractNum>
  <w:abstractNum w:abstractNumId="1">
    <w:nsid w:val="EB607AD8"/>
    <w:multiLevelType w:val="singleLevel"/>
    <w:tmpl w:val="EB607AD8"/>
    <w:lvl w:ilvl="0" w:tentative="0">
      <w:start w:val="1"/>
      <w:numFmt w:val="decimal"/>
      <w:lvlText w:val="(%1)"/>
      <w:lvlJc w:val="left"/>
      <w:pPr>
        <w:tabs>
          <w:tab w:val="left" w:pos="312"/>
        </w:tabs>
      </w:pPr>
    </w:lvl>
  </w:abstractNum>
  <w:abstractNum w:abstractNumId="2">
    <w:nsid w:val="53DA7D38"/>
    <w:multiLevelType w:val="singleLevel"/>
    <w:tmpl w:val="53DA7D38"/>
    <w:lvl w:ilvl="0" w:tentative="0">
      <w:start w:val="1"/>
      <w:numFmt w:val="decimal"/>
      <w:lvlText w:val="%1."/>
      <w:lvlJc w:val="left"/>
      <w:pPr>
        <w:tabs>
          <w:tab w:val="left" w:pos="312"/>
        </w:tabs>
      </w:pPr>
    </w:lvl>
  </w:abstractNum>
  <w:abstractNum w:abstractNumId="3">
    <w:nsid w:val="760388DB"/>
    <w:multiLevelType w:val="singleLevel"/>
    <w:tmpl w:val="760388DB"/>
    <w:lvl w:ilvl="0" w:tentative="0">
      <w:start w:val="1"/>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45C4B"/>
    <w:rsid w:val="000119FE"/>
    <w:rsid w:val="00050AEA"/>
    <w:rsid w:val="00053B2D"/>
    <w:rsid w:val="00071103"/>
    <w:rsid w:val="0007408D"/>
    <w:rsid w:val="00080F94"/>
    <w:rsid w:val="00092FB9"/>
    <w:rsid w:val="000A2B22"/>
    <w:rsid w:val="000A4588"/>
    <w:rsid w:val="000B2BD2"/>
    <w:rsid w:val="000D1900"/>
    <w:rsid w:val="000F2243"/>
    <w:rsid w:val="00111959"/>
    <w:rsid w:val="00123536"/>
    <w:rsid w:val="0013406B"/>
    <w:rsid w:val="00135D29"/>
    <w:rsid w:val="0013708E"/>
    <w:rsid w:val="001413BF"/>
    <w:rsid w:val="00142CD0"/>
    <w:rsid w:val="0014720F"/>
    <w:rsid w:val="00151CDF"/>
    <w:rsid w:val="001979E7"/>
    <w:rsid w:val="001C1192"/>
    <w:rsid w:val="001C2D9E"/>
    <w:rsid w:val="001C4A3F"/>
    <w:rsid w:val="001D1334"/>
    <w:rsid w:val="001D1751"/>
    <w:rsid w:val="001E7F04"/>
    <w:rsid w:val="00200CE1"/>
    <w:rsid w:val="00207CC9"/>
    <w:rsid w:val="00213D4C"/>
    <w:rsid w:val="00222845"/>
    <w:rsid w:val="00235023"/>
    <w:rsid w:val="00240584"/>
    <w:rsid w:val="0024143C"/>
    <w:rsid w:val="00253471"/>
    <w:rsid w:val="00256034"/>
    <w:rsid w:val="00264302"/>
    <w:rsid w:val="00273BDF"/>
    <w:rsid w:val="00284AAF"/>
    <w:rsid w:val="00297373"/>
    <w:rsid w:val="002A09C4"/>
    <w:rsid w:val="002A6707"/>
    <w:rsid w:val="002B780C"/>
    <w:rsid w:val="002C161C"/>
    <w:rsid w:val="002E154E"/>
    <w:rsid w:val="002E7D70"/>
    <w:rsid w:val="002F2E9C"/>
    <w:rsid w:val="00305C90"/>
    <w:rsid w:val="00307923"/>
    <w:rsid w:val="00311D5E"/>
    <w:rsid w:val="00311E26"/>
    <w:rsid w:val="003147FB"/>
    <w:rsid w:val="00326E90"/>
    <w:rsid w:val="0033112A"/>
    <w:rsid w:val="003407CE"/>
    <w:rsid w:val="00360A80"/>
    <w:rsid w:val="003637DF"/>
    <w:rsid w:val="00390D63"/>
    <w:rsid w:val="003915A6"/>
    <w:rsid w:val="00392D6B"/>
    <w:rsid w:val="00394922"/>
    <w:rsid w:val="003A521B"/>
    <w:rsid w:val="003F7853"/>
    <w:rsid w:val="0040180A"/>
    <w:rsid w:val="00423B8A"/>
    <w:rsid w:val="00424000"/>
    <w:rsid w:val="00436691"/>
    <w:rsid w:val="0046184F"/>
    <w:rsid w:val="00465DAB"/>
    <w:rsid w:val="004909DB"/>
    <w:rsid w:val="00494A26"/>
    <w:rsid w:val="00497BF2"/>
    <w:rsid w:val="004E039E"/>
    <w:rsid w:val="004E4A13"/>
    <w:rsid w:val="004F7630"/>
    <w:rsid w:val="00501728"/>
    <w:rsid w:val="005108B8"/>
    <w:rsid w:val="00520B34"/>
    <w:rsid w:val="00522BA9"/>
    <w:rsid w:val="005251F2"/>
    <w:rsid w:val="00526F39"/>
    <w:rsid w:val="00530691"/>
    <w:rsid w:val="00534D80"/>
    <w:rsid w:val="005353D8"/>
    <w:rsid w:val="00541D44"/>
    <w:rsid w:val="005437FC"/>
    <w:rsid w:val="00555B5B"/>
    <w:rsid w:val="005771D8"/>
    <w:rsid w:val="005807AF"/>
    <w:rsid w:val="005A05D9"/>
    <w:rsid w:val="005B5196"/>
    <w:rsid w:val="005C0076"/>
    <w:rsid w:val="005D1D2A"/>
    <w:rsid w:val="005E1403"/>
    <w:rsid w:val="005E6BF9"/>
    <w:rsid w:val="005E6CFC"/>
    <w:rsid w:val="005F4956"/>
    <w:rsid w:val="005F5978"/>
    <w:rsid w:val="006034ED"/>
    <w:rsid w:val="00612305"/>
    <w:rsid w:val="00636067"/>
    <w:rsid w:val="00653378"/>
    <w:rsid w:val="0066310E"/>
    <w:rsid w:val="006657C3"/>
    <w:rsid w:val="006B119A"/>
    <w:rsid w:val="006E3943"/>
    <w:rsid w:val="007177DE"/>
    <w:rsid w:val="0073661C"/>
    <w:rsid w:val="00742F10"/>
    <w:rsid w:val="00744CE6"/>
    <w:rsid w:val="00752519"/>
    <w:rsid w:val="00755818"/>
    <w:rsid w:val="00786D11"/>
    <w:rsid w:val="00792794"/>
    <w:rsid w:val="00792DB8"/>
    <w:rsid w:val="00794710"/>
    <w:rsid w:val="007A1021"/>
    <w:rsid w:val="007C14B0"/>
    <w:rsid w:val="007C23F6"/>
    <w:rsid w:val="007C4B53"/>
    <w:rsid w:val="007D30E0"/>
    <w:rsid w:val="007D340C"/>
    <w:rsid w:val="007D7B9A"/>
    <w:rsid w:val="007E3E04"/>
    <w:rsid w:val="007F7181"/>
    <w:rsid w:val="00801124"/>
    <w:rsid w:val="008361E5"/>
    <w:rsid w:val="00842BFB"/>
    <w:rsid w:val="00845054"/>
    <w:rsid w:val="0084541D"/>
    <w:rsid w:val="008461DD"/>
    <w:rsid w:val="0085123F"/>
    <w:rsid w:val="00871F08"/>
    <w:rsid w:val="008827F9"/>
    <w:rsid w:val="00890C43"/>
    <w:rsid w:val="008A282A"/>
    <w:rsid w:val="008A2D21"/>
    <w:rsid w:val="008A6DA0"/>
    <w:rsid w:val="008A73A2"/>
    <w:rsid w:val="008D100C"/>
    <w:rsid w:val="008D5926"/>
    <w:rsid w:val="008E4997"/>
    <w:rsid w:val="008F450C"/>
    <w:rsid w:val="00900F7B"/>
    <w:rsid w:val="00923202"/>
    <w:rsid w:val="00965D83"/>
    <w:rsid w:val="009848C5"/>
    <w:rsid w:val="009955BA"/>
    <w:rsid w:val="009A5732"/>
    <w:rsid w:val="009D0EFE"/>
    <w:rsid w:val="009D3B99"/>
    <w:rsid w:val="009E634A"/>
    <w:rsid w:val="009F4470"/>
    <w:rsid w:val="00A2115F"/>
    <w:rsid w:val="00A215BF"/>
    <w:rsid w:val="00A25807"/>
    <w:rsid w:val="00A640DE"/>
    <w:rsid w:val="00A851CE"/>
    <w:rsid w:val="00A91F49"/>
    <w:rsid w:val="00A94432"/>
    <w:rsid w:val="00AD5117"/>
    <w:rsid w:val="00AE3140"/>
    <w:rsid w:val="00AE6726"/>
    <w:rsid w:val="00B12C83"/>
    <w:rsid w:val="00B1559F"/>
    <w:rsid w:val="00B210A2"/>
    <w:rsid w:val="00B27E06"/>
    <w:rsid w:val="00B50B8B"/>
    <w:rsid w:val="00B70A47"/>
    <w:rsid w:val="00B91608"/>
    <w:rsid w:val="00BA25D0"/>
    <w:rsid w:val="00BA5F52"/>
    <w:rsid w:val="00BB2EA1"/>
    <w:rsid w:val="00BE2A48"/>
    <w:rsid w:val="00BE6896"/>
    <w:rsid w:val="00BE7517"/>
    <w:rsid w:val="00BF3E05"/>
    <w:rsid w:val="00C00AE3"/>
    <w:rsid w:val="00C1667F"/>
    <w:rsid w:val="00C20268"/>
    <w:rsid w:val="00C2222E"/>
    <w:rsid w:val="00C22835"/>
    <w:rsid w:val="00C265B3"/>
    <w:rsid w:val="00C35ABC"/>
    <w:rsid w:val="00C365BB"/>
    <w:rsid w:val="00C43748"/>
    <w:rsid w:val="00C446A6"/>
    <w:rsid w:val="00C45F55"/>
    <w:rsid w:val="00C46FA3"/>
    <w:rsid w:val="00C61FAF"/>
    <w:rsid w:val="00C86824"/>
    <w:rsid w:val="00C87F46"/>
    <w:rsid w:val="00CA57B7"/>
    <w:rsid w:val="00CB517F"/>
    <w:rsid w:val="00CC480E"/>
    <w:rsid w:val="00CD78D7"/>
    <w:rsid w:val="00CE1D08"/>
    <w:rsid w:val="00D328FF"/>
    <w:rsid w:val="00D45F4D"/>
    <w:rsid w:val="00D6428F"/>
    <w:rsid w:val="00D677B6"/>
    <w:rsid w:val="00D823E9"/>
    <w:rsid w:val="00D9137B"/>
    <w:rsid w:val="00D91D51"/>
    <w:rsid w:val="00DA530F"/>
    <w:rsid w:val="00DB32B7"/>
    <w:rsid w:val="00DC26B5"/>
    <w:rsid w:val="00DC7096"/>
    <w:rsid w:val="00DD5C7A"/>
    <w:rsid w:val="00DD5E7B"/>
    <w:rsid w:val="00DF0DCC"/>
    <w:rsid w:val="00DF495F"/>
    <w:rsid w:val="00DF603C"/>
    <w:rsid w:val="00E31D11"/>
    <w:rsid w:val="00E366BF"/>
    <w:rsid w:val="00E50C31"/>
    <w:rsid w:val="00E521F1"/>
    <w:rsid w:val="00E530F3"/>
    <w:rsid w:val="00E5318F"/>
    <w:rsid w:val="00E5381C"/>
    <w:rsid w:val="00E6022A"/>
    <w:rsid w:val="00E65AB3"/>
    <w:rsid w:val="00E80732"/>
    <w:rsid w:val="00E83E96"/>
    <w:rsid w:val="00E85FAD"/>
    <w:rsid w:val="00E872B2"/>
    <w:rsid w:val="00EA1370"/>
    <w:rsid w:val="00EB1691"/>
    <w:rsid w:val="00EC61C2"/>
    <w:rsid w:val="00EE552F"/>
    <w:rsid w:val="00F1560A"/>
    <w:rsid w:val="00F15EEF"/>
    <w:rsid w:val="00F2021A"/>
    <w:rsid w:val="00F80BD9"/>
    <w:rsid w:val="00F93D53"/>
    <w:rsid w:val="00FA0296"/>
    <w:rsid w:val="00FA6DC5"/>
    <w:rsid w:val="00FB2813"/>
    <w:rsid w:val="00FB3D87"/>
    <w:rsid w:val="00FB6F07"/>
    <w:rsid w:val="00FB727C"/>
    <w:rsid w:val="00FC7F5D"/>
    <w:rsid w:val="00FE3ED0"/>
    <w:rsid w:val="00FF5FE3"/>
    <w:rsid w:val="00FF6C18"/>
    <w:rsid w:val="081A7495"/>
    <w:rsid w:val="090D7D03"/>
    <w:rsid w:val="0B133B16"/>
    <w:rsid w:val="12964252"/>
    <w:rsid w:val="1387624E"/>
    <w:rsid w:val="15891AB8"/>
    <w:rsid w:val="1ABD05C5"/>
    <w:rsid w:val="1B780929"/>
    <w:rsid w:val="1C751DF6"/>
    <w:rsid w:val="1CF807EA"/>
    <w:rsid w:val="1D10021F"/>
    <w:rsid w:val="1E1966ED"/>
    <w:rsid w:val="1EBB26AD"/>
    <w:rsid w:val="20C8102E"/>
    <w:rsid w:val="22C14367"/>
    <w:rsid w:val="22D340C4"/>
    <w:rsid w:val="250118E4"/>
    <w:rsid w:val="29710595"/>
    <w:rsid w:val="2BC37CC7"/>
    <w:rsid w:val="2DC63DD8"/>
    <w:rsid w:val="2DED0827"/>
    <w:rsid w:val="2EAF746E"/>
    <w:rsid w:val="305B3682"/>
    <w:rsid w:val="333A07E9"/>
    <w:rsid w:val="35BC6721"/>
    <w:rsid w:val="3E8821A7"/>
    <w:rsid w:val="424C7678"/>
    <w:rsid w:val="42F45C4B"/>
    <w:rsid w:val="438560D5"/>
    <w:rsid w:val="451807F3"/>
    <w:rsid w:val="46C3660B"/>
    <w:rsid w:val="4C6E19BD"/>
    <w:rsid w:val="538E5F50"/>
    <w:rsid w:val="580A68D6"/>
    <w:rsid w:val="58407526"/>
    <w:rsid w:val="5A953BFD"/>
    <w:rsid w:val="5D5A155E"/>
    <w:rsid w:val="5E8B3987"/>
    <w:rsid w:val="5EF50BAD"/>
    <w:rsid w:val="63840C27"/>
    <w:rsid w:val="67175647"/>
    <w:rsid w:val="68AD3D90"/>
    <w:rsid w:val="696E0D0D"/>
    <w:rsid w:val="6C9216CF"/>
    <w:rsid w:val="6D535020"/>
    <w:rsid w:val="6F491CCA"/>
    <w:rsid w:val="714E5440"/>
    <w:rsid w:val="72EF6478"/>
    <w:rsid w:val="742477DF"/>
    <w:rsid w:val="752D2E89"/>
    <w:rsid w:val="796D6A2B"/>
    <w:rsid w:val="7B4E0049"/>
    <w:rsid w:val="7D8010B0"/>
    <w:rsid w:val="7E85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3"/>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5">
    <w:name w:val="Plain Text"/>
    <w:basedOn w:val="1"/>
    <w:qFormat/>
    <w:uiPriority w:val="0"/>
    <w:rPr>
      <w:rFonts w:ascii="宋体" w:hAnsi="Courier New"/>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9"/>
    <w:link w:val="6"/>
    <w:qFormat/>
    <w:uiPriority w:val="0"/>
    <w:rPr>
      <w:rFonts w:asciiTheme="minorHAnsi" w:hAnsiTheme="minorHAnsi" w:eastAsiaTheme="minorEastAsia" w:cstheme="minorBidi"/>
      <w:kern w:val="2"/>
      <w:sz w:val="18"/>
      <w:szCs w:val="18"/>
    </w:rPr>
  </w:style>
  <w:style w:type="character" w:customStyle="1" w:styleId="13">
    <w:name w:val="标题 3 Char"/>
    <w:basedOn w:val="9"/>
    <w:link w:val="4"/>
    <w:semiHidden/>
    <w:qFormat/>
    <w:uiPriority w:val="0"/>
    <w:rPr>
      <w:rFonts w:asciiTheme="minorHAnsi" w:hAnsiTheme="minorHAnsi" w:eastAsiaTheme="minorEastAsia" w:cstheme="minorBidi"/>
      <w:b/>
      <w:bCs/>
      <w:kern w:val="2"/>
      <w:sz w:val="32"/>
      <w:szCs w:val="32"/>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574A0-8938-434A-829C-F1A3580A9454}">
  <ds:schemaRefs/>
</ds:datastoreItem>
</file>

<file path=docProps/app.xml><?xml version="1.0" encoding="utf-8"?>
<Properties xmlns="http://schemas.openxmlformats.org/officeDocument/2006/extended-properties" xmlns:vt="http://schemas.openxmlformats.org/officeDocument/2006/docPropsVTypes">
  <Template>0.docx</Template>
  <Company>AIYIN</Company>
  <Pages>73</Pages>
  <Words>29748</Words>
  <Characters>8025</Characters>
  <Lines>66</Lines>
  <Paragraphs>75</Paragraphs>
  <ScaleCrop>false</ScaleCrop>
  <LinksUpToDate>false</LinksUpToDate>
  <CharactersWithSpaces>37698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2019-07-13T06:09:00Z</dcterms:created>
  <dc:creator>Administrator</dc:creator>
  <cp:lastModifiedBy>Administrator</cp:lastModifiedBy>
  <cp:lastPrinted>2019-08-26T02:43:00Z</cp:lastPrinted>
  <dcterms:modified xsi:type="dcterms:W3CDTF">2019-08-26T08:14:07Z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